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Tahoma" w:cs="Tahoma" w:eastAsia="Tahoma" w:hAnsi="Tahoma"/>
          <w:b/>
          <w:bCs/>
          <w:color w:val="1F4E79"/>
          <w:sz w:val="52"/>
          <w:szCs w:val="52"/>
          <w:rtl/>
        </w:rPr>
        <w:t xml:space="preserve">گزارش نهایی فاز ۱</w:t>
      </w:r>
    </w:p>
    <w:p>
      <w:pPr>
        <w:bidi/>
        <w:spacing w:after="400"/>
        <w:jc w:val="center"/>
      </w:pPr>
      <w:r>
        <w:rPr>
          <w:rFonts w:ascii="Tahoma" w:cs="Tahoma" w:eastAsia="Tahoma" w:hAnsi="Tahoma"/>
          <w:color w:val="404040"/>
          <w:sz w:val="30"/>
          <w:szCs w:val="30"/>
          <w:rtl/>
        </w:rPr>
        <w:t xml:space="preserve">تحلیل رفتار مشتریان بانک توسعه تعاون — گزارش وضعیت موجود و شناخت بازار</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وضعیت موجود و شناخت بازار (Market Overview) —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استخراج‌شده توسط بانک (پایگاه‌داده‌ی </w:t>
            </w:r>
            <w:r>
              <w:rPr>
                <w:rFonts w:ascii="Consolas" w:cs="Consolas" w:eastAsia="Consolas" w:hAnsi="Consolas"/>
                <w:b w:val="false"/>
                <w:bCs w:val="false"/>
                <w:sz w:val="16"/>
                <w:szCs w:val="16"/>
                <w:rtl w:val="false"/>
              </w:rPr>
              <w:t xml:space="preserve">Alzahra_Final_DB</w:t>
            </w:r>
            <w:r>
              <w:rPr>
                <w:rFonts w:ascii="Tahoma" w:cs="Tahoma" w:eastAsia="Tahoma" w:hAnsi="Tahoma"/>
                <w:b w:val="false"/>
                <w:bCs w:val="false"/>
                <w:sz w:val="19"/>
                <w:szCs w:val="19"/>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پیش‌نویس جهت بررسی کارفرما (نسخه‌ی دوم: فصل‌های ۱ تا ۳ بازنویسی شده‌اند)</w:t>
            </w:r>
          </w:p>
        </w:tc>
      </w:tr>
    </w:tbl>
    <w:p>
      <w:pPr>
        <w:spacing w:after="200"/>
      </w:pP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راهنمای مطالعه</w:t>
      </w:r>
    </w:p>
    <w:p>
      <w:pPr>
        <w:bidi/>
        <w:spacing w:after="160" w:line="312"/>
        <w:jc w:val="left"/>
      </w:pPr>
      <w:r>
        <w:rPr>
          <w:rFonts w:ascii="Tahoma" w:cs="Tahoma" w:eastAsia="Tahoma" w:hAnsi="Tahoma"/>
          <w:sz w:val="21"/>
          <w:szCs w:val="21"/>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مسیر پیش رو و پرسش‌ها از بانک را جمع‌بندی می‌کند.</w:t>
      </w:r>
    </w:p>
    <w:p>
      <w:pPr>
        <w:bidi/>
        <w:spacing w:after="160" w:line="312"/>
        <w:jc w:val="left"/>
      </w:pPr>
      <w:r>
        <w:rPr>
          <w:rFonts w:ascii="Tahoma" w:cs="Tahoma" w:eastAsia="Tahoma" w:hAnsi="Tahoma"/>
          <w:sz w:val="21"/>
          <w:szCs w:val="21"/>
          <w:rtl/>
        </w:rPr>
        <w:t xml:space="preserve">برای خواندن ارقام سه نکته کافی است. نخست، ارقام مطلق بر نمونه‌ی تحلیلی استوارند و میزان پوشش آن نسبت به کل بانک در فصل ۲ نشان داده شده است؛ نسبت‌ها و روندها با آمار رسمی بانک هم‌خوانی بالایی دارند. دوم، هر رقم به یکی از مبناهای جدول تطبیق (بخش ۱.۶) ارجاع دارد. سوم، جدول‌ها و نمودارها در هر فصل به‌صورت مستقل شماره‌گذاری شده‌اند؛ برای مثال، نمودار ۲-۱ نخستین نمودار فصل ۲ است.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96"/>
        <w:gridCol w:w="5854"/>
      </w:tblGrid>
      <w:tr>
        <w:trPr>
          <w:cantSplit/>
          <w:tblHeader/>
        </w:trPr>
        <w:tc>
          <w:tcPr>
            <w:tcW w:type="dxa" w:w="34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w:t>
            </w:r>
          </w:p>
        </w:tc>
        <w:tc>
          <w:tcPr>
            <w:tcW w:type="dxa" w:w="58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مدیریتی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مقدمه و روش‌شناسی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داده‌های در دسترس و پوشش نمونه</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جمعیت، رابطه و ماندگاری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سپرده</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تسهیلات</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کیفیت دارایی، ریسک اعتباری و تمرکز</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شبکه‌ی شعب و توزیع جغرافیایی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سودآوری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جمع‌بندی، پیشنهادها و مسیر پیش رو</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پیوست الف</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Tahoma" w:cs="Tahoma" w:eastAsia="Tahoma" w:hAnsi="Tahoma"/>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فصل ۲ — داده‌های در دسترس و پوشش نمونه</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۲.۱ هدف فصل</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۲.۲ منابع داده</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۲.۳ بازه‌ی زمانی تحلیل</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۲.۴ پوشش نمونه نسبت به کل بانک</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۲.۵ تکمیل تحلیل‌ها در فاز بعد</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۲.۶ پرسش‌های فنی از بانک</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فصل ۳ — مشتریان: جمعیت، رابطه و ماندگاری</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۳.۱ هدف و دامنه‌ی فصل</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۳.۲ جمعیت مشتریان</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۳.۳ همپوشانی سپرده و تسهیلات</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۳.۴ فعال‌بودن مشتریان</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۳.۵ ماندگاری کوهورت‌های افتتاح حساب</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۳.۶ نرخ ریزش سالانه</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۳.۷ جمع‌بندی فصل</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فصل ۴ — بازار سپرده</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۴.۰ هدف، مبنا و قید اصلی فصل</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روند مانده و رشد منابع</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ترکیب پرتفوی سپرده</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پلکان مانده و ساختار بازار</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ابهام بنیادی در تعریف ستون مانده</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ابهام فرعی: حساب‌های «نزد سایر بانک‌ها»</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۴.۸ جمع‌بندی فصل</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فصل ۵ — بازار تسهیلات</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۵.۰ هدف، مبنا و ساختار فصل</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۵.۱ روند مانده و رشد پرتفوی</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۵.۲ نسبت تسهیلات به سپرده</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۵.۳ ترکیب محصولی پرتفوی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۵.۴ ترکیب بخش اقتصادی</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۵.۵ توزیع اندازه‌ی تسهیلات</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۵.۶ پروفایل سررسید</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۵.۷ نرخ سود مؤثر قراردادی</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۵.۸ پوشش وثیقه</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۵.۹ جمع‌بندی فصل</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فصل ۶ — کیفیت دارایی، ریسک اعتباری و تمرکز</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۶.۰ هدف و ساختار فصل</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۶.۱ روند طبقه‌بندی مطالبات</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۶.۲ تجزیه‌ی مطالبات غیرجاری بر مبنای پوشش داده</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۶.۳ اعتبارات اسنادی</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۶.۴ کیفیت دارایی بر حسب اندازه</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۶.۵ کیفیت دارایی بر حسب نسل اعطا</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۶.۶ ساختار ضمانت و رابطه‌ی آن با ریسک</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۶.۷ ماتریس انتقال وضعیت</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۶.۸ الگوی دیرکرد اقساط</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۶.۹ تمرکز تک‌نامی</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۶.۱۰ نیمرخ تمرکز و جمع‌بندی ریسک</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۶.۱۱ جمع‌بندی فصل</w:t>
            </w:r>
            <w:r>
              <w:tab/>
            </w:r>
            <w:r>
              <w:fldChar w:fldCharType="begin" w:dirty="true"/>
              <w:instrText xml:space="preserve">PAGEREF _Toc62 \h</w:instrText>
              <w:fldChar w:fldCharType="separate"/>
              <w:fldChar w:fldCharType="end"/>
            </w:r>
          </w:hyperlink>
        </w:p>
        <w:p>
          <w:pPr>
            <w:pStyle w:val="TOC1"/>
            <w:tabs>
              <w:tab w:val="right" w:pos="9638" w:leader="dot"/>
            </w:tabs>
          </w:pPr>
          <w:hyperlink w:history="1" w:anchor="_Toc63">
            <w:r>
              <w:t xml:space="preserve">فصل ۷ — شبکه‌ی شعب و توزیع جغرافیایی</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۷.۰ هدف و دامنه‌ی فصل</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۷.۱ ساختار استانی منابع و مصارف</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۷.۲ توازن منابع و مصارف استان‌ها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۷.۳ کیفیت دارایی در استان‌ها</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۷.۴ روند رشد استانی در ۶۰ ماه</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۷.۵ ترکیب منابع در استان‌ها</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۷.۶ ساختار شبکه‌ی شعب</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۷.۷ هم‌خوانی الگوی استانی نمونه با بانک</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۷.۸ پراکندگی جغرافیایی مشتریان</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۷.۹ جمع‌بندی فصل</w:t>
            </w:r>
            <w:r>
              <w:tab/>
            </w:r>
            <w:r>
              <w:fldChar w:fldCharType="begin" w:dirty="true"/>
              <w:instrText xml:space="preserve">PAGEREF _Toc73 \h</w:instrText>
              <w:fldChar w:fldCharType="separate"/>
              <w:fldChar w:fldCharType="end"/>
            </w:r>
          </w:hyperlink>
        </w:p>
        <w:p>
          <w:pPr>
            <w:pStyle w:val="TOC1"/>
            <w:tabs>
              <w:tab w:val="right" w:pos="9638" w:leader="dot"/>
            </w:tabs>
          </w:pPr>
          <w:hyperlink w:history="1" w:anchor="_Toc74">
            <w:r>
              <w:t xml:space="preserve">فصل ۸ — برآورد سودآوری</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۸.۰ هدف، مبنا و دامنه</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۸.۱ هزینه‌ی تأمین مالی بانک</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۸.۲ ترکیب منابع و ساختار هزینه</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۸.۳ بازده تسهیلات</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۸.۴ حاشیه‌ی ناخالص مالی</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۸.۵ ساختار درآمد</w:t>
            </w:r>
            <w:r>
              <w:tab/>
            </w:r>
            <w:r>
              <w:fldChar w:fldCharType="begin" w:dirty="true"/>
              <w:instrText xml:space="preserve">PAGEREF _Toc80 \h</w:instrText>
              <w:fldChar w:fldCharType="separate"/>
              <w:fldChar w:fldCharType="end"/>
            </w:r>
          </w:hyperlink>
        </w:p>
        <w:p>
          <w:pPr>
            <w:pStyle w:val="TOC2"/>
            <w:tabs>
              <w:tab w:val="right" w:pos="9638" w:leader="dot"/>
            </w:tabs>
            <w:ind w:left="220"/>
          </w:pPr>
          <w:hyperlink w:history="1" w:anchor="_Toc81">
            <w:r>
              <w:t xml:space="preserve">۸.۶ جمع‌بندی و محدودیت‌ها</w:t>
            </w:r>
            <w:r>
              <w:tab/>
            </w:r>
            <w:r>
              <w:fldChar w:fldCharType="begin" w:dirty="true"/>
              <w:instrText xml:space="preserve">PAGEREF _Toc81 \h</w:instrText>
              <w:fldChar w:fldCharType="separate"/>
              <w:fldChar w:fldCharType="end"/>
            </w:r>
          </w:hyperlink>
        </w:p>
        <w:p>
          <w:pPr>
            <w:pStyle w:val="TOC1"/>
            <w:tabs>
              <w:tab w:val="right" w:pos="9638" w:leader="dot"/>
            </w:tabs>
          </w:pPr>
          <w:hyperlink w:history="1" w:anchor="_Toc82">
            <w:r>
              <w:t xml:space="preserve">فصل ۹ — جمع‌بندی، پیشنهادها و مسیر پیش رو</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۹.۱ جمع‌بندی یافته‌های فاز ۱</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۹.۲ پیشنهادهای اولیه برای مدیریت</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۹.۳ مسیر پیش رو: فازهای ۲ تا ۵</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۹.۴ داده‌های درخواستی از بانک</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۹.۵ پرسش‌های فنی از بانک</w:t>
            </w:r>
            <w:r>
              <w:tab/>
            </w:r>
            <w:r>
              <w:fldChar w:fldCharType="begin" w:dirty="true"/>
              <w:instrText xml:space="preserve">PAGEREF _Toc87 \h</w:instrText>
              <w:fldChar w:fldCharType="separate"/>
              <w:fldChar w:fldCharType="end"/>
            </w:r>
          </w:hyperlink>
        </w:p>
        <w:p>
          <w:pPr>
            <w:pStyle w:val="TOC2"/>
            <w:tabs>
              <w:tab w:val="right" w:pos="9638" w:leader="dot"/>
            </w:tabs>
            <w:ind w:left="220"/>
          </w:pPr>
          <w:hyperlink w:history="1" w:anchor="_Toc88">
            <w:r>
              <w:t xml:space="preserve">۹.۶ درخواست از بانک</w:t>
            </w:r>
            <w:r>
              <w:tab/>
            </w:r>
            <w:r>
              <w:fldChar w:fldCharType="begin" w:dirty="true"/>
              <w:instrText xml:space="preserve">PAGEREF _Toc88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Tahoma" w:cs="Tahoma" w:eastAsia="Tahoma" w:hAnsi="Tahoma"/>
          <w:b/>
          <w:bCs/>
          <w:color w:val="1F4E79"/>
          <w:sz w:val="34"/>
          <w:szCs w:val="34"/>
          <w:rtl/>
        </w:rPr>
        <w:t xml:space="preserve">خلاصه‌ی مدیریتی</w:t>
      </w:r>
      <w:bookmarkEnd w:id="1"/>
    </w:p>
    <w:p>
      <w:pPr>
        <w:bidi/>
        <w:spacing w:after="160" w:line="312"/>
        <w:jc w:val="left"/>
      </w:pPr>
      <w:r>
        <w:rPr>
          <w:rFonts w:ascii="Tahoma" w:cs="Tahoma" w:eastAsia="Tahoma" w:hAnsi="Tahoma"/>
          <w:sz w:val="21"/>
          <w:szCs w:val="21"/>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تمام مقاطع با آمار رسمی ماهانه‌ی بانک مقایسه شده است.</w:t>
      </w:r>
    </w:p>
    <w:p>
      <w:pPr>
        <w:pStyle w:val="Heading2"/>
        <w:keepNext/>
        <w:bidi/>
        <w:spacing w:after="160" w:before="300"/>
        <w:jc w:val="left"/>
      </w:pPr>
      <w:bookmarkStart w:name="_Toc2" w:id="2"/>
      <w:r>
        <w:rPr>
          <w:rFonts w:ascii="Tahoma" w:cs="Tahoma" w:eastAsia="Tahoma" w:hAnsi="Tahoma"/>
          <w:b/>
          <w:bCs/>
          <w:color w:val="1F4E79"/>
          <w:sz w:val="28"/>
          <w:szCs w:val="28"/>
          <w:rtl/>
        </w:rPr>
        <w:t xml:space="preserve">پوشش نمونه نسبت به کل بانک</w:t>
      </w:r>
      <w:bookmarkEnd w:id="2"/>
    </w:p>
    <w:p>
      <w:pPr>
        <w:bidi/>
        <w:spacing w:after="160" w:line="312"/>
        <w:jc w:val="left"/>
      </w:pPr>
      <w:r>
        <w:rPr>
          <w:rFonts w:ascii="Tahoma" w:cs="Tahoma" w:eastAsia="Tahoma" w:hAnsi="Tahoma"/>
          <w:sz w:val="21"/>
          <w:szCs w:val="21"/>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نمونه ۹.۵ درصد از سپرده‌گذاران و ۱۵.۸ درصد از گیرندگان تسهیلات بانک را شامل می‌شود، اما </w:t>
      </w:r>
      <w:r>
        <w:rPr>
          <w:rFonts w:ascii="Tahoma" w:cs="Tahoma" w:eastAsia="Tahoma" w:hAnsi="Tahoma"/>
          <w:b/>
          <w:bCs/>
          <w:sz w:val="21"/>
          <w:szCs w:val="21"/>
          <w:rtl/>
        </w:rPr>
        <w:t xml:space="preserve">۶۳.۷ درصد از منابع ریالی و ۸۶.۵ درصد از مانده‌ی تسهیلات بانک</w:t>
      </w:r>
      <w:r>
        <w:rPr>
          <w:rFonts w:ascii="Tahoma" w:cs="Tahoma" w:eastAsia="Tahoma" w:hAnsi="Tahoma"/>
          <w:sz w:val="21"/>
          <w:szCs w:val="21"/>
          <w:rtl/>
        </w:rPr>
        <w:t xml:space="preserve"> (۱۲/۱۴۰۴) را پوشش می‌دهد؛ زیرا نمونه‌گیری وزن بیشتری به مشتریان بزرگ داده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۹۴ تا ۹۹ درصد از گیرندگان تسهیلات بالای ۱ میلیارد تومان در نمونه حضور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نسبت مطالبات غیرجاری نمونه با آمار رسمی بانک در ۶۰ ماه همبستگی ۰.۹۶ دارد و میانگین اختلاف آن‌ها تنها ۰.۴۶ واحد درصد است. بنابراین روندها و نسبت‌های این گزارش برای کل بانک نیز معنادارند.</w:t>
      </w:r>
    </w:p>
    <w:p>
      <w:pPr>
        <w:pStyle w:val="Heading2"/>
        <w:keepNext/>
        <w:bidi/>
        <w:spacing w:after="160" w:before="300"/>
        <w:jc w:val="left"/>
      </w:pPr>
      <w:bookmarkStart w:name="_Toc3" w:id="3"/>
      <w:r>
        <w:rPr>
          <w:rFonts w:ascii="Tahoma" w:cs="Tahoma" w:eastAsia="Tahoma" w:hAnsi="Tahoma"/>
          <w:b/>
          <w:bCs/>
          <w:color w:val="1F4E79"/>
          <w:sz w:val="28"/>
          <w:szCs w:val="28"/>
          <w:rtl/>
        </w:rPr>
        <w:t xml:space="preserve">شاخص‌های کلیدی (۱۲/۱۴۰۴)</w:t>
      </w:r>
      <w:bookmarkEnd w:id="3"/>
    </w:p>
    <w:p>
      <w:pPr>
        <w:bidi/>
        <w:spacing w:after="160" w:line="312"/>
        <w:jc w:val="left"/>
      </w:pPr>
      <w:r>
        <w:rPr>
          <w:rFonts w:ascii="Tahoma" w:cs="Tahoma" w:eastAsia="Tahoma" w:hAnsi="Tahoma"/>
          <w:b/>
          <w:bCs/>
          <w:sz w:val="21"/>
          <w:szCs w:val="21"/>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cantSplit/>
          <w:tblHeader/>
        </w:trPr>
        <w:tc>
          <w:tcPr>
            <w:tcW w:type="dxa" w:w="3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3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c>
          <w:tcPr>
            <w:tcW w:type="dxa" w:w="2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تسهیلات (همت)</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ریالی (همت)</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مطالبات غیرجاری</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تسهیلات به منابع ریالی</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تسهیلات</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منابع ریالی</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 برآوردی (بر مبنای نرخ قراردادی)</w:t>
            </w:r>
          </w:p>
        </w:tc>
        <w:tc>
          <w:tcPr>
            <w:tcW w:type="dxa" w:w="3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 واحد درصد (بازه‌ی ۲.۳ تا ۱۲.۲)</w:t>
            </w:r>
          </w:p>
        </w:tc>
        <w:tc>
          <w:tcPr>
            <w:tcW w:type="dxa" w:w="2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pStyle w:val="Heading2"/>
        <w:keepNext/>
        <w:bidi/>
        <w:spacing w:after="160" w:before="300"/>
        <w:jc w:val="left"/>
      </w:pPr>
      <w:bookmarkStart w:name="_Toc4" w:id="4"/>
      <w:r>
        <w:rPr>
          <w:rFonts w:ascii="Tahoma" w:cs="Tahoma" w:eastAsia="Tahoma" w:hAnsi="Tahoma"/>
          <w:b/>
          <w:bCs/>
          <w:color w:val="1F4E79"/>
          <w:sz w:val="28"/>
          <w:szCs w:val="28"/>
          <w:rtl/>
        </w:rPr>
        <w:t xml:space="preserve">یافته‌های برجسته</w:t>
      </w:r>
      <w:bookmarkEnd w:id="4"/>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w:t>
      </w:r>
      <w:r>
        <w:rPr>
          <w:rFonts w:ascii="Tahoma" w:cs="Tahoma" w:eastAsia="Tahoma" w:hAnsi="Tahoma"/>
          <w:sz w:val="21"/>
          <w:szCs w:val="21"/>
          <w:rtl/>
        </w:rPr>
        <w:t xml:space="preserve"> نسبت مطالبات غیرجاری از ۴.۶ درصد در ۱۲/۱۴۰۳ به ۸.۰ درصد در ۱۲/۱۴۰۴ در آمار رسمی بانک افزایش یافته و همین روند در نمونه (از ۴.۹ به ۸.۸ درصد) به‌طور مستقل تأیید می‌شود.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رشد هم‌گام منابع و مصارف:</w:t>
      </w:r>
      <w:r>
        <w:rPr>
          <w:rFonts w:ascii="Tahoma" w:cs="Tahoma" w:eastAsia="Tahoma" w:hAnsi="Tahoma"/>
          <w:sz w:val="21"/>
          <w:szCs w:val="21"/>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ظرفیت فروش متقاطع:</w:t>
      </w:r>
      <w:r>
        <w:rPr>
          <w:rFonts w:ascii="Tahoma" w:cs="Tahoma" w:eastAsia="Tahoma" w:hAnsi="Tahoma"/>
          <w:sz w:val="21"/>
          <w:szCs w:val="21"/>
          <w:rtl/>
        </w:rPr>
        <w:t xml:space="preserve"> ۶۴.۷ درصد از مشتریان نمونه (۴۵۶,۸۳۵ نفر) فقط سپرده‌گذارند؛ ۴,۳۳۴ سپرده‌گذار بزرگ فاقد تسهیلات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ماندگاری مشتریان:</w:t>
      </w:r>
      <w:r>
        <w:rPr>
          <w:rFonts w:ascii="Tahoma" w:cs="Tahoma" w:eastAsia="Tahoma" w:hAnsi="Tahoma"/>
          <w:sz w:val="21"/>
          <w:szCs w:val="21"/>
          <w:rtl/>
        </w:rPr>
        <w:t xml:space="preserve"> ماندگاری کوهورت‌های افتتاح حساب ۸۹ تا ۹۵.۵ درصد و نرخ ریزش کامل سالانه کمتر از ۰.۵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جغرافیا:</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سودآوری:</w:t>
      </w:r>
      <w:r>
        <w:rPr>
          <w:rFonts w:ascii="Tahoma" w:cs="Tahoma" w:eastAsia="Tahoma" w:hAnsi="Tahoma"/>
          <w:sz w:val="21"/>
          <w:szCs w:val="21"/>
          <w:rtl/>
        </w:rPr>
        <w:t xml:space="preserve"> نرخ هزینه‌ی تأمین مالی از ۸.۲ درصد در ۱۴۰۰ به ۱۰.۵ درصد در ۱۴۰۴ رسیده است. حاشیه‌ی ناخالص مالی بر مبنای نرخ قراردادی ۷.۶ واحد درصد است و بازده دریافتی تسهیلات (۸.۸ تا ۱۱.۳ درصد) از نرخ قراردادی (۱۸.۰۸ درصد) کمتر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 مانده، بزرگ‌ترین نسل اعطای تسهیلات در تاریخ بانک است (معادل ۳۱.۸ درصد از تعداد کل قراردادهای دارای اطلاعات قرارداد)؛ چون هنوز نابالغ است، ریسک واقعی آن هنوز آشکار نشده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تمرکز تک‌نامی:</w:t>
      </w:r>
      <w:r>
        <w:rPr>
          <w:rFonts w:ascii="Tahoma" w:cs="Tahoma" w:eastAsia="Tahoma" w:hAnsi="Tahoma"/>
          <w:sz w:val="21"/>
          <w:szCs w:val="21"/>
          <w:rtl/>
        </w:rPr>
        <w:t xml:space="preserve"> منابع و مصارف بانک حول مشتریان خاص و گروه‌های ذی‌نفع واحد تمرکز بالایی دارند.</w:t>
      </w:r>
    </w:p>
    <w:p>
      <w:pPr>
        <w:pStyle w:val="Heading2"/>
        <w:keepNext/>
        <w:bidi/>
        <w:spacing w:after="160" w:before="300"/>
        <w:jc w:val="left"/>
      </w:pPr>
      <w:bookmarkStart w:name="_Toc5" w:id="5"/>
      <w:r>
        <w:rPr>
          <w:rFonts w:ascii="Tahoma" w:cs="Tahoma" w:eastAsia="Tahoma" w:hAnsi="Tahoma"/>
          <w:b/>
          <w:bCs/>
          <w:color w:val="1F4E79"/>
          <w:sz w:val="28"/>
          <w:szCs w:val="28"/>
          <w:rtl/>
        </w:rPr>
        <w:t xml:space="preserve">مسیر پیش رو</w:t>
      </w:r>
      <w:bookmarkEnd w:id="5"/>
    </w:p>
    <w:p>
      <w:pPr>
        <w:bidi/>
        <w:spacing w:after="160" w:line="312"/>
        <w:jc w:val="left"/>
      </w:pPr>
      <w:r>
        <w:rPr>
          <w:rFonts w:ascii="Tahoma" w:cs="Tahoma" w:eastAsia="Tahoma" w:hAnsi="Tahoma"/>
          <w:sz w:val="21"/>
          <w:szCs w:val="21"/>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داده‌ها. 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(بخش‌های ۲.۵ و ۹.۴).</w:t>
      </w:r>
    </w:p>
    <w:p>
      <w:pPr>
        <w:pBdr>
          <w:bottom w:val="single" w:color="BBBBBB" w:sz="6"/>
        </w:pBdr>
        <w:spacing w:after="100" w:before="100"/>
      </w:pPr>
    </w:p>
    <w:p>
      <w:pPr>
        <w:pStyle w:val="Heading1"/>
        <w:keepNext/>
        <w:pageBreakBefore/>
        <w:bidi/>
        <w:spacing w:after="160" w:before="0"/>
        <w:jc w:val="left"/>
      </w:pPr>
      <w:bookmarkStart w:name="_Toc6" w:id="6"/>
      <w:r>
        <w:rPr>
          <w:rFonts w:ascii="Tahoma" w:cs="Tahoma" w:eastAsia="Tahoma" w:hAnsi="Tahoma"/>
          <w:b/>
          <w:bCs/>
          <w:color w:val="1F4E79"/>
          <w:sz w:val="34"/>
          <w:szCs w:val="34"/>
          <w:rtl/>
        </w:rPr>
        <w:t xml:space="preserve">فصل ۱ — مقدمه و روش‌شناسی</w:t>
      </w:r>
      <w:bookmarkEnd w:id="6"/>
    </w:p>
    <w:p>
      <w:pPr>
        <w:pStyle w:val="Heading2"/>
        <w:keepNext/>
        <w:bidi/>
        <w:spacing w:after="160" w:before="300"/>
        <w:jc w:val="left"/>
      </w:pPr>
      <w:bookmarkStart w:name="_Toc7" w:id="7"/>
      <w:r>
        <w:rPr>
          <w:rFonts w:ascii="Tahoma" w:cs="Tahoma" w:eastAsia="Tahoma" w:hAnsi="Tahoma"/>
          <w:b/>
          <w:bCs/>
          <w:color w:val="1F4E79"/>
          <w:sz w:val="28"/>
          <w:szCs w:val="28"/>
          <w:rtl/>
        </w:rPr>
        <w:t xml:space="preserve">۱.۱ هدف و دامنه‌ی گزارش</w:t>
      </w:r>
      <w:bookmarkEnd w:id="7"/>
    </w:p>
    <w:p>
      <w:pPr>
        <w:bidi/>
        <w:spacing w:after="160" w:line="312"/>
        <w:jc w:val="left"/>
      </w:pPr>
      <w:r>
        <w:rPr>
          <w:rFonts w:ascii="Tahoma" w:cs="Tahoma" w:eastAsia="Tahoma" w:hAnsi="Tahoma"/>
          <w:sz w:val="21"/>
          <w:szCs w:val="21"/>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Tahoma" w:cs="Tahoma" w:eastAsia="Tahoma" w:hAnsi="Tahoma"/>
          <w:sz w:val="21"/>
          <w:szCs w:val="21"/>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Tahoma" w:cs="Tahoma" w:eastAsia="Tahoma" w:hAnsi="Tahoma"/>
          <w:sz w:val="21"/>
          <w:szCs w:val="21"/>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صحت و یکنواختی ارقام را تضمین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pPr>
        <w:pBdr>
          <w:bottom w:val="single" w:color="BBBBBB" w:sz="6"/>
        </w:pBdr>
        <w:spacing w:after="100" w:before="100"/>
      </w:pPr>
    </w:p>
    <w:p>
      <w:pPr>
        <w:pStyle w:val="Heading2"/>
        <w:keepNext/>
        <w:bidi/>
        <w:spacing w:after="160" w:before="300"/>
        <w:jc w:val="left"/>
      </w:pPr>
      <w:bookmarkStart w:name="_Toc8" w:id="8"/>
      <w:r>
        <w:rPr>
          <w:rFonts w:ascii="Tahoma" w:cs="Tahoma" w:eastAsia="Tahoma" w:hAnsi="Tahoma"/>
          <w:b/>
          <w:bCs/>
          <w:color w:val="1F4E79"/>
          <w:sz w:val="28"/>
          <w:szCs w:val="28"/>
          <w:rtl/>
        </w:rPr>
        <w:t xml:space="preserve">۱.۲ طراحی نمونه‌ی تحلیلی</w:t>
      </w:r>
      <w:bookmarkEnd w:id="8"/>
    </w:p>
    <w:p>
      <w:pPr>
        <w:pStyle w:val="Heading3"/>
        <w:keepNext/>
        <w:bidi/>
        <w:spacing w:after="160" w:before="300"/>
        <w:jc w:val="left"/>
      </w:pPr>
      <w:r>
        <w:rPr>
          <w:rFonts w:ascii="Tahoma" w:cs="Tahoma" w:eastAsia="Tahoma" w:hAnsi="Tahoma"/>
          <w:b/>
          <w:bCs/>
          <w:color w:val="1F4E79"/>
          <w:sz w:val="24"/>
          <w:szCs w:val="24"/>
          <w:rtl/>
        </w:rPr>
        <w:t xml:space="preserve">۱.۲.۱ راهبرد «ابتدا پالایش، سپس نمونه‌گیری»</w:t>
      </w:r>
    </w:p>
    <w:p>
      <w:pPr>
        <w:bidi/>
        <w:spacing w:after="160" w:line="312"/>
        <w:jc w:val="left"/>
      </w:pPr>
      <w:r>
        <w:rPr>
          <w:rFonts w:ascii="Tahoma" w:cs="Tahoma" w:eastAsia="Tahoma" w:hAnsi="Tahoma"/>
          <w:sz w:val="21"/>
          <w:szCs w:val="21"/>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pPr>
        <w:bidi/>
        <w:spacing w:after="160" w:line="312"/>
        <w:jc w:val="left"/>
      </w:pPr>
      <w:r>
        <w:rPr>
          <w:rFonts w:ascii="Tahoma" w:cs="Tahoma" w:eastAsia="Tahoma" w:hAnsi="Tahoma"/>
          <w:sz w:val="21"/>
          <w:szCs w:val="21"/>
          <w:rtl/>
        </w:rPr>
        <w:t xml:space="preserve">راهبرد نمونه‌گیری دو مرحله دارد. در مرحله‌ی نخست، مشتریان فعال و دارای رابطه‌ی معنادار با بانک بر اساس چهار معیار مدل RFM (تازگی، تکرار، ارزش پولی و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Tahoma" w:cs="Tahoma" w:eastAsia="Tahoma" w:hAnsi="Tahoma"/>
          <w:b/>
          <w:bCs/>
          <w:sz w:val="21"/>
          <w:szCs w:val="21"/>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رابطه‌ی مالی فعال از طریق اقساط ماهانه</w:t>
            </w:r>
          </w:p>
        </w:tc>
      </w:tr>
    </w:tbl>
    <w:p>
      <w:pPr>
        <w:spacing w:after="200"/>
      </w:pPr>
    </w:p>
    <w:p>
      <w:pPr>
        <w:bidi/>
        <w:spacing w:after="160" w:line="312"/>
        <w:jc w:val="left"/>
      </w:pPr>
      <w:r>
        <w:rPr>
          <w:rFonts w:ascii="Tahoma" w:cs="Tahoma" w:eastAsia="Tahoma" w:hAnsi="Tahoma"/>
          <w:sz w:val="21"/>
          <w:szCs w:val="21"/>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Tahoma" w:cs="Tahoma" w:eastAsia="Tahoma" w:hAnsi="Tahoma"/>
          <w:b/>
          <w:bCs/>
          <w:color w:val="1F4E79"/>
          <w:sz w:val="24"/>
          <w:szCs w:val="24"/>
          <w:rtl/>
        </w:rPr>
        <w:t xml:space="preserve">۱.۲.۲ جمعیت هدف و حجم نمونه</w:t>
      </w:r>
    </w:p>
    <w:p>
      <w:pPr>
        <w:bidi/>
        <w:spacing w:after="160" w:line="312"/>
        <w:jc w:val="left"/>
      </w:pPr>
      <w:r>
        <w:rPr>
          <w:rFonts w:ascii="Tahoma" w:cs="Tahoma" w:eastAsia="Tahoma" w:hAnsi="Tahoma"/>
          <w:sz w:val="21"/>
          <w:szCs w:val="21"/>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۱-۱: از کل مشتریان بانک تا نمونه‌ی برنامه‌ریزی‌شده</w:t>
      </w:r>
    </w:p>
    <w:p>
      <w:pPr>
        <w:bidi/>
        <w:spacing w:after="160" w:line="312"/>
        <w:jc w:val="left"/>
      </w:pPr>
      <w:r>
        <w:rPr>
          <w:rFonts w:ascii="Tahoma" w:cs="Tahoma" w:eastAsia="Tahoma" w:hAnsi="Tahoma"/>
          <w:sz w:val="21"/>
          <w:szCs w:val="21"/>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Tahoma" w:cs="Tahoma" w:eastAsia="Tahoma" w:hAnsi="Tahoma"/>
          <w:b/>
          <w:bCs/>
          <w:sz w:val="21"/>
          <w:szCs w:val="21"/>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bl>
    <w:p>
      <w:pPr>
        <w:spacing w:after="200"/>
      </w:pPr>
    </w:p>
    <w:p>
      <w:pPr>
        <w:bidi/>
        <w:spacing w:after="160" w:line="312"/>
        <w:jc w:val="left"/>
      </w:pPr>
      <w:r>
        <w:rPr>
          <w:rFonts w:ascii="Tahoma" w:cs="Tahoma" w:eastAsia="Tahoma" w:hAnsi="Tahoma"/>
          <w:sz w:val="21"/>
          <w:szCs w:val="21"/>
          <w:rtl/>
        </w:rPr>
        <w:t xml:space="preserve">در نمونه‌گیری تسهیلات‌گیرندگان حقیقی، جمعیت به شش طبقه‌ی مانده تقسیم شد و در هر طبقه تخصیص متناسب با سهم استانی از تسهیلات بانک انجام گرفت. برای بزرگ‌ترین طبقه، که جمعیت آن کمتر از ۳۰ نفر است، تخصیص غیرمتناسب به کار رفت تا نمایندگی آماری حفظ شود.</w:t>
      </w:r>
    </w:p>
    <w:p>
      <w:pPr>
        <w:keepNext/>
        <w:bidi/>
        <w:spacing w:after="100" w:before="200"/>
        <w:jc w:val="left"/>
      </w:pPr>
      <w:r>
        <w:rPr>
          <w:rFonts w:ascii="Tahoma" w:cs="Tahoma" w:eastAsia="Tahoma" w:hAnsi="Tahoma"/>
          <w:b/>
          <w:bCs/>
          <w:sz w:val="21"/>
          <w:szCs w:val="21"/>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81"/>
        <w:gridCol w:w="2469"/>
        <w:gridCol w:w="1828"/>
        <w:gridCol w:w="2472"/>
      </w:tblGrid>
      <w:tr>
        <w:trPr>
          <w:cantSplit/>
          <w:tblHeader/>
        </w:trPr>
        <w:tc>
          <w:tcPr>
            <w:tcW w:type="dxa" w:w="25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مانده‌ی تسهیلات</w:t>
            </w:r>
          </w:p>
        </w:tc>
        <w:tc>
          <w:tcPr>
            <w:tcW w:type="dxa" w:w="24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حقیقی در جمعیت</w:t>
            </w:r>
          </w:p>
        </w:tc>
        <w:tc>
          <w:tcPr>
            <w:tcW w:type="dxa" w:w="18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جمعیت</w:t>
            </w:r>
          </w:p>
        </w:tc>
        <w:tc>
          <w:tcPr>
            <w:tcW w:type="dxa" w:w="2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تخصیص‌یافته</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۱,۲۴۴,۵۸۲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۲۰۵,۳۵۶</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۲۲۴,۸۴۲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۳۷,۰۹۹</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۸۰,۰۸۴</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۱۳,۲۱۴</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۶,۰۶۰</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۱,۰۰۰</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۲۰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۲۰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۳۰ (تخصیص غیرمتناسب)</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۱,۵۵۵,۸۳۳</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۲۵۶,۷۱۳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۱.۲.۳ پیامد طراحی برای مطالعه‌ی گزارش</w:t>
      </w:r>
    </w:p>
    <w:p>
      <w:pPr>
        <w:bidi/>
        <w:spacing w:after="160" w:line="312"/>
        <w:jc w:val="left"/>
      </w:pPr>
      <w:r>
        <w:rPr>
          <w:rFonts w:ascii="Tahoma" w:cs="Tahoma" w:eastAsia="Tahoma" w:hAnsi="Tahoma"/>
          <w:sz w:val="21"/>
          <w:szCs w:val="21"/>
          <w:rtl/>
        </w:rPr>
        <w:t xml:space="preserve">طراحی نمونه سه ویژگی دارد که نحوه‌ی خواندن ارقام را روشن می‌کند.</w:t>
      </w:r>
    </w:p>
    <w:p>
      <w:pPr>
        <w:bidi/>
        <w:spacing w:after="160" w:line="312"/>
        <w:jc w:val="left"/>
      </w:pPr>
      <w:r>
        <w:rPr>
          <w:rFonts w:ascii="Tahoma" w:cs="Tahoma" w:eastAsia="Tahoma" w:hAnsi="Tahoma"/>
          <w:sz w:val="21"/>
          <w:szCs w:val="21"/>
          <w:rtl/>
        </w:rPr>
        <w:t xml:space="preserve">نخست، نمونه بر مشتریان فعال استوار است؛ بنابراین نتایج رفتار مشتریانی را بازتاب می‌دهد که رابطه‌ی جاری و معنادار با بانک دارند، یعنی همان گروهی که برنامه‌های بازاریابی و مدیریت ریسک بانک بر آن‌ها متمرکز است.</w:t>
      </w:r>
    </w:p>
    <w:p>
      <w:pPr>
        <w:bidi/>
        <w:spacing w:after="160" w:line="312"/>
        <w:jc w:val="left"/>
      </w:pPr>
      <w:r>
        <w:rPr>
          <w:rFonts w:ascii="Tahoma" w:cs="Tahoma" w:eastAsia="Tahoma" w:hAnsi="Tahoma"/>
          <w:sz w:val="21"/>
          <w:szCs w:val="21"/>
          <w:rtl/>
        </w:rPr>
        <w:t xml:space="preserve">دوم، تخصیص نمونه به مشتریان بزرگ‌تر وزن بیشتری داده است. نتیجه آن است که نمونه سهم بسیار بیشتری از مبالغ بانک را نسبت به سهم تعدادی خود پوشش می‌دهد؛ فصل ۲ این پوشش را با آمار رسمی ماهانه‌ی بانک می‌سنجد.</w:t>
      </w:r>
    </w:p>
    <w:p>
      <w:pPr>
        <w:bidi/>
        <w:spacing w:after="160" w:line="312"/>
        <w:jc w:val="left"/>
      </w:pPr>
      <w:r>
        <w:rPr>
          <w:rFonts w:ascii="Tahoma" w:cs="Tahoma" w:eastAsia="Tahoma" w:hAnsi="Tahoma"/>
          <w:sz w:val="21"/>
          <w:szCs w:val="21"/>
          <w:rtl/>
        </w:rPr>
        <w:t xml:space="preserve">سوم، چون سهم استانی در تخصیص نمونه لحاظ شده است، ساختار جغرافیایی نمونه با ساختار بانک سازگار است و تحلیل‌های استانی فصل ۷ امکان مقایسه‌ی مستقیم با آمار رسمی را دارند.</w:t>
      </w:r>
    </w:p>
    <w:p>
      <w:pPr>
        <w:bidi/>
        <w:spacing w:after="160" w:line="312"/>
        <w:jc w:val="left"/>
      </w:pPr>
      <w:r>
        <w:rPr>
          <w:rFonts w:ascii="Tahoma" w:cs="Tahoma" w:eastAsia="Tahoma" w:hAnsi="Tahoma"/>
          <w:sz w:val="21"/>
          <w:szCs w:val="21"/>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Tahoma" w:cs="Tahoma" w:eastAsia="Tahoma" w:hAnsi="Tahoma"/>
          <w:b/>
          <w:bCs/>
          <w:color w:val="1F4E79"/>
          <w:sz w:val="28"/>
          <w:szCs w:val="28"/>
          <w:rtl/>
        </w:rPr>
        <w:t xml:space="preserve">۱.۳ رویکرد تحلیل</w:t>
      </w:r>
      <w:bookmarkEnd w:id="9"/>
    </w:p>
    <w:p>
      <w:pPr>
        <w:bidi/>
        <w:spacing w:after="160" w:line="312"/>
        <w:jc w:val="left"/>
      </w:pPr>
      <w:r>
        <w:rPr>
          <w:rFonts w:ascii="Tahoma" w:cs="Tahoma" w:eastAsia="Tahoma" w:hAnsi="Tahoma"/>
          <w:sz w:val="21"/>
          <w:szCs w:val="21"/>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Tahoma" w:cs="Tahoma" w:eastAsia="Tahoma" w:hAnsi="Tahoma"/>
          <w:sz w:val="21"/>
          <w:szCs w:val="21"/>
          <w:rtl/>
        </w:rPr>
        <w:t xml:space="preserve">در همه‌ی فصل‌ها سه اصل رعایت شده است. نخست، ارقام نمونه با آمار رسمی ماهانه‌ی بانک در سطح استان و شعبه (۶۰ ماه) مقایسه می‌شوند تا اعتبار آن‌ها به‌صورت مستقل سنجیده شود. دوم، هر رقم به یکی از مبناهای محاسباتی جدول تطبیق (بخش ۱.۶) ارجاع دارد، تا همواره روشن باشد رقم از چه مجموعه‌ای به دست آمده است. سوم، تحلیل‌ها بر نمودار استوارند: هر فصل با نمودارهای تحلیلی آغاز می‌شود و جدول‌ها ارقام دقیق آن‌ها را در اختیار می‌گذارند.</w:t>
      </w:r>
    </w:p>
    <w:p>
      <w:pPr>
        <w:pBdr>
          <w:bottom w:val="single" w:color="BBBBBB" w:sz="6"/>
        </w:pBdr>
        <w:spacing w:after="100" w:before="100"/>
      </w:pPr>
    </w:p>
    <w:p>
      <w:pPr>
        <w:pStyle w:val="Heading2"/>
        <w:keepNext/>
        <w:bidi/>
        <w:spacing w:after="160" w:before="300"/>
        <w:jc w:val="left"/>
      </w:pPr>
      <w:bookmarkStart w:name="_Toc10" w:id="10"/>
      <w:r>
        <w:rPr>
          <w:rFonts w:ascii="Tahoma" w:cs="Tahoma" w:eastAsia="Tahoma" w:hAnsi="Tahoma"/>
          <w:b/>
          <w:bCs/>
          <w:color w:val="1F4E79"/>
          <w:sz w:val="28"/>
          <w:szCs w:val="28"/>
          <w:rtl/>
        </w:rPr>
        <w:t xml:space="preserve">۱.۴ زنجیره‌ی پردازش داده</w:t>
      </w:r>
      <w:bookmarkEnd w:id="10"/>
    </w:p>
    <w:p>
      <w:pPr>
        <w:bidi/>
        <w:spacing w:after="160" w:line="312"/>
        <w:jc w:val="left"/>
      </w:pPr>
      <w:r>
        <w:rPr>
          <w:rFonts w:ascii="Tahoma" w:cs="Tahoma" w:eastAsia="Tahoma" w:hAnsi="Tahoma"/>
          <w:sz w:val="21"/>
          <w:szCs w:val="21"/>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و کالیبراسیون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۱-۲: زنجیره‌ی پردازش داده، از جدول‌های بانک تا ارقام گزارش</w:t>
      </w:r>
    </w:p>
    <w:p>
      <w:pPr>
        <w:bidi/>
        <w:spacing w:after="160" w:line="312"/>
        <w:jc w:val="left"/>
      </w:pPr>
      <w:r>
        <w:rPr>
          <w:rFonts w:ascii="Tahoma" w:cs="Tahoma" w:eastAsia="Tahoma" w:hAnsi="Tahoma"/>
          <w:sz w:val="21"/>
          <w:szCs w:val="21"/>
          <w:rtl/>
        </w:rPr>
        <w:t xml:space="preserve">هیچ رقمی در گزارش به‌صورت دستی درج نشده است؛ همه‌ی ارقام، از جمله شاخص‌های خلاصه‌ی مدیریتی، مستقیماً از فایل‌های خروجی تحلیل‌ها خوانده می‌شوند. بنابراین هر اصلاح در داده‌ی منبع به‌صورت خودکار در همه‌ی خروجی‌ها اعمال می‌شود.</w:t>
      </w:r>
    </w:p>
    <w:p>
      <w:pPr>
        <w:pBdr>
          <w:bottom w:val="single" w:color="BBBBBB" w:sz="6"/>
        </w:pBdr>
        <w:spacing w:after="100" w:before="100"/>
      </w:pPr>
    </w:p>
    <w:p>
      <w:pPr>
        <w:pStyle w:val="Heading2"/>
        <w:keepNext/>
        <w:bidi/>
        <w:spacing w:after="160" w:before="300"/>
        <w:jc w:val="left"/>
      </w:pPr>
      <w:bookmarkStart w:name="_Toc11" w:id="11"/>
      <w:r>
        <w:rPr>
          <w:rFonts w:ascii="Tahoma" w:cs="Tahoma" w:eastAsia="Tahoma" w:hAnsi="Tahoma"/>
          <w:b/>
          <w:bCs/>
          <w:color w:val="1F4E79"/>
          <w:sz w:val="28"/>
          <w:szCs w:val="28"/>
          <w:rtl/>
        </w:rPr>
        <w:t xml:space="preserve">۱.۵ قواعد یکپارچه‌سازی داده</w:t>
      </w:r>
      <w:bookmarkEnd w:id="11"/>
    </w:p>
    <w:p>
      <w:pPr>
        <w:bidi/>
        <w:spacing w:after="160" w:line="312"/>
        <w:jc w:val="left"/>
      </w:pPr>
      <w:r>
        <w:rPr>
          <w:rFonts w:ascii="Tahoma" w:cs="Tahoma" w:eastAsia="Tahoma" w:hAnsi="Tahoma"/>
          <w:sz w:val="21"/>
          <w:szCs w:val="21"/>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onsolas" w:cs="Consolas" w:eastAsia="Consolas" w:hAnsi="Consolas"/>
          <w:b w:val="false"/>
          <w:bCs w:val="false"/>
          <w:sz w:val="18"/>
          <w:szCs w:val="18"/>
          <w:rtl w:val="false"/>
        </w:rPr>
        <w:t xml:space="preserve">Loan_Remain</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بنابراین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Tahoma" w:cs="Tahoma" w:eastAsia="Tahoma" w:hAnsi="Tahoma"/>
          <w:b/>
          <w:bCs/>
          <w:sz w:val="21"/>
          <w:szCs w:val="21"/>
          <w:rtl/>
        </w:rPr>
        <w:t xml:space="preserve">جدول ۱-۴: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 از یکپارچه‌سازی در سطح (قرارداد، ماه) —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r>
    </w:tbl>
    <w:p>
      <w:pPr>
        <w:spacing w:after="200"/>
      </w:pPr>
    </w:p>
    <w:p>
      <w:pPr>
        <w:bidi/>
        <w:spacing w:after="160" w:line="312"/>
        <w:jc w:val="left"/>
      </w:pPr>
      <w:r>
        <w:rPr>
          <w:rFonts w:ascii="Tahoma" w:cs="Tahoma" w:eastAsia="Tahoma" w:hAnsi="Tahoma"/>
          <w:sz w:val="21"/>
          <w:szCs w:val="21"/>
          <w:rtl/>
        </w:rPr>
        <w:t xml:space="preserve">نتیجه‌ی این قاعده یک مبنای واحد برای مانده‌ی تسهیلات است که طبقه‌بندی مطالبات، نسبت تسهیلات به سپرده، رشد سالانه و تحلیل‌های ریسک بر آن استوارند. از آنجا که ستون شناسه‌ی مشتری در این جدول همه‌ی طرفین قرارداد را فهرست می‌کند، تحلیل‌های سطح مشتری در این گزارش بر پایه‌ی </w:t>
      </w:r>
      <w:r>
        <w:rPr>
          <w:rFonts w:ascii="Tahoma" w:cs="Tahoma" w:eastAsia="Tahoma" w:hAnsi="Tahoma"/>
          <w:b/>
          <w:bCs/>
          <w:sz w:val="21"/>
          <w:szCs w:val="21"/>
          <w:rtl/>
        </w:rPr>
        <w:t xml:space="preserve">گیرنده‌ی اصلی تسهیلات</w:t>
      </w:r>
      <w:r>
        <w:rPr>
          <w:rFonts w:ascii="Tahoma" w:cs="Tahoma" w:eastAsia="Tahoma" w:hAnsi="Tahoma"/>
          <w:sz w:val="21"/>
          <w:szCs w:val="21"/>
          <w:rtl/>
        </w:rPr>
        <w:t xml:space="preserve"> انجام شده‌اند و ضامن‌ها و شرکا در شمارش مشتریان وارد نشده‌اند.</w:t>
      </w:r>
    </w:p>
    <w:p>
      <w:pPr>
        <w:bidi/>
        <w:spacing w:after="160" w:line="312"/>
        <w:jc w:val="left"/>
      </w:pPr>
      <w:r>
        <w:rPr>
          <w:rFonts w:ascii="Tahoma" w:cs="Tahoma" w:eastAsia="Tahoma" w:hAnsi="Tahoma"/>
          <w:sz w:val="21"/>
          <w:szCs w:val="21"/>
          <w:rtl/>
        </w:rPr>
        <w:t xml:space="preserve">برای سایر جداول نیز ردیف‌های تکراری ناشی از فرآیند استخراج شناسایی و پیش از تحلیل یکسان شد. </w:t>
      </w:r>
      <w:r>
        <w:rPr>
          <w:rFonts w:ascii="Tahoma" w:cs="Tahoma" w:eastAsia="Tahoma" w:hAnsi="Tahoma"/>
          <w:b/>
          <w:bCs/>
          <w:sz w:val="21"/>
          <w:szCs w:val="21"/>
          <w:rtl/>
        </w:rPr>
        <w:t xml:space="preserve">جدول ۱-۵</w:t>
      </w:r>
      <w:r>
        <w:rPr>
          <w:rFonts w:ascii="Tahoma" w:cs="Tahoma" w:eastAsia="Tahoma" w:hAnsi="Tahoma"/>
          <w:sz w:val="21"/>
          <w:szCs w:val="21"/>
          <w:rtl/>
        </w:rPr>
        <w:t xml:space="preserve"> قواعد اعمال‌شده را خلاصه می‌کند.</w:t>
      </w:r>
    </w:p>
    <w:p>
      <w:pPr>
        <w:keepNext/>
        <w:bidi/>
        <w:spacing w:after="100" w:before="200"/>
        <w:jc w:val="left"/>
      </w:pPr>
      <w:r>
        <w:rPr>
          <w:rFonts w:ascii="Tahoma" w:cs="Tahoma" w:eastAsia="Tahoma" w:hAnsi="Tahoma"/>
          <w:b/>
          <w:bCs/>
          <w:sz w:val="21"/>
          <w:szCs w:val="21"/>
          <w:rtl/>
        </w:rPr>
        <w:t xml:space="preserve">جدول ۱-۵: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LoanFileID_Brnach</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Tahoma" w:cs="Tahoma" w:eastAsia="Tahoma" w:hAnsi="Tahoma"/>
          <w:b/>
          <w:bCs/>
          <w:color w:val="1F4E79"/>
          <w:sz w:val="28"/>
          <w:szCs w:val="28"/>
          <w:rtl/>
        </w:rPr>
        <w:t xml:space="preserve">۱.۶ جدول تطبیق: مرجع واحد ارقام گزارش</w:t>
      </w:r>
      <w:bookmarkEnd w:id="12"/>
    </w:p>
    <w:p>
      <w:pPr>
        <w:bidi/>
        <w:spacing w:after="160" w:line="312"/>
        <w:jc w:val="left"/>
      </w:pPr>
      <w:r>
        <w:rPr>
          <w:rFonts w:ascii="Tahoma" w:cs="Tahoma" w:eastAsia="Tahoma" w:hAnsi="Tahoma"/>
          <w:sz w:val="21"/>
          <w:szCs w:val="21"/>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Tahoma" w:cs="Tahoma" w:eastAsia="Tahoma" w:hAnsi="Tahoma"/>
          <w:b/>
          <w:bCs/>
          <w:color w:val="1F4E79"/>
          <w:sz w:val="24"/>
          <w:szCs w:val="24"/>
          <w:rtl/>
        </w:rPr>
        <w:t xml:space="preserve">۱.۶.۱ مبناهای ارزشی</w:t>
      </w:r>
    </w:p>
    <w:p>
      <w:pPr>
        <w:bidi/>
        <w:spacing w:after="160" w:line="312"/>
        <w:jc w:val="left"/>
      </w:pPr>
      <w:r>
        <w:rPr>
          <w:rFonts w:ascii="Tahoma" w:cs="Tahoma" w:eastAsia="Tahoma" w:hAnsi="Tahoma"/>
          <w:sz w:val="21"/>
          <w:szCs w:val="21"/>
          <w:rtl/>
        </w:rPr>
        <w:t xml:space="preserve">جدول ۱-۶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Tahoma" w:cs="Tahoma" w:eastAsia="Tahoma" w:hAnsi="Tahoma"/>
          <w:b/>
          <w:bCs/>
          <w:sz w:val="21"/>
          <w:szCs w:val="21"/>
          <w:rtl/>
        </w:rPr>
        <w:t xml:space="preserve">جدول ۱-۶: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r>
              <w:rPr>
                <w:rFonts w:ascii="Tahoma" w:cs="Tahoma" w:eastAsia="Tahoma" w:hAnsi="Tahoma"/>
                <w:b w:val="false"/>
                <w:bCs w:val="false"/>
                <w:sz w:val="19"/>
                <w:szCs w:val="19"/>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پ-۱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۱.۶.۲ مبناهای تعدادی</w:t>
      </w:r>
    </w:p>
    <w:p>
      <w:pPr>
        <w:bidi/>
        <w:spacing w:after="160" w:line="312"/>
        <w:jc w:val="left"/>
      </w:pPr>
      <w:r>
        <w:rPr>
          <w:rFonts w:ascii="Tahoma" w:cs="Tahoma" w:eastAsia="Tahoma" w:hAnsi="Tahoma"/>
          <w:sz w:val="21"/>
          <w:szCs w:val="21"/>
          <w:rtl/>
        </w:rPr>
        <w:t xml:space="preserve">جدول ۱-۷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Tahoma" w:cs="Tahoma" w:eastAsia="Tahoma" w:hAnsi="Tahoma"/>
          <w:b/>
          <w:bCs/>
          <w:sz w:val="21"/>
          <w:szCs w:val="21"/>
          <w:rtl/>
        </w:rPr>
        <w:t xml:space="preserve">جدول ۱-۷: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حاضر در </w:t>
            </w: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و </w:t>
            </w:r>
            <w:r>
              <w:rPr>
                <w:rFonts w:ascii="Consolas" w:cs="Consolas" w:eastAsia="Consolas" w:hAnsi="Consolas"/>
                <w:b w:val="false"/>
                <w:bCs w:val="false"/>
                <w:sz w:val="16"/>
                <w:szCs w:val="16"/>
                <w:rtl w:val="false"/>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p>
        </w:tc>
      </w:tr>
    </w:tbl>
    <w:p>
      <w:pPr>
        <w:spacing w:after="200"/>
      </w:pPr>
    </w:p>
    <w:p>
      <w:pPr>
        <w:bidi/>
        <w:spacing w:after="160" w:line="312"/>
        <w:jc w:val="left"/>
      </w:pPr>
      <w:r>
        <w:rPr>
          <w:rFonts w:ascii="Tahoma" w:cs="Tahoma" w:eastAsia="Tahoma" w:hAnsi="Tahoma"/>
          <w:sz w:val="21"/>
          <w:szCs w:val="21"/>
          <w:rtl/>
        </w:rPr>
        <w:t xml:space="preserve">برای سنجش صحت محاسبات، سه رابطه‌ی زیر در هر بازتولید گزارش بررسی می‌شود:</w:t>
      </w:r>
    </w:p>
    <w:p>
      <w:pPr>
        <w:spacing w:after="160" w:before="120"/>
        <w:jc w:val="center"/>
      </w:pPr>
      <m:oMath>
        <m:r>
          <m:t>الف-۱</m:t>
        </m:r>
        <m:r>
          <m:t>+</m:t>
        </m:r>
        <m:r>
          <m:t>الف-۲</m:t>
        </m:r>
        <m:r>
          <m:t>=</m:t>
        </m:r>
        <m:r>
          <m:t>الف</m:t>
        </m:r>
        <m:r>
          <m:t xml:space="preserve">      ⟹      </m:t>
        </m:r>
        <m:r>
          <m:t>۹۹۴.۵</m:t>
        </m:r>
        <m:r>
          <m:t>+</m:t>
        </m:r>
        <m:r>
          <m:t>۲۸۷.۱</m:t>
        </m:r>
        <m:r>
          <m:t>=</m:t>
        </m:r>
        <m:r>
          <m:t>۱,۲۸۱.۶</m:t>
        </m:r>
      </m:oMath>
    </w:p>
    <w:p>
      <w:pPr>
        <w:spacing w:after="160" w:before="120"/>
        <w:jc w:val="center"/>
      </w:pPr>
      <m:oMath>
        <m:r>
          <m:t>پ-۱</m:t>
        </m:r>
        <m:r>
          <m:t>+</m:t>
        </m:r>
        <m:r>
          <m:t>پ-۲</m:t>
        </m:r>
        <m:r>
          <m:t>=</m:t>
        </m:r>
        <m:r>
          <m:t>پ</m:t>
        </m:r>
        <m:r>
          <m:t xml:space="preserve">      ⟹      </m:t>
        </m:r>
        <m:r>
          <m:t>۵۱.۹</m:t>
        </m:r>
        <m:r>
          <m:t>+</m:t>
        </m:r>
        <m:r>
          <m:t>۶۰.۴</m:t>
        </m:r>
        <m:r>
          <m:t>=</m:t>
        </m:r>
        <m:r>
          <m:t>۱۱۲.۲</m:t>
        </m:r>
      </m:oMath>
    </w:p>
    <w:p>
      <w:pPr>
        <w:spacing w:after="160" w:before="120"/>
        <w:jc w:val="center"/>
      </w:pPr>
      <m:oMath>
        <m:r>
          <m:t>ت-۱</m:t>
        </m:r>
        <m:r>
          <m:t>+</m:t>
        </m:r>
        <m:r>
          <m:t>ت-۲</m:t>
        </m:r>
        <m:r>
          <m:t>=</m:t>
        </m:r>
        <m:r>
          <m:t>ت</m:t>
        </m:r>
        <m:r>
          <m:t xml:space="preserve">      ⟹      </m:t>
        </m:r>
        <m:r>
          <m:t>۶۸۴,۳۲۸</m:t>
        </m:r>
        <m:r>
          <m:t>+</m:t>
        </m:r>
        <m:r>
          <m:t>۶۳۷,۹۷۵</m:t>
        </m:r>
        <m:r>
          <m:t>=</m:t>
        </m:r>
        <m:r>
          <m:t>۱,۳۲۲,۳۰۳</m:t>
        </m:r>
      </m:oMath>
    </w:p>
    <w:p>
      <w:pPr>
        <w:pStyle w:val="Heading3"/>
        <w:keepNext/>
        <w:bidi/>
        <w:spacing w:after="160" w:before="300"/>
        <w:jc w:val="left"/>
      </w:pPr>
      <w:r>
        <w:rPr>
          <w:rFonts w:ascii="Tahoma" w:cs="Tahoma" w:eastAsia="Tahoma" w:hAnsi="Tahoma"/>
          <w:b/>
          <w:bCs/>
          <w:color w:val="1F4E79"/>
          <w:sz w:val="24"/>
          <w:szCs w:val="24"/>
          <w:rtl/>
        </w:rPr>
        <w:t xml:space="preserve">۱.۶.۳ نگاشت خروجی‌ها به مبناها</w:t>
      </w:r>
    </w:p>
    <w:p>
      <w:pPr>
        <w:bidi/>
        <w:spacing w:after="160" w:line="312"/>
        <w:jc w:val="left"/>
      </w:pPr>
      <w:r>
        <w:rPr>
          <w:rFonts w:ascii="Tahoma" w:cs="Tahoma" w:eastAsia="Tahoma" w:hAnsi="Tahoma"/>
          <w:sz w:val="21"/>
          <w:szCs w:val="21"/>
          <w:rtl/>
        </w:rPr>
        <w:t xml:space="preserve">جدول ۱-۸ نشان می‌دهد هر گروه از خروجی‌های گزارش بر کدام مبنا استوار است. </w:t>
      </w:r>
      <w:r>
        <w:rPr>
          <w:rFonts w:ascii="Tahoma" w:cs="Tahoma" w:eastAsia="Tahoma" w:hAnsi="Tahoma"/>
          <w:b/>
          <w:bCs/>
          <w:sz w:val="21"/>
          <w:szCs w:val="21"/>
          <w:rtl/>
        </w:rPr>
        <w:t xml:space="preserve">ارقام مبنای الف-۱ با ارقام مبنای الف جمع‌پذیر نیستند و سهم‌های آن‌ها با یکدیگر قابل جابه‌جایی نیست.</w:t>
      </w:r>
      <w:r>
        <w:rPr>
          <w:rFonts w:ascii="Tahoma" w:cs="Tahoma" w:eastAsia="Tahoma" w:hAnsi="Tahoma"/>
          <w:sz w:val="21"/>
          <w:szCs w:val="21"/>
          <w:rtl/>
        </w:rPr>
        <w:t xml:space="preserve"> برای نمونه، نسبت مطالبات غیرجاری در بخش دارای اطلاعات قرارداد ۵.۲۱ درصد و در کل پرتفوی ۸.۷۶ درصد است؛ این تفاوت از اختلاف دو مبنا ناشی می‌شود و در بخش ۶.۲ به‌عنوان یکی از یافته‌های اصلی تحلیل شده است.</w:t>
      </w:r>
    </w:p>
    <w:p>
      <w:pPr>
        <w:keepNext/>
        <w:bidi/>
        <w:spacing w:after="100" w:before="200"/>
        <w:jc w:val="left"/>
      </w:pPr>
      <w:r>
        <w:rPr>
          <w:rFonts w:ascii="Tahoma" w:cs="Tahoma" w:eastAsia="Tahoma" w:hAnsi="Tahoma"/>
          <w:b/>
          <w:bCs/>
          <w:sz w:val="21"/>
          <w:szCs w:val="21"/>
          <w:rtl/>
        </w:rPr>
        <w:t xml:space="preserve">جدول ۱-۸: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(کل ۱,۲۸۱.۶)</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(دارای اطلاعات قرارداد ۹۹۴.۵)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r>
              <w:rPr>
                <w:rFonts w:ascii="Tahoma" w:cs="Tahoma" w:eastAsia="Tahoma" w:hAnsi="Tahoma"/>
                <w:b w:val="false"/>
                <w:bCs w:val="false"/>
                <w:sz w:val="19"/>
                <w:szCs w:val="19"/>
                <w:rtl/>
              </w:rPr>
              <w:t xml:space="preserve"> (سپرده ۸۴۷.۶)</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ترکیب پرتفوی، پلکان مانده، تمرکز و منحنی لورنز، نوسان،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r>
              <w:rPr>
                <w:rFonts w:ascii="Tahoma" w:cs="Tahoma" w:eastAsia="Tahoma" w:hAnsi="Tahoma"/>
                <w:b w:val="false"/>
                <w:bCs w:val="false"/>
                <w:sz w:val="19"/>
                <w:szCs w:val="19"/>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سود مؤثر سپرده به تفکیک نوع</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Tahoma" w:cs="Tahoma" w:eastAsia="Tahoma" w:hAnsi="Tahoma"/>
          <w:b/>
          <w:bCs/>
          <w:color w:val="1F4E79"/>
          <w:sz w:val="28"/>
          <w:szCs w:val="28"/>
          <w:rtl/>
        </w:rPr>
        <w:t xml:space="preserve">۱.۷ قراردادهای نمایش و واحدها</w:t>
      </w:r>
      <w:bookmarkEnd w:id="13"/>
    </w:p>
    <w:p>
      <w:pPr>
        <w:keepNext/>
        <w:bidi/>
        <w:spacing w:after="100" w:before="200"/>
        <w:jc w:val="left"/>
      </w:pPr>
      <w:r>
        <w:rPr>
          <w:rFonts w:ascii="Tahoma" w:cs="Tahoma" w:eastAsia="Tahoma" w:hAnsi="Tahoma"/>
          <w:b/>
          <w:bCs/>
          <w:sz w:val="21"/>
          <w:szCs w:val="21"/>
          <w:rtl/>
        </w:rPr>
        <w:t xml:space="preserve">جدول ۱-۹: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 ۱۰ ریال برابر ۱ تومان است؛ بنابراین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مبالغ کلان با یک رقم اعشار، نسبت‌ها با دو رقم اعشار؛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Tahoma" w:cs="Tahoma" w:eastAsia="Tahoma" w:hAnsi="Tahoma"/>
          <w:sz w:val="21"/>
          <w:szCs w:val="21"/>
          <w:rtl/>
        </w:rPr>
        <w:t xml:space="preserve">برای نمونه، مانده‌ی کل تسهیلات در ۱۲/۱۴۰۴ برابر ۱,۲۸۱.۶ هزار میلیارد ریال است که پس از تقسیم بر ۱۰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(۱۲۸.۲ همت) تبدیل می‌شود.</w:t>
      </w:r>
    </w:p>
    <w:p>
      <w:pPr>
        <w:pBdr>
          <w:bottom w:val="single" w:color="BBBBBB" w:sz="6"/>
        </w:pBdr>
        <w:spacing w:after="100" w:before="100"/>
      </w:pPr>
    </w:p>
    <w:p>
      <w:pPr>
        <w:pStyle w:val="Heading1"/>
        <w:keepNext/>
        <w:pageBreakBefore/>
        <w:bidi/>
        <w:spacing w:after="160" w:before="0"/>
        <w:jc w:val="left"/>
      </w:pPr>
      <w:bookmarkStart w:name="_Toc14" w:id="14"/>
      <w:r>
        <w:rPr>
          <w:rFonts w:ascii="Tahoma" w:cs="Tahoma" w:eastAsia="Tahoma" w:hAnsi="Tahoma"/>
          <w:b/>
          <w:bCs/>
          <w:color w:val="1F4E79"/>
          <w:sz w:val="34"/>
          <w:szCs w:val="34"/>
          <w:rtl/>
        </w:rPr>
        <w:t xml:space="preserve">فصل ۲ — داده‌های در دسترس و پوشش نمونه</w:t>
      </w:r>
      <w:bookmarkEnd w:id="14"/>
    </w:p>
    <w:p>
      <w:pPr>
        <w:pStyle w:val="Heading2"/>
        <w:keepNext/>
        <w:bidi/>
        <w:spacing w:after="160" w:before="300"/>
        <w:jc w:val="left"/>
      </w:pPr>
      <w:bookmarkStart w:name="_Toc15" w:id="15"/>
      <w:r>
        <w:rPr>
          <w:rFonts w:ascii="Tahoma" w:cs="Tahoma" w:eastAsia="Tahoma" w:hAnsi="Tahoma"/>
          <w:b/>
          <w:bCs/>
          <w:color w:val="1F4E79"/>
          <w:sz w:val="28"/>
          <w:szCs w:val="28"/>
          <w:rtl/>
        </w:rPr>
        <w:t xml:space="preserve">۲.۱ هدف فصل</w:t>
      </w:r>
      <w:bookmarkEnd w:id="15"/>
    </w:p>
    <w:p>
      <w:pPr>
        <w:bidi/>
        <w:spacing w:after="160" w:line="312"/>
        <w:jc w:val="left"/>
      </w:pPr>
      <w:r>
        <w:rPr>
          <w:rFonts w:ascii="Tahoma" w:cs="Tahoma" w:eastAsia="Tahoma" w:hAnsi="Tahoma"/>
          <w:sz w:val="21"/>
          <w:szCs w:val="21"/>
          <w:rtl/>
        </w:rPr>
        <w:t xml:space="preserve">این فصل تصویری از داده‌هایی ارائه می‌کند که تحلیل‌های گزارش بر آن‌ها استوارند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را (۲.۵) و پرسش‌های فنی از بانک را (۲.۶) بیان می‌کنند.</w:t>
      </w:r>
    </w:p>
    <w:p>
      <w:pPr>
        <w:bidi/>
        <w:spacing w:after="160" w:line="312"/>
        <w:jc w:val="left"/>
      </w:pPr>
      <w:r>
        <w:rPr>
          <w:rFonts w:ascii="Tahoma" w:cs="Tahoma" w:eastAsia="Tahoma" w:hAnsi="Tahoma"/>
          <w:sz w:val="21"/>
          <w:szCs w:val="21"/>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6" w:id="16"/>
      <w:r>
        <w:rPr>
          <w:rFonts w:ascii="Tahoma" w:cs="Tahoma" w:eastAsia="Tahoma" w:hAnsi="Tahoma"/>
          <w:b/>
          <w:bCs/>
          <w:color w:val="1F4E79"/>
          <w:sz w:val="28"/>
          <w:szCs w:val="28"/>
          <w:rtl/>
        </w:rPr>
        <w:t xml:space="preserve">۲.۲ منابع داده</w:t>
      </w:r>
      <w:bookmarkEnd w:id="16"/>
    </w:p>
    <w:p>
      <w:pPr>
        <w:bidi/>
        <w:spacing w:after="160" w:line="312"/>
        <w:jc w:val="left"/>
      </w:pPr>
      <w:r>
        <w:rPr>
          <w:rFonts w:ascii="Tahoma" w:cs="Tahoma" w:eastAsia="Tahoma" w:hAnsi="Tahoma"/>
          <w:sz w:val="21"/>
          <w:szCs w:val="21"/>
          <w:rtl/>
        </w:rPr>
        <w:t xml:space="preserve">تحلیل‌های فاز ۱ بر سه گروه داده استوارند.</w:t>
      </w:r>
    </w:p>
    <w:p>
      <w:pPr>
        <w:bidi/>
        <w:spacing w:after="160" w:line="312"/>
        <w:jc w:val="left"/>
      </w:pPr>
      <w:r>
        <w:rPr>
          <w:rFonts w:ascii="Tahoma" w:cs="Tahoma" w:eastAsia="Tahoma" w:hAnsi="Tahoma"/>
          <w:b/>
          <w:bCs/>
          <w:sz w:val="21"/>
          <w:szCs w:val="21"/>
          <w:rtl/>
        </w:rPr>
        <w:t xml:space="preserve">نخست، پایگاه‌داده‌ی عملیاتی `Alzahra_Final_DB`</w:t>
      </w:r>
      <w:r>
        <w:rPr>
          <w:rFonts w:ascii="Tahoma" w:cs="Tahoma" w:eastAsia="Tahoma" w:hAnsi="Tahoma"/>
          <w:sz w:val="21"/>
          <w:szCs w:val="21"/>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60" w:line="312"/>
        <w:jc w:val="left"/>
      </w:pPr>
      <w:r>
        <w:rPr>
          <w:rFonts w:ascii="Tahoma" w:cs="Tahoma" w:eastAsia="Tahoma" w:hAnsi="Tahoma"/>
          <w:b/>
          <w:bCs/>
          <w:sz w:val="21"/>
          <w:szCs w:val="21"/>
          <w:rtl/>
        </w:rPr>
        <w:t xml:space="preserve">دوم، آمار ماهانه‌ی رسمی بانک در سطح استان و شعبه</w:t>
      </w:r>
      <w:r>
        <w:rPr>
          <w:rFonts w:ascii="Tahoma" w:cs="Tahoma" w:eastAsia="Tahoma" w:hAnsi="Tahoma"/>
          <w:sz w:val="21"/>
          <w:szCs w:val="21"/>
          <w:rtl/>
        </w:rPr>
        <w:t xml:space="preserve">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60" w:line="312"/>
        <w:jc w:val="left"/>
      </w:pPr>
      <w:r>
        <w:rPr>
          <w:rFonts w:ascii="Tahoma" w:cs="Tahoma" w:eastAsia="Tahoma" w:hAnsi="Tahoma"/>
          <w:b/>
          <w:bCs/>
          <w:sz w:val="21"/>
          <w:szCs w:val="21"/>
          <w:rtl/>
        </w:rPr>
        <w:t xml:space="preserve">سوم، فایل توزیع مشتریان بانک</w:t>
      </w:r>
      <w:r>
        <w:rPr>
          <w:rFonts w:ascii="Tahoma" w:cs="Tahoma" w:eastAsia="Tahoma" w:hAnsi="Tahoma"/>
          <w:sz w:val="21"/>
          <w:szCs w:val="21"/>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Tahoma" w:cs="Tahoma" w:eastAsia="Tahoma" w:hAnsi="Tahoma"/>
          <w:sz w:val="21"/>
          <w:szCs w:val="21"/>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Tahoma" w:cs="Tahoma" w:eastAsia="Tahoma" w:hAnsi="Tahoma"/>
          <w:b/>
          <w:bCs/>
          <w:sz w:val="21"/>
          <w:szCs w:val="21"/>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 کد شعبه</w:t>
            </w:r>
          </w:p>
        </w:tc>
      </w:tr>
    </w:tbl>
    <w:p>
      <w:pPr>
        <w:spacing w:after="200"/>
      </w:pPr>
    </w:p>
    <w:p>
      <w:pPr>
        <w:bidi/>
        <w:spacing w:after="160" w:line="312"/>
        <w:jc w:val="left"/>
      </w:pPr>
      <w:r>
        <w:rPr>
          <w:rFonts w:ascii="Tahoma" w:cs="Tahoma" w:eastAsia="Tahoma" w:hAnsi="Tahoma"/>
          <w:sz w:val="21"/>
          <w:szCs w:val="21"/>
          <w:rtl/>
        </w:rPr>
        <w:t xml:space="preserve">سه جدول فعالیت ماهانه‌ی سپرده، مانده‌ی تسهیلات و خلاصه‌ی ماهانه‌ی مشتری حدود ۸۴ درصد حجم داده را تشکیل می‌دهند و ستون فقرات تحلیل‌های سری زمانی‌اند.</w:t>
      </w:r>
    </w:p>
    <w:p>
      <w:pPr>
        <w:pBdr>
          <w:bottom w:val="single" w:color="BBBBBB" w:sz="6"/>
        </w:pBdr>
        <w:spacing w:after="100" w:before="100"/>
      </w:pPr>
    </w:p>
    <w:p>
      <w:pPr>
        <w:pStyle w:val="Heading2"/>
        <w:keepNext/>
        <w:bidi/>
        <w:spacing w:after="160" w:before="300"/>
        <w:jc w:val="left"/>
      </w:pPr>
      <w:bookmarkStart w:name="_Toc17" w:id="17"/>
      <w:r>
        <w:rPr>
          <w:rFonts w:ascii="Tahoma" w:cs="Tahoma" w:eastAsia="Tahoma" w:hAnsi="Tahoma"/>
          <w:b/>
          <w:bCs/>
          <w:color w:val="1F4E79"/>
          <w:sz w:val="28"/>
          <w:szCs w:val="28"/>
          <w:rtl/>
        </w:rPr>
        <w:t xml:space="preserve">۲.۳ بازه‌ی زمانی تحلیل</w:t>
      </w:r>
      <w:bookmarkEnd w:id="17"/>
    </w:p>
    <w:p>
      <w:pPr>
        <w:bidi/>
        <w:spacing w:after="160" w:line="312"/>
        <w:jc w:val="left"/>
      </w:pPr>
      <w:r>
        <w:rPr>
          <w:rFonts w:ascii="Tahoma" w:cs="Tahoma" w:eastAsia="Tahoma" w:hAnsi="Tahoma"/>
          <w:sz w:val="21"/>
          <w:szCs w:val="21"/>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۲-۱: بازه‌ی زمانی منابع داده نسبت به بازه‌ی توافق‌شده‌ی تحلیل</w:t>
      </w:r>
    </w:p>
    <w:p>
      <w:pPr>
        <w:bidi/>
        <w:spacing w:after="160" w:line="312"/>
        <w:jc w:val="left"/>
      </w:pPr>
      <w:r>
        <w:rPr>
          <w:rFonts w:ascii="Tahoma" w:cs="Tahoma" w:eastAsia="Tahoma" w:hAnsi="Tahoma"/>
          <w:sz w:val="21"/>
          <w:szCs w:val="21"/>
          <w:rtl/>
        </w:rPr>
        <w:t xml:space="preserve">با توجه به اهمیت یکپارچگی بازه‌ی داده‌ها، تصمیم بر این شد که تمام نسبت‌های بین‌حوزه‌ای، از جمله نسبت تسهیلات به سپرده، و تمام مقایسه‌ها در همین بازه‌ی مشترک ۶۰ ماهه محاسبه شوند. تحلیل سودآوری (فصل ۸) نیز به همین بازه محدود است، زیرا جدول سود پرداختی سپرده از ۰۱/۱۴۰۰ آغاز می‌شود.</w:t>
      </w:r>
    </w:p>
    <w:p>
      <w:pPr>
        <w:bidi/>
        <w:spacing w:after="160" w:line="312"/>
        <w:jc w:val="left"/>
      </w:pPr>
      <w:r>
        <w:rPr>
          <w:rFonts w:ascii="Tahoma" w:cs="Tahoma" w:eastAsia="Tahoma" w:hAnsi="Tahoma"/>
          <w:sz w:val="21"/>
          <w:szCs w:val="21"/>
          <w:rtl/>
        </w:rPr>
        <w:t xml:space="preserve">بر اساس بررسی‌های انجام‌گرفته، داده‌ها برای تمام ماه‌های بازه‌ی توافق‌شده کامل است. ثبت رکوردهای ریز تا ۰۳/۱۴۰۵ ادامه دارد و جداول خلاصه‌ی ماهانه بنا بر درخواست پروژه تا ۱۲/۱۴۰۴ تهیه شده‌اند؛ بنابراین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8" w:id="18"/>
      <w:r>
        <w:rPr>
          <w:rFonts w:ascii="Tahoma" w:cs="Tahoma" w:eastAsia="Tahoma" w:hAnsi="Tahoma"/>
          <w:b/>
          <w:bCs/>
          <w:color w:val="1F4E79"/>
          <w:sz w:val="28"/>
          <w:szCs w:val="28"/>
          <w:rtl/>
        </w:rPr>
        <w:t xml:space="preserve">۲.۴ پوشش نمونه نسبت به کل بانک</w:t>
      </w:r>
      <w:bookmarkEnd w:id="18"/>
    </w:p>
    <w:p>
      <w:pPr>
        <w:bidi/>
        <w:spacing w:after="160" w:line="312"/>
        <w:jc w:val="left"/>
      </w:pPr>
      <w:r>
        <w:rPr>
          <w:rFonts w:ascii="Tahoma" w:cs="Tahoma" w:eastAsia="Tahoma" w:hAnsi="Tahoma"/>
          <w:sz w:val="21"/>
          <w:szCs w:val="21"/>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pPr>
        <w:pStyle w:val="Heading3"/>
        <w:keepNext/>
        <w:bidi/>
        <w:spacing w:after="160" w:before="300"/>
        <w:jc w:val="left"/>
      </w:pPr>
      <w:r>
        <w:rPr>
          <w:rFonts w:ascii="Tahoma" w:cs="Tahoma" w:eastAsia="Tahoma" w:hAnsi="Tahoma"/>
          <w:b/>
          <w:bCs/>
          <w:color w:val="1F4E79"/>
          <w:sz w:val="24"/>
          <w:szCs w:val="24"/>
          <w:rtl/>
        </w:rPr>
        <w:t xml:space="preserve">۲.۴.۱ سهم تعدادی و سهم مبلغی</w:t>
      </w:r>
    </w:p>
    <w:p>
      <w:pPr>
        <w:bidi/>
        <w:spacing w:after="160" w:line="312"/>
        <w:jc w:val="left"/>
      </w:pPr>
      <w:r>
        <w:rPr>
          <w:rFonts w:ascii="Tahoma" w:cs="Tahoma" w:eastAsia="Tahoma" w:hAnsi="Tahoma"/>
          <w:sz w:val="21"/>
          <w:szCs w:val="21"/>
          <w:rtl/>
        </w:rPr>
        <w:t xml:space="preserve">نمودار ۲-۲ نشان می‌دهد نمونه‌ی تحلیلی ۹.۵ درصد از مشتریان سپرده‌گذار و ۱۵.۸ درصد از گیرندگان تسهیلات بانک را در بر می‌گیرد، اما ۶۳.۷ درصد از منابع ریالی و ۸۶.۵ درصد از مانده‌ی تسهیلات بانک را پوشش می‌دهد (۱۲/۱۴۰۴). این تفاوت نتیجه‌ی مستقیم طراحی نمونه است: تخصیص بیشتر به مشتریان بزرگ باعث شده سهم مبلغی نمونه چند برابر سهم تعدادی آن باشد. تعداد کل مشتریان بانک از فایل توزیع مشتریان (مقطع ۰۹/۱۴۰۴) و مبالغ از آمار رسمی ماهانه‌ی ۱۲/۱۴۰۴ استخراج شده‌اند.</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۲-۲: سهم نمونه از کل بانک بر حسب تعداد مشتری و بر حسب مبلغ</w:t>
      </w:r>
    </w:p>
    <w:p>
      <w:pPr>
        <w:pStyle w:val="Heading3"/>
        <w:keepNext/>
        <w:bidi/>
        <w:spacing w:after="160" w:before="300"/>
        <w:jc w:val="left"/>
      </w:pPr>
      <w:r>
        <w:rPr>
          <w:rFonts w:ascii="Tahoma" w:cs="Tahoma" w:eastAsia="Tahoma" w:hAnsi="Tahoma"/>
          <w:b/>
          <w:bCs/>
          <w:color w:val="1F4E79"/>
          <w:sz w:val="24"/>
          <w:szCs w:val="24"/>
          <w:rtl/>
        </w:rPr>
        <w:t xml:space="preserve">۲.۴.۲ پوشش به تفکیک اندازه‌ی مشتری</w:t>
      </w:r>
    </w:p>
    <w:p>
      <w:pPr>
        <w:bidi/>
        <w:spacing w:after="160" w:line="312"/>
        <w:jc w:val="left"/>
      </w:pPr>
      <w:r>
        <w:rPr>
          <w:rFonts w:ascii="Tahoma" w:cs="Tahoma" w:eastAsia="Tahoma" w:hAnsi="Tahoma"/>
          <w:sz w:val="21"/>
          <w:szCs w:val="21"/>
          <w:rtl/>
        </w:rPr>
        <w:t xml:space="preserve">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pPr>
        <w:keepNext/>
        <w:spacing w:after="60" w:before="160"/>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۲-۳: نسبت گیرندگان نمونه به کل گیرندگان بانک به تفکیک طبقه‌ی مانده‌ی تسهیلات</w:t>
      </w:r>
    </w:p>
    <w:p>
      <w:pPr>
        <w:bidi/>
        <w:spacing w:after="160" w:line="312"/>
        <w:jc w:val="left"/>
      </w:pPr>
      <w:r>
        <w:rPr>
          <w:rFonts w:ascii="Tahoma" w:cs="Tahoma" w:eastAsia="Tahoma" w:hAnsi="Tahoma"/>
          <w:sz w:val="21"/>
          <w:szCs w:val="21"/>
          <w:rtl/>
        </w:rPr>
        <w:t xml:space="preserve">نسبت پوشش با اندازه‌ی مشتری افزایش می‌یابد: ۱۴ درصد در طبقه‌ی زیر ۵۰ میلیون تومان، ۶۹ و ۶۲ درصد در دو طبقه‌ی میانی، و ۹۴ و ۹۹ درصد در طبقات ۱ تا ۵ و ۵ تا ۲۰ میلیارد تومان. طبقه‌ی بیش از ۲۰ میلیارد تومان عملاً به‌صورت سرشماری در نمونه آمده است؛ تعداد ۴۰۱ مشتری نمونه در این طبقه از رقم ۲۶۲ فایل توزیع بانک بیشتر است که به‌احتمال زیاد از تفاوت در نحوه‌ی محاسبه‌ی مانده‌ی مشتری میان این گزارش و فایل توزیع ناشی می‌شود. نتیجه آن است که نمونه، بزرگ‌ترین گیرندگان تسهیلات بانک را تقریباً به‌طور کامل در بر دارد و تحلیل‌های تمرکز و ریسک بر پوشش بسیار بالایی از مبالغ استوارند.</w:t>
      </w:r>
    </w:p>
    <w:p>
      <w:pPr>
        <w:pStyle w:val="Heading3"/>
        <w:keepNext/>
        <w:bidi/>
        <w:spacing w:after="160" w:before="300"/>
        <w:jc w:val="left"/>
      </w:pPr>
      <w:r>
        <w:rPr>
          <w:rFonts w:ascii="Tahoma" w:cs="Tahoma" w:eastAsia="Tahoma" w:hAnsi="Tahoma"/>
          <w:b/>
          <w:bCs/>
          <w:color w:val="1F4E79"/>
          <w:sz w:val="24"/>
          <w:szCs w:val="24"/>
          <w:rtl/>
        </w:rPr>
        <w:t xml:space="preserve">۲.۴.۳ ترکیب قدمت مشتریان</w:t>
      </w:r>
    </w:p>
    <w:p>
      <w:pPr>
        <w:bidi/>
        <w:spacing w:after="160" w:line="312"/>
        <w:jc w:val="left"/>
      </w:pPr>
      <w:r>
        <w:rPr>
          <w:rFonts w:ascii="Tahoma" w:cs="Tahoma" w:eastAsia="Tahoma" w:hAnsi="Tahoma"/>
          <w:sz w:val="21"/>
          <w:szCs w:val="21"/>
          <w:rtl/>
        </w:rPr>
        <w:t xml:space="preserve">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اندکی به مشتریان ۲ تا ۵ ساله متمایل است (۳۰.۲ درصد در برابر ۲۱.۴ درصد) و سهم مشتریان بیش از پنج سال آن (۵۳.۲ درصد) اندکی کمتر از بانک (حدود ۶۲ تا ۶۷ درصد) است. طبقات قدمت در فایل توزیع بانک اندکی همپوشانی دارند؛ بنابراین ارقام بانک در این مقایسه تقریبی‌اند و جهت اختلاف‌ها معتبر است.</w:t>
      </w:r>
    </w:p>
    <w:p>
      <w:pPr>
        <w:keepNext/>
        <w:spacing w:after="60" w:before="160"/>
        <w:jc w:val="center"/>
      </w:pPr>
      <w:r>
        <w:drawing>
          <wp:inline distT="0" distB="0" distL="0" distR="0">
            <wp:extent cx="571500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۲-۴: ترکیب قدمت مشتریان نمونه در مقایسه با کل بانک</w:t>
      </w:r>
    </w:p>
    <w:p>
      <w:pPr>
        <w:pStyle w:val="Heading3"/>
        <w:keepNext/>
        <w:bidi/>
        <w:spacing w:after="160" w:before="300"/>
        <w:jc w:val="left"/>
      </w:pPr>
      <w:r>
        <w:rPr>
          <w:rFonts w:ascii="Tahoma" w:cs="Tahoma" w:eastAsia="Tahoma" w:hAnsi="Tahoma"/>
          <w:b/>
          <w:bCs/>
          <w:color w:val="1F4E79"/>
          <w:sz w:val="24"/>
          <w:szCs w:val="24"/>
          <w:rtl/>
        </w:rPr>
        <w:t xml:space="preserve">۲.۴.۴ روند پوشش در ۶۰ ماه</w:t>
      </w:r>
    </w:p>
    <w:p>
      <w:pPr>
        <w:bidi/>
        <w:spacing w:after="160" w:line="312"/>
        <w:jc w:val="left"/>
      </w:pPr>
      <w:r>
        <w:rPr>
          <w:rFonts w:ascii="Tahoma" w:cs="Tahoma" w:eastAsia="Tahoma" w:hAnsi="Tahoma"/>
          <w:sz w:val="21"/>
          <w:szCs w:val="21"/>
          <w:rtl/>
        </w:rPr>
        <w:t xml:space="preserve">نمودار ۲-۵ پوشش ماهانه‌ی نمونه را برای منابع، تسهیلات و مطالبات غیرجاری نشان می‌دهد. پوشش منابع در تمام بازه میان ۶۳.۷ و ۷۶.۹ درصد (میانگین ۷۱.۹ درصد) و بسیار پایدار است.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۲-۵: پوشش ماهانه‌ی نمونه نسبت به آمار رسمی بانک (۰۱/۱۴۰۰ تا ۱۲/۱۴۰۴)</w:t>
      </w:r>
    </w:p>
    <w:p>
      <w:pPr>
        <w:bidi/>
        <w:spacing w:after="160" w:line="312"/>
        <w:jc w:val="left"/>
      </w:pPr>
      <w:r>
        <w:rPr>
          <w:rFonts w:ascii="Tahoma" w:cs="Tahoma" w:eastAsia="Tahoma" w:hAnsi="Tahoma"/>
          <w:sz w:val="21"/>
          <w:szCs w:val="21"/>
          <w:rtl/>
        </w:rPr>
        <w:t xml:space="preserve">جدول ۲-۲ ارقام چهار مقطع کلیدی را نشان می‌دهد. مبالغ بر حسب هزار میلیارد تومان‌اند و ارقام نمونه «برآورد از روی نمونه» هستند.</w:t>
      </w:r>
    </w:p>
    <w:p>
      <w:pPr>
        <w:keepNext/>
        <w:bidi/>
        <w:spacing w:after="100" w:before="200"/>
        <w:jc w:val="left"/>
      </w:pPr>
      <w:r>
        <w:rPr>
          <w:rFonts w:ascii="Tahoma" w:cs="Tahoma" w:eastAsia="Tahoma" w:hAnsi="Tahoma"/>
          <w:b/>
          <w:bCs/>
          <w:sz w:val="21"/>
          <w:szCs w:val="21"/>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Tahoma" w:cs="Tahoma" w:eastAsia="Tahoma" w:hAnsi="Tahoma"/>
          <w:b/>
          <w:bCs/>
          <w:color w:val="1F4E79"/>
          <w:sz w:val="24"/>
          <w:szCs w:val="24"/>
          <w:rtl/>
        </w:rPr>
        <w:t xml:space="preserve">۲.۴.۵ هم‌خوانی روند مطالبات غیرجاری</w:t>
      </w:r>
    </w:p>
    <w:p>
      <w:pPr>
        <w:bidi/>
        <w:spacing w:after="160" w:line="312"/>
        <w:jc w:val="left"/>
      </w:pPr>
      <w:r>
        <w:rPr>
          <w:rFonts w:ascii="Tahoma" w:cs="Tahoma" w:eastAsia="Tahoma" w:hAnsi="Tahoma"/>
          <w:sz w:val="21"/>
          <w:szCs w:val="21"/>
          <w:rtl/>
        </w:rPr>
        <w:t xml:space="preserve">نمودار ۲-۶ نسبت مطالبات غیرجاری به کل تسهیلات را برای کل بانک و برای نمونه در ۶۰ ماه مقایسه می‌کند. ضریب همبستگی دو سری ۰.۹۶ است و میانگین قدرمطلق اختلاف آن‌ها تنها ۰.۴۶ واحد درصد است. در ۵۳ ماه از ۵۸ ماه قابل مقایسه، اختلاف نسبت نمونه با بانک کمتر از یک واحد درصد است.</w:t>
      </w:r>
    </w:p>
    <w:p>
      <w:pPr>
        <w:keepNext/>
        <w:spacing w:after="60" w:before="160"/>
        <w:jc w:val="center"/>
      </w:pPr>
      <w:r>
        <w:drawing>
          <wp:inline distT="0" distB="0" distL="0" distR="0">
            <wp:extent cx="5715000" cy="2562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۲-۶: نسبت مطالبات غیرجاری در کل بانک و در نمونه‌ی تحلیلی</w:t>
      </w:r>
    </w:p>
    <w:p>
      <w:pPr>
        <w:keepNext/>
        <w:bidi/>
        <w:spacing w:after="100" w:before="200"/>
        <w:jc w:val="left"/>
      </w:pPr>
      <w:r>
        <w:rPr>
          <w:rFonts w:ascii="Tahoma" w:cs="Tahoma" w:eastAsia="Tahoma" w:hAnsi="Tahoma"/>
          <w:b/>
          <w:bCs/>
          <w:sz w:val="21"/>
          <w:szCs w:val="21"/>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r>
    </w:tbl>
    <w:p>
      <w:pPr>
        <w:spacing w:after="200"/>
      </w:pPr>
    </w:p>
    <w:p>
      <w:pPr>
        <w:bidi/>
        <w:spacing w:after="160" w:line="312"/>
        <w:jc w:val="left"/>
      </w:pPr>
      <w:r>
        <w:rPr>
          <w:rFonts w:ascii="Tahoma" w:cs="Tahoma" w:eastAsia="Tahoma" w:hAnsi="Tahoma"/>
          <w:sz w:val="21"/>
          <w:szCs w:val="21"/>
          <w:rtl/>
        </w:rPr>
        <w:t xml:space="preserve">روند افزایشی مطالبات غیرجاری در سال ۱۴۰۴ هم در آمار رسمی (از ۴.۶ به ۸.۰ درصد) و هم در نمونه (از ۴.۹ به ۸.۸ درصد) دیده می‌شود. این هم‌خوانی مستقل، یافته‌ی محوری فصل ۶ را از دو مسیر مجزا تأیید می‌کند و نشان می‌دهد نمونه تغییرات کیفیت دارایی بانک را به‌خوبی دنبال می‌کند.</w:t>
      </w:r>
    </w:p>
    <w:p>
      <w:pPr>
        <w:pStyle w:val="Heading3"/>
        <w:keepNext/>
        <w:bidi/>
        <w:spacing w:after="160" w:before="300"/>
        <w:jc w:val="left"/>
      </w:pPr>
      <w:r>
        <w:rPr>
          <w:rFonts w:ascii="Tahoma" w:cs="Tahoma" w:eastAsia="Tahoma" w:hAnsi="Tahoma"/>
          <w:b/>
          <w:bCs/>
          <w:color w:val="1F4E79"/>
          <w:sz w:val="24"/>
          <w:szCs w:val="24"/>
          <w:rtl/>
        </w:rPr>
        <w:t xml:space="preserve">۲.۴.۶ جمع‌بندی پوشش</w:t>
      </w:r>
    </w:p>
    <w:p>
      <w:pPr>
        <w:bidi/>
        <w:spacing w:after="160" w:line="312"/>
        <w:jc w:val="left"/>
      </w:pPr>
      <w:r>
        <w:rPr>
          <w:rFonts w:ascii="Tahoma" w:cs="Tahoma" w:eastAsia="Tahoma" w:hAnsi="Tahoma"/>
          <w:sz w:val="21"/>
          <w:szCs w:val="21"/>
          <w:rtl/>
        </w:rPr>
        <w:t xml:space="preserve">بر اساس بررسی‌های انجام‌گرفته، نتیجه‌ی این بخش را می‌توان در چهار نکته خلاصه کرد: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 ۶۴ تا ۷۷ درصد منابع و ۷۵ تا ۸۷ درصد مانده‌ی تسهیلات بانک را در بر می‌گیرد و این پوشش در طول دوره پایدار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بزرگ‌ترین مشتریان، به‌ویژه گیرندگان تسهیلات بالای ۱ میلیارد تومان، تقریباً به‌طور کامل در نمونه حضور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نسبت‌ها و روندها، از جمله نسبت مطالبات غیرجاری، با آمار رسمی بانک هم‌خوانی بالایی دارند. بنابراین تحلیل‌های ساختاری و روندی گزارش برای کل بانک نیز معنادارند.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19" w:id="19"/>
      <w:r>
        <w:rPr>
          <w:rFonts w:ascii="Tahoma" w:cs="Tahoma" w:eastAsia="Tahoma" w:hAnsi="Tahoma"/>
          <w:b/>
          <w:bCs/>
          <w:color w:val="1F4E79"/>
          <w:sz w:val="28"/>
          <w:szCs w:val="28"/>
          <w:rtl/>
        </w:rPr>
        <w:t xml:space="preserve">۲.۵ تکمیل تحلیل‌ها در فاز بعد</w:t>
      </w:r>
      <w:bookmarkEnd w:id="19"/>
    </w:p>
    <w:p>
      <w:pPr>
        <w:bidi/>
        <w:spacing w:after="160" w:line="312"/>
        <w:jc w:val="left"/>
      </w:pPr>
      <w:r>
        <w:rPr>
          <w:rFonts w:ascii="Tahoma" w:cs="Tahoma" w:eastAsia="Tahoma" w:hAnsi="Tahoma"/>
          <w:sz w:val="21"/>
          <w:szCs w:val="21"/>
          <w:rtl/>
        </w:rPr>
        <w:t xml:space="preserve">تحلیل‌های این گزارش با کل داده‌ی در اختیار انجام شده‌اند و در چارچوب آن، بیشترین بهره از داده‌ها گرفته شده است. دریافت چند داده‌ی تکمیلی از بانک، عمق تحلیل‌ها را در فاز ۲ و فازهای بعد افزایش می‌دهد. جدول ۲-۴ این موارد را به ترتیب اولویت فهرست می‌کند.</w:t>
      </w:r>
    </w:p>
    <w:p>
      <w:pPr>
        <w:keepNext/>
        <w:bidi/>
        <w:spacing w:after="100" w:before="200"/>
        <w:jc w:val="left"/>
      </w:pPr>
      <w:r>
        <w:rPr>
          <w:rFonts w:ascii="Tahoma" w:cs="Tahoma" w:eastAsia="Tahoma" w:hAnsi="Tahoma"/>
          <w:b/>
          <w:bCs/>
          <w:sz w:val="21"/>
          <w:szCs w:val="21"/>
          <w:rtl/>
        </w:rPr>
        <w:t xml:space="preserve">جدول ۲-۴: داده‌های تکمیلی و کاربرد آن‌ها در فاز بعد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ردیف</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 فعلی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 در فاز بعد</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w:t>
            </w:r>
            <w:r>
              <w:rPr>
                <w:rFonts w:ascii="Consolas" w:cs="Consolas" w:eastAsia="Consolas" w:hAnsi="Consolas"/>
                <w:b w:val="false"/>
                <w:bCs w:val="false"/>
                <w:sz w:val="16"/>
                <w:szCs w:val="16"/>
                <w:rtl w:val="false"/>
              </w:rPr>
              <w:t xml:space="preserve">Customer_Profile</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 در این جدول با جداول عملیاتی هم‌خوانی ندارد؛ برای مشتریان حقوقی از ۳۸,۴۷۷ رکورد هیچ‌کدام تطبیق نمی‌یابد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مشتریان حقیقی و حقوقی؛ تحلیل بر اساس سن، جنسیت، شغل و موقعیت جغرافیایی مشتری؛ بخش‌بندی رفتاری دقیق‌تر در فاز ۲</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مانده‌ی تسهیلات)</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قراردادها در جدول مانده حضور دارند و مشخصات آن‌ها (نوع، نرخ، تاریخ اعطا، وثیقه، شعبه) ثبت نشده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۱۰۰٪ پرتفوی؛ دقت بیشتر در تحلیل ریسک</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کل حساب‌ها، همراه با شناسه‌ی تراکنش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جدول ۴۷۵,۲۳۰ حساب از ۱,۲۶۸,۲۶۶ حساب (۳۷.۵٪) را در بر 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دقیق‌تر هزینه‌ی تأمین مالی و سودآوری به تفکیک گروه مشتری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بر اساس معیار فعال‌بودن طراحی 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مدل‌سازی گرایش مشتری به ترک بانک (فاز ۴) و برآورد نرخ ریزش برای کل بانک</w:t>
            </w:r>
          </w:p>
        </w:tc>
      </w:tr>
    </w:tbl>
    <w:p>
      <w:pPr>
        <w:spacing w:after="200"/>
      </w:pPr>
    </w:p>
    <w:p>
      <w:pPr>
        <w:bidi/>
        <w:spacing w:after="160" w:line="312"/>
        <w:jc w:val="left"/>
      </w:pPr>
      <w:r>
        <w:rPr>
          <w:rFonts w:ascii="Tahoma" w:cs="Tahoma" w:eastAsia="Tahoma" w:hAnsi="Tahoma"/>
          <w:sz w:val="21"/>
          <w:szCs w:val="21"/>
          <w:rtl/>
        </w:rPr>
        <w:t xml:space="preserve">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استوارند.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pPr>
        <w:keepNext/>
        <w:bidi/>
        <w:spacing w:after="100" w:before="200"/>
        <w:jc w:val="left"/>
      </w:pPr>
      <w:r>
        <w:rPr>
          <w:rFonts w:ascii="Tahoma" w:cs="Tahoma" w:eastAsia="Tahoma" w:hAnsi="Tahoma"/>
          <w:b/>
          <w:bCs/>
          <w:sz w:val="21"/>
          <w:szCs w:val="21"/>
          <w:rtl/>
        </w:rPr>
        <w:t xml:space="preserve">جدول ۲-۵: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مطالبات غیرجاری در بخش فاقد اطلاعات قرارداد بالاتر است؛ بنابراین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pPr>
        <w:pBdr>
          <w:bottom w:val="single" w:color="BBBBBB" w:sz="6"/>
        </w:pBdr>
        <w:spacing w:after="100" w:before="100"/>
      </w:pPr>
    </w:p>
    <w:p>
      <w:pPr>
        <w:pStyle w:val="Heading2"/>
        <w:keepNext/>
        <w:bidi/>
        <w:spacing w:after="160" w:before="300"/>
        <w:jc w:val="left"/>
      </w:pPr>
      <w:bookmarkStart w:name="_Toc20" w:id="20"/>
      <w:r>
        <w:rPr>
          <w:rFonts w:ascii="Tahoma" w:cs="Tahoma" w:eastAsia="Tahoma" w:hAnsi="Tahoma"/>
          <w:b/>
          <w:bCs/>
          <w:color w:val="1F4E79"/>
          <w:sz w:val="28"/>
          <w:szCs w:val="28"/>
          <w:rtl/>
        </w:rPr>
        <w:t xml:space="preserve">۲.۶ پرسش‌های فنی از بانک</w:t>
      </w:r>
      <w:bookmarkEnd w:id="20"/>
    </w:p>
    <w:p>
      <w:pPr>
        <w:bidi/>
        <w:spacing w:after="160" w:line="312"/>
        <w:jc w:val="left"/>
      </w:pPr>
      <w:r>
        <w:rPr>
          <w:rFonts w:ascii="Tahoma" w:cs="Tahoma" w:eastAsia="Tahoma" w:hAnsi="Tahoma"/>
          <w:sz w:val="21"/>
          <w:szCs w:val="21"/>
          <w:rtl/>
        </w:rPr>
        <w:t xml:space="preserve">موارد زیر پرسش‌هایی درباره‌ی ساختار داده‌اند که پاسخ بانک به آن‌ها دقت تفسیر ارقام را افزایش می‌دهد. نتایج تحلیل‌های این گزارش به این موارد وابسته نیست؛ برای مواردی که به ارقام مرتبط‌اند، توضیح لازم در پایان هر مورد آمده است. فهرست جامع پرسش‌های گزارش در فصل ۹ آمده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تعریف ستون میانگین مانده‌ی سپرده</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روش محاسبه‌ی دقیق این ستون، به‌ویژه در ماه افتتاح حساب، تأیید شود.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ماهیت مبلغ کارمزد</w:t>
      </w:r>
      <w:r>
        <w:rPr>
          <w:rFonts w:ascii="Tahoma" w:cs="Tahoma" w:eastAsia="Tahoma" w:hAnsi="Tahoma"/>
          <w:sz w:val="21"/>
          <w:szCs w:val="21"/>
          <w:rtl/>
        </w:rPr>
        <w:t xml:space="preserve">: مشخص شود مبلغ ثبت‌شده برای هر کد کارمزد مبلغ همان ماه است یا مقدار تجمعی. از درآمد کارمزد در تحلیل‌های اصلی استفاده نشده است و در فصل ۸ به‌صورت جدا و قابل حذف نمایش داده می‌شود.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حساب‌های «نزد سایر بانک‌ها»</w:t>
      </w:r>
      <w:r>
        <w:rPr>
          <w:rFonts w:ascii="Tahoma" w:cs="Tahoma" w:eastAsia="Tahoma" w:hAnsi="Tahoma"/>
          <w:sz w:val="21"/>
          <w:szCs w:val="21"/>
          <w:rtl/>
        </w:rPr>
        <w:t xml:space="preserve">: برای ۱,۱۰۰ حساب با این عنوان تعیین شود که دارایی بانک (سپرده نزد سایر بانک‌ها) محسوب می‌شوند یا بدهی. حجم این اقلام بر نتایج اثر محسوسی ندارد.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شناسه‌ی داخلی شعب</w:t>
      </w:r>
      <w:r>
        <w:rPr>
          <w:rFonts w:ascii="Tahoma" w:cs="Tahoma" w:eastAsia="Tahoma" w:hAnsi="Tahoma"/>
          <w:sz w:val="21"/>
          <w:szCs w:val="21"/>
          <w:rtl/>
        </w:rPr>
        <w:t xml:space="preserve">: برای هشت شناسه‌ی داخلی که در جدول فهرست شعب با دو کد شعبه‌ی متفاوت ثبت شده‌اند، شناسه‌ی صحیح هر شعبه اعلام شود. شعب در تحلیل‌ها با کد شعبه شناسایی شده‌اند و این مورد بر ارقام اثر ندارد.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مبنای طبقات مانده‌ی سپرده در فایل توزیع مشتریان</w:t>
      </w:r>
      <w:r>
        <w:rPr>
          <w:rFonts w:ascii="Tahoma" w:cs="Tahoma" w:eastAsia="Tahoma" w:hAnsi="Tahoma"/>
          <w:sz w:val="21"/>
          <w:szCs w:val="21"/>
          <w:rtl/>
        </w:rPr>
        <w:t xml:space="preserve">: تعریف مانده‌ی مشتری در جدول توزیع (از جمله مبنای میانگین و واحد پولی) تأیید شود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pBdr>
          <w:bottom w:val="single" w:color="BBBBBB" w:sz="6"/>
        </w:pBdr>
        <w:spacing w:after="100" w:before="100"/>
      </w:pPr>
    </w:p>
    <w:p>
      <w:pPr>
        <w:pStyle w:val="Heading1"/>
        <w:keepNext/>
        <w:pageBreakBefore/>
        <w:bidi/>
        <w:spacing w:after="160" w:before="0"/>
        <w:jc w:val="left"/>
      </w:pPr>
      <w:bookmarkStart w:name="_Toc21" w:id="21"/>
      <w:r>
        <w:rPr>
          <w:rFonts w:ascii="Tahoma" w:cs="Tahoma" w:eastAsia="Tahoma" w:hAnsi="Tahoma"/>
          <w:b/>
          <w:bCs/>
          <w:color w:val="1F4E79"/>
          <w:sz w:val="34"/>
          <w:szCs w:val="34"/>
          <w:rtl/>
        </w:rPr>
        <w:t xml:space="preserve">فصل ۳ — مشتریان: جمعیت، رابطه و ماندگاری</w:t>
      </w:r>
      <w:bookmarkEnd w:id="21"/>
    </w:p>
    <w:p>
      <w:pPr>
        <w:pStyle w:val="Heading2"/>
        <w:keepNext/>
        <w:bidi/>
        <w:spacing w:after="160" w:before="300"/>
        <w:jc w:val="left"/>
      </w:pPr>
      <w:bookmarkStart w:name="_Toc22" w:id="22"/>
      <w:r>
        <w:rPr>
          <w:rFonts w:ascii="Tahoma" w:cs="Tahoma" w:eastAsia="Tahoma" w:hAnsi="Tahoma"/>
          <w:b/>
          <w:bCs/>
          <w:color w:val="1F4E79"/>
          <w:sz w:val="28"/>
          <w:szCs w:val="28"/>
          <w:rtl/>
        </w:rPr>
        <w:t xml:space="preserve">۳.۱ هدف و دامنه‌ی فصل</w:t>
      </w:r>
      <w:bookmarkEnd w:id="22"/>
    </w:p>
    <w:p>
      <w:pPr>
        <w:bidi/>
        <w:spacing w:after="160" w:line="312"/>
        <w:jc w:val="left"/>
      </w:pPr>
      <w:r>
        <w:rPr>
          <w:rFonts w:ascii="Tahoma" w:cs="Tahoma" w:eastAsia="Tahoma" w:hAnsi="Tahoma"/>
          <w:sz w:val="21"/>
          <w:szCs w:val="21"/>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Tahoma" w:cs="Tahoma" w:eastAsia="Tahoma" w:hAnsi="Tahoma"/>
          <w:sz w:val="21"/>
          <w:szCs w:val="21"/>
          <w:rtl/>
        </w:rPr>
        <w:t xml:space="preserve">تحلیل‌های این فصل بخش‌بندی رفتاری و رابطه‌ای مشتریان‌اند. در صورتی که بانک جدول نگاشت شناسه‌ی مشتری به جدول مشخصات مشتری (</w:t>
      </w:r>
      <w:r>
        <w:rPr>
          <w:rFonts w:ascii="Consolas" w:cs="Consolas" w:eastAsia="Consolas" w:hAnsi="Consolas"/>
          <w:b w:val="false"/>
          <w:bCs w:val="false"/>
          <w:sz w:val="18"/>
          <w:szCs w:val="18"/>
          <w:rtl w:val="false"/>
        </w:rPr>
        <w:t xml:space="preserve">Customer_Profile</w:t>
      </w:r>
      <w:r>
        <w:rPr>
          <w:rFonts w:ascii="Tahoma" w:cs="Tahoma" w:eastAsia="Tahoma" w:hAnsi="Tahoma"/>
          <w:sz w:val="21"/>
          <w:szCs w:val="21"/>
          <w:rtl/>
        </w:rPr>
        <w:t xml:space="preserve">) را ارائه کند (جدول ۲-۴)، همین تحلیل‌ها با تفکیک مشتریان حقیقی و حقوقی و با ویژگی‌های سن، جنسیت، شغل و موقعیت جغرافیایی تکمیل خواهد شد.</w:t>
      </w:r>
    </w:p>
    <w:p>
      <w:pPr>
        <w:pBdr>
          <w:bottom w:val="single" w:color="BBBBBB" w:sz="6"/>
        </w:pBdr>
        <w:spacing w:after="100" w:before="100"/>
      </w:pPr>
    </w:p>
    <w:p>
      <w:pPr>
        <w:pStyle w:val="Heading2"/>
        <w:keepNext/>
        <w:bidi/>
        <w:spacing w:after="160" w:before="300"/>
        <w:jc w:val="left"/>
      </w:pPr>
      <w:bookmarkStart w:name="_Toc23" w:id="23"/>
      <w:r>
        <w:rPr>
          <w:rFonts w:ascii="Tahoma" w:cs="Tahoma" w:eastAsia="Tahoma" w:hAnsi="Tahoma"/>
          <w:b/>
          <w:bCs/>
          <w:color w:val="1F4E79"/>
          <w:sz w:val="28"/>
          <w:szCs w:val="28"/>
          <w:rtl/>
        </w:rPr>
        <w:t xml:space="preserve">۳.۲ جمعیت مشتریان</w:t>
      </w:r>
      <w:bookmarkEnd w:id="23"/>
    </w:p>
    <w:p>
      <w:pPr>
        <w:bidi/>
        <w:spacing w:after="160" w:line="312"/>
        <w:jc w:val="left"/>
      </w:pPr>
      <w:r>
        <w:rPr>
          <w:rFonts w:ascii="Tahoma" w:cs="Tahoma" w:eastAsia="Tahoma" w:hAnsi="Tahoma"/>
          <w:sz w:val="21"/>
          <w:szCs w:val="21"/>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Tahoma" w:cs="Tahoma" w:eastAsia="Tahoma" w:hAnsi="Tahoma"/>
          <w:b/>
          <w:bCs/>
          <w:sz w:val="21"/>
          <w:szCs w:val="21"/>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رسمی قرارداد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4" w:id="24"/>
      <w:r>
        <w:rPr>
          <w:rFonts w:ascii="Tahoma" w:cs="Tahoma" w:eastAsia="Tahoma" w:hAnsi="Tahoma"/>
          <w:b/>
          <w:bCs/>
          <w:color w:val="1F4E79"/>
          <w:sz w:val="28"/>
          <w:szCs w:val="28"/>
          <w:rtl/>
        </w:rPr>
        <w:t xml:space="preserve">۳.۳ همپوشانی سپرده و تسهیلات</w:t>
      </w:r>
      <w:bookmarkEnd w:id="24"/>
    </w:p>
    <w:p>
      <w:pPr>
        <w:bidi/>
        <w:spacing w:after="160" w:line="312"/>
        <w:jc w:val="left"/>
      </w:pPr>
      <w:r>
        <w:rPr>
          <w:rFonts w:ascii="Tahoma" w:cs="Tahoma" w:eastAsia="Tahoma" w:hAnsi="Tahoma"/>
          <w:sz w:val="21"/>
          <w:szCs w:val="21"/>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۳-۱: ساختار رابطه‌ی مشتریان با حوزه‌های سپرده و تسهیلات</w:t>
      </w:r>
    </w:p>
    <w:p>
      <w:pPr>
        <w:keepNext/>
        <w:bidi/>
        <w:spacing w:after="100" w:before="200"/>
        <w:jc w:val="left"/>
      </w:pPr>
      <w:r>
        <w:rPr>
          <w:rFonts w:ascii="Tahoma" w:cs="Tahoma" w:eastAsia="Tahoma" w:hAnsi="Tahoma"/>
          <w:b/>
          <w:bCs/>
          <w:sz w:val="21"/>
          <w:szCs w:val="21"/>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۴۵۶,۸۳۵ از ۷۰۶,۵۰۹</w:t>
            </w:r>
          </w:p>
        </w:tc>
      </w:tr>
    </w:tbl>
    <w:p>
      <w:pPr>
        <w:spacing w:after="200"/>
      </w:pPr>
    </w:p>
    <w:p>
      <w:pPr>
        <w:bidi/>
        <w:spacing w:after="160" w:line="312"/>
        <w:jc w:val="left"/>
      </w:pPr>
      <w:r>
        <w:rPr>
          <w:rFonts w:ascii="Tahoma" w:cs="Tahoma" w:eastAsia="Tahoma" w:hAnsi="Tahoma"/>
          <w:sz w:val="21"/>
          <w:szCs w:val="21"/>
          <w:rtl/>
        </w:rPr>
        <w:t xml:space="preserve">دو نتیجه از این ساختار حاصل می‌شود. نخست، سپرده دروازه‌ی ورود مشتریان به بانک است: تقریباً همه‌ی گیرندگان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Tahoma" w:cs="Tahoma" w:eastAsia="Tahoma" w:hAnsi="Tahoma"/>
          <w:sz w:val="21"/>
          <w:szCs w:val="21"/>
          <w:rtl/>
        </w:rPr>
        <w:t xml:space="preserve">دوم، ظرفیت رشد در جهت معکوس قرار دارد. ۴۵۶,۸۳۵ سپرده‌گذار، معادل ۶۴.۷ درصد مشتریان، تا کنون تسهیلات نگرفته‌اند و بزرگ‌ترین بازار هدف داخلی بانک را تشکیل می‌دهند. این ظرفیت در بخش بعد به تفکیک اندازه‌ی مانده بررسی شده است.</w:t>
      </w:r>
    </w:p>
    <w:p>
      <w:pPr>
        <w:pStyle w:val="Heading3"/>
        <w:keepNext/>
        <w:bidi/>
        <w:spacing w:after="160" w:before="300"/>
        <w:jc w:val="left"/>
      </w:pPr>
      <w:r>
        <w:rPr>
          <w:rFonts w:ascii="Tahoma" w:cs="Tahoma" w:eastAsia="Tahoma" w:hAnsi="Tahoma"/>
          <w:b/>
          <w:bCs/>
          <w:color w:val="1F4E79"/>
          <w:sz w:val="24"/>
          <w:szCs w:val="24"/>
          <w:rtl/>
        </w:rPr>
        <w:t xml:space="preserve">۳.۳.۱ ظرفیت فروش متقاطع بر حسب اندازه‌ی مانده</w:t>
      </w:r>
    </w:p>
    <w:p>
      <w:pPr>
        <w:bidi/>
        <w:spacing w:after="160" w:line="312"/>
        <w:jc w:val="left"/>
      </w:pPr>
      <w:r>
        <w:rPr>
          <w:rFonts w:ascii="Tahoma" w:cs="Tahoma" w:eastAsia="Tahoma" w:hAnsi="Tahoma"/>
          <w:sz w:val="21"/>
          <w:szCs w:val="21"/>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۳-۲: توزیع تعداد و مانده‌ی سپرده‌گذاران فاقد تسهیلات بر حسب طبقه‌ی مانده</w:t>
      </w:r>
    </w:p>
    <w:p>
      <w:pPr>
        <w:keepNext/>
        <w:bidi/>
        <w:spacing w:after="100" w:before="200"/>
        <w:jc w:val="left"/>
      </w:pPr>
      <w:r>
        <w:rPr>
          <w:rFonts w:ascii="Tahoma" w:cs="Tahoma" w:eastAsia="Tahoma" w:hAnsi="Tahoma"/>
          <w:b/>
          <w:bCs/>
          <w:sz w:val="21"/>
          <w:szCs w:val="21"/>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ظرفیت مالی واقعی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تسهیلاتی دریافت نکرده‌اند.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5" w:id="25"/>
      <w:r>
        <w:rPr>
          <w:rFonts w:ascii="Tahoma" w:cs="Tahoma" w:eastAsia="Tahoma" w:hAnsi="Tahoma"/>
          <w:b/>
          <w:bCs/>
          <w:color w:val="1F4E79"/>
          <w:sz w:val="28"/>
          <w:szCs w:val="28"/>
          <w:rtl/>
        </w:rPr>
        <w:t xml:space="preserve">۳.۴ فعال‌بودن مشتریان</w:t>
      </w:r>
      <w:bookmarkEnd w:id="25"/>
    </w:p>
    <w:p>
      <w:pPr>
        <w:pStyle w:val="Heading3"/>
        <w:keepNext/>
        <w:bidi/>
        <w:spacing w:after="160" w:before="300"/>
        <w:jc w:val="left"/>
      </w:pPr>
      <w:r>
        <w:rPr>
          <w:rFonts w:ascii="Tahoma" w:cs="Tahoma" w:eastAsia="Tahoma" w:hAnsi="Tahoma"/>
          <w:b/>
          <w:bCs/>
          <w:color w:val="1F4E79"/>
          <w:sz w:val="24"/>
          <w:szCs w:val="24"/>
          <w:rtl/>
        </w:rPr>
        <w:t xml:space="preserve">۳.۴.۱ سپرده‌گذاران</w:t>
      </w:r>
    </w:p>
    <w:p>
      <w:pPr>
        <w:bidi/>
        <w:spacing w:after="160" w:line="312"/>
        <w:jc w:val="left"/>
      </w:pPr>
      <w:r>
        <w:rPr>
          <w:rFonts w:ascii="Tahoma" w:cs="Tahoma" w:eastAsia="Tahoma" w:hAnsi="Tahoma"/>
          <w:sz w:val="21"/>
          <w:szCs w:val="21"/>
          <w:rtl/>
        </w:rPr>
        <w:t xml:space="preserve">نمونه بر مشتریان فعال استوار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۳-۳: سهم سپرده‌گذاران نمونه که معیارهای فعال‌بودن را در ۱۲/۱۴۰۴ احراز می‌کنند</w:t>
      </w:r>
    </w:p>
    <w:p>
      <w:pPr>
        <w:bidi/>
        <w:spacing w:after="160" w:line="312"/>
        <w:jc w:val="left"/>
      </w:pPr>
      <w:r>
        <w:rPr>
          <w:rFonts w:ascii="Tahoma" w:cs="Tahoma" w:eastAsia="Tahoma" w:hAnsi="Tahoma"/>
          <w:sz w:val="21"/>
          <w:szCs w:val="21"/>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اختلاف اندک با ۱۰۰ درصد ناشی از تفاوت مقطع ارزیابی و تعریف دقیق معیارهاست؛ برای نمونه، قدمت در این گزارش از تاریخ افتتاح نخستین حساب سپرده محاسبه شده است.</w:t>
      </w:r>
    </w:p>
    <w:p>
      <w:pPr>
        <w:pStyle w:val="Heading3"/>
        <w:keepNext/>
        <w:bidi/>
        <w:spacing w:after="160" w:before="300"/>
        <w:jc w:val="left"/>
      </w:pPr>
      <w:r>
        <w:rPr>
          <w:rFonts w:ascii="Tahoma" w:cs="Tahoma" w:eastAsia="Tahoma" w:hAnsi="Tahoma"/>
          <w:b/>
          <w:bCs/>
          <w:color w:val="1F4E79"/>
          <w:sz w:val="24"/>
          <w:szCs w:val="24"/>
          <w:rtl/>
        </w:rPr>
        <w:t xml:space="preserve">۳.۴.۲ تسهیلات‌گیرندگان</w:t>
      </w:r>
    </w:p>
    <w:p>
      <w:pPr>
        <w:bidi/>
        <w:spacing w:after="160" w:line="312"/>
        <w:jc w:val="left"/>
      </w:pPr>
      <w:r>
        <w:rPr>
          <w:rFonts w:ascii="Tahoma" w:cs="Tahoma" w:eastAsia="Tahoma" w:hAnsi="Tahoma"/>
          <w:sz w:val="21"/>
          <w:szCs w:val="21"/>
          <w:rtl/>
        </w:rPr>
        <w:t xml:space="preserve">از ۲۴۹,۷۰۸ گیرنده‌ی اصلی تسهیلات، ۲۳۳,۰۰۲ نفر (۹۳.۳ درصد) در سال ۱۴۰۴ مانده‌ی تسهیلات مثبت داشته‌اند؛ این همان معیار فعال‌بودن گیرندگان در طراحی نمونه است.</w:t>
      </w:r>
    </w:p>
    <w:p>
      <w:pPr>
        <w:pBdr>
          <w:bottom w:val="single" w:color="BBBBBB" w:sz="6"/>
        </w:pBdr>
        <w:spacing w:after="100" w:before="100"/>
      </w:pPr>
    </w:p>
    <w:p>
      <w:pPr>
        <w:pStyle w:val="Heading2"/>
        <w:keepNext/>
        <w:bidi/>
        <w:spacing w:after="160" w:before="300"/>
        <w:jc w:val="left"/>
      </w:pPr>
      <w:bookmarkStart w:name="_Toc26" w:id="26"/>
      <w:r>
        <w:rPr>
          <w:rFonts w:ascii="Tahoma" w:cs="Tahoma" w:eastAsia="Tahoma" w:hAnsi="Tahoma"/>
          <w:b/>
          <w:bCs/>
          <w:color w:val="1F4E79"/>
          <w:sz w:val="28"/>
          <w:szCs w:val="28"/>
          <w:rtl/>
        </w:rPr>
        <w:t xml:space="preserve">۳.۵ ماندگاری کوهورت‌های افتتاح حساب</w:t>
      </w:r>
      <w:bookmarkEnd w:id="26"/>
    </w:p>
    <w:p>
      <w:pPr>
        <w:pStyle w:val="Heading3"/>
        <w:keepNext/>
        <w:bidi/>
        <w:spacing w:after="160" w:before="300"/>
        <w:jc w:val="left"/>
      </w:pPr>
      <w:r>
        <w:rPr>
          <w:rFonts w:ascii="Tahoma" w:cs="Tahoma" w:eastAsia="Tahoma" w:hAnsi="Tahoma"/>
          <w:b/>
          <w:bCs/>
          <w:color w:val="1F4E79"/>
          <w:sz w:val="24"/>
          <w:szCs w:val="24"/>
          <w:rtl/>
        </w:rPr>
        <w:t xml:space="preserve">۳.۵.۱ روش</w:t>
      </w:r>
    </w:p>
    <w:p>
      <w:pPr>
        <w:bidi/>
        <w:spacing w:after="160" w:line="312"/>
        <w:jc w:val="left"/>
      </w:pPr>
      <w:r>
        <w:rPr>
          <w:rFonts w:ascii="Tahoma" w:cs="Tahoma" w:eastAsia="Tahoma" w:hAnsi="Tahoma"/>
          <w:sz w:val="21"/>
          <w:szCs w:val="21"/>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spacing w:after="160" w:before="120"/>
        <w:jc w:val="center"/>
      </w:pPr>
      <m:oMath>
        <m:r>
          <m:t>نرخ ماندگاری کوهورت c</m:t>
        </m:r>
        <m:r>
          <m:t>=</m:t>
        </m:r>
        <m:f>
          <m:num>
            <m:r>
              <m:t>تعداد مشتریان فعال کوهورت c در ۱۲/۱۴۰۴</m:t>
            </m:r>
          </m:num>
          <m:den>
            <m:r>
              <m:t>تعداد کل مشتریان کوهورت c</m:t>
            </m:r>
          </m:den>
        </m:f>
        <m:r>
          <m:t>×</m:t>
        </m:r>
        <m:r>
          <m:t>۱۰۰</m:t>
        </m:r>
      </m:oMath>
    </w:p>
    <w:p>
      <w:pPr>
        <w:bidi/>
        <w:spacing w:after="160" w:line="312"/>
        <w:jc w:val="left"/>
      </w:pPr>
      <w:r>
        <w:rPr>
          <w:rFonts w:ascii="Tahoma" w:cs="Tahoma" w:eastAsia="Tahoma" w:hAnsi="Tahoma"/>
          <w:sz w:val="21"/>
          <w:szCs w:val="21"/>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Tahoma" w:cs="Tahoma" w:eastAsia="Tahoma" w:hAnsi="Tahoma"/>
          <w:sz w:val="21"/>
          <w:szCs w:val="21"/>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w:t>
      </w:r>
    </w:p>
    <w:p>
      <w:pPr>
        <w:keepNext/>
        <w:spacing w:after="60" w:before="160"/>
        <w:jc w:val="center"/>
      </w:pPr>
      <w:r>
        <w:drawing>
          <wp:inline distT="0" distB="0" distL="0" distR="0">
            <wp:extent cx="5715000" cy="2152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۳-۴: اندازه و نرخ ماندگاری کوهورت‌های افتتاح حساب سپرده تا ۱۲/۱۴۰۴</w:t>
      </w:r>
    </w:p>
    <w:p>
      <w:pPr>
        <w:keepNext/>
        <w:bidi/>
        <w:spacing w:after="100" w:before="200"/>
        <w:jc w:val="left"/>
      </w:pPr>
      <w:r>
        <w:rPr>
          <w:rFonts w:ascii="Tahoma" w:cs="Tahoma" w:eastAsia="Tahoma" w:hAnsi="Tahoma"/>
          <w:b/>
          <w:bCs/>
          <w:sz w:val="21"/>
          <w:szCs w:val="21"/>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۳.۵.۲ تحلیل</w:t>
      </w:r>
    </w:p>
    <w:p>
      <w:pPr>
        <w:bidi/>
        <w:spacing w:after="160" w:line="312"/>
        <w:jc w:val="left"/>
      </w:pPr>
      <w:r>
        <w:rPr>
          <w:rFonts w:ascii="Tahoma" w:cs="Tahoma" w:eastAsia="Tahoma" w:hAnsi="Tahoma"/>
          <w:sz w:val="21"/>
          <w:szCs w:val="21"/>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 و این الگو نشان می‌دهد پایگاه مشتریان بانک ساختاری پایدار دارد.</w:t>
      </w:r>
    </w:p>
    <w:p>
      <w:pPr>
        <w:bidi/>
        <w:spacing w:after="160" w:line="312"/>
        <w:jc w:val="left"/>
      </w:pPr>
      <w:r>
        <w:rPr>
          <w:rFonts w:ascii="Tahoma" w:cs="Tahoma" w:eastAsia="Tahoma" w:hAnsi="Tahoma"/>
          <w:sz w:val="21"/>
          <w:szCs w:val="21"/>
          <w:rtl/>
        </w:rPr>
        <w:t xml:space="preserve">نمونه بر مشتریان فعال در مقطع نمونه‌گیری استوار است؛ بنابراین ماندگاری گزارش‌شده رفتار مشتریانی را نشان می‌دهد که تا آن مقطع در رابطه با بانک مانده‌اند. تکمیل این تحلیل با نمونه‌ای از مشتریان غیرفعال، برآورد ماندگاری کل بانک را ممکن می‌کند (جدول ۲-۴).</w:t>
      </w:r>
    </w:p>
    <w:p>
      <w:pPr>
        <w:pBdr>
          <w:bottom w:val="single" w:color="BBBBBB" w:sz="6"/>
        </w:pBdr>
        <w:spacing w:after="100" w:before="100"/>
      </w:pPr>
    </w:p>
    <w:p>
      <w:pPr>
        <w:pStyle w:val="Heading2"/>
        <w:keepNext/>
        <w:bidi/>
        <w:spacing w:after="160" w:before="300"/>
        <w:jc w:val="left"/>
      </w:pPr>
      <w:bookmarkStart w:name="_Toc27" w:id="27"/>
      <w:r>
        <w:rPr>
          <w:rFonts w:ascii="Tahoma" w:cs="Tahoma" w:eastAsia="Tahoma" w:hAnsi="Tahoma"/>
          <w:b/>
          <w:bCs/>
          <w:color w:val="1F4E79"/>
          <w:sz w:val="28"/>
          <w:szCs w:val="28"/>
          <w:rtl/>
        </w:rPr>
        <w:t xml:space="preserve">۳.۶ نرخ ریزش سالانه</w:t>
      </w:r>
      <w:bookmarkEnd w:id="27"/>
    </w:p>
    <w:p>
      <w:pPr>
        <w:pStyle w:val="Heading3"/>
        <w:keepNext/>
        <w:bidi/>
        <w:spacing w:after="160" w:before="300"/>
        <w:jc w:val="left"/>
      </w:pPr>
      <w:r>
        <w:rPr>
          <w:rFonts w:ascii="Tahoma" w:cs="Tahoma" w:eastAsia="Tahoma" w:hAnsi="Tahoma"/>
          <w:b/>
          <w:bCs/>
          <w:color w:val="1F4E79"/>
          <w:sz w:val="24"/>
          <w:szCs w:val="24"/>
          <w:rtl/>
        </w:rPr>
        <w:t xml:space="preserve">۳.۶.۱ روش</w:t>
      </w:r>
    </w:p>
    <w:p>
      <w:pPr>
        <w:bidi/>
        <w:spacing w:after="160" w:line="312"/>
        <w:jc w:val="left"/>
      </w:pPr>
      <w:r>
        <w:rPr>
          <w:rFonts w:ascii="Tahoma" w:cs="Tahoma" w:eastAsia="Tahoma" w:hAnsi="Tahoma"/>
          <w:sz w:val="21"/>
          <w:szCs w:val="21"/>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spacing w:after="160" w:before="120"/>
        <w:jc w:val="center"/>
      </w:pPr>
      <m:oMath>
        <m:r>
          <m:t>نرخ ریزش</m:t>
        </m:r>
        <m:r>
          <m:t>=</m:t>
        </m:r>
        <m:f>
          <m:num>
            <m:r>
              <m:t>تعداد مشتریان ریزش‌کرده در سال بعد</m:t>
            </m:r>
          </m:num>
          <m:den>
            <m:r>
              <m:t>تعداد مشتریان فعال ابتدای دوره</m:t>
            </m:r>
          </m:den>
        </m:f>
        <m:r>
          <m:t>×</m:t>
        </m:r>
        <m:r>
          <m:t>۱۰۰</m:t>
        </m:r>
      </m:oMath>
    </w:p>
    <w:p>
      <w:pPr>
        <w:bidi/>
        <w:spacing w:after="160" w:line="312"/>
        <w:jc w:val="left"/>
      </w:pPr>
      <w:r>
        <w:rPr>
          <w:rFonts w:ascii="Tahoma" w:cs="Tahoma" w:eastAsia="Tahoma" w:hAnsi="Tahoma"/>
          <w:sz w:val="21"/>
          <w:szCs w:val="21"/>
          <w:rtl/>
        </w:rPr>
        <w:t xml:space="preserve">افزون بر نرخ تعدادی، سهم مانده‌ی ازدست‌رفته نیز محاسبه می‌شود؛ این شاخص نشان می‌دهد ریزش‌کنندگان چه سهمی از مانده‌ی بانک را داشته‌اند و بنابراین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۳-۵: نرخ ریزش سالانه‌ی سپرده‌گذاران و سهم مانده‌ی ازدست‌رفته</w:t>
      </w:r>
    </w:p>
    <w:p>
      <w:pPr>
        <w:keepNext/>
        <w:bidi/>
        <w:spacing w:after="100" w:before="200"/>
        <w:jc w:val="left"/>
      </w:pPr>
      <w:r>
        <w:rPr>
          <w:rFonts w:ascii="Tahoma" w:cs="Tahoma" w:eastAsia="Tahoma" w:hAnsi="Tahoma"/>
          <w:b/>
          <w:bCs/>
          <w:sz w:val="21"/>
          <w:szCs w:val="21"/>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۳.۶.۲ تحلیل</w:t>
      </w:r>
    </w:p>
    <w:p>
      <w:pPr>
        <w:bidi/>
        <w:spacing w:after="160" w:line="312"/>
        <w:jc w:val="left"/>
      </w:pPr>
      <w:r>
        <w:rPr>
          <w:rFonts w:ascii="Tahoma" w:cs="Tahoma" w:eastAsia="Tahoma" w:hAnsi="Tahoma"/>
          <w:sz w:val="21"/>
          <w:szCs w:val="21"/>
          <w:rtl/>
        </w:rPr>
        <w:t xml:space="preserve">نرخ ریزش کامل در تمام گذارها کمتر از یک درصد است و از ۰.۳ درصد در سه گذار نخست به ۰.۵ درصد در دو گذار اخیر رسیده است. تعداد ریزش‌کنندگان از ۱,۰۶۶ به ۳,۶۸۲ نفر، یعنی ۳.۵ برابر، افزایش یافته در حالی که جمعیت پایه ۱.۷ برابر شده است؛ بنابراین ریزش اندکی سریع‌تر از جمعیت رشد کرده و پایش مستمر آن در فازهای بعد ارزشمند است.</w:t>
      </w:r>
    </w:p>
    <w:p>
      <w:pPr>
        <w:bidi/>
        <w:spacing w:after="160" w:line="312"/>
        <w:jc w:val="left"/>
      </w:pPr>
      <w:r>
        <w:rPr>
          <w:rFonts w:ascii="Tahoma" w:cs="Tahoma" w:eastAsia="Tahoma" w:hAnsi="Tahoma"/>
          <w:sz w:val="21"/>
          <w:szCs w:val="21"/>
          <w:rtl/>
        </w:rPr>
        <w:t xml:space="preserve">ریزش‌کنندگان عمدتاً مشتریان کم‌ارزش‌اند: سهم مانده‌ی ازدست‌رفته در چهار گذار از پنج گذار کمتر از نیم درصد است، که با ساختار پلکان مانده (فصل ۴) سازگار است. در گذار ۱۴۰۰ به ۱۴۰۱ این سهم ۰.۸۳ درصد بوده که نشان‌دهنده‌ی خروج چند مشتری با مانده‌ی بالاتر از میانگین در آن سال است.</w:t>
      </w:r>
    </w:p>
    <w:p>
      <w:pPr>
        <w:pBdr>
          <w:bottom w:val="single" w:color="BBBBBB" w:sz="6"/>
        </w:pBdr>
        <w:spacing w:after="100" w:before="100"/>
      </w:pPr>
    </w:p>
    <w:p>
      <w:pPr>
        <w:pStyle w:val="Heading2"/>
        <w:keepNext/>
        <w:bidi/>
        <w:spacing w:after="160" w:before="300"/>
        <w:jc w:val="left"/>
      </w:pPr>
      <w:bookmarkStart w:name="_Toc28" w:id="28"/>
      <w:r>
        <w:rPr>
          <w:rFonts w:ascii="Tahoma" w:cs="Tahoma" w:eastAsia="Tahoma" w:hAnsi="Tahoma"/>
          <w:b/>
          <w:bCs/>
          <w:color w:val="1F4E79"/>
          <w:sz w:val="28"/>
          <w:szCs w:val="28"/>
          <w:rtl/>
        </w:rPr>
        <w:t xml:space="preserve">۳.۷ جمع‌بندی فصل</w:t>
      </w:r>
      <w:bookmarkEnd w:id="28"/>
    </w:p>
    <w:p>
      <w:pPr>
        <w:bidi/>
        <w:spacing w:after="160" w:line="312"/>
        <w:jc w:val="left"/>
      </w:pPr>
      <w:r>
        <w:rPr>
          <w:rFonts w:ascii="Tahoma" w:cs="Tahoma" w:eastAsia="Tahoma" w:hAnsi="Tahoma"/>
          <w:sz w:val="21"/>
          <w:szCs w:val="21"/>
          <w:rtl/>
        </w:rPr>
        <w:t xml:space="preserve">نتایج قابل استناد این فصل به شرح زیر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نمونه‌ی تحلیلی شامل </w:t>
      </w:r>
      <w:r>
        <w:rPr>
          <w:rFonts w:ascii="Tahoma" w:cs="Tahoma" w:eastAsia="Tahoma" w:hAnsi="Tahoma"/>
          <w:b/>
          <w:bCs/>
          <w:sz w:val="21"/>
          <w:szCs w:val="21"/>
          <w:rtl/>
        </w:rPr>
        <w:t xml:space="preserve">۷۰۶,۵۴۳ مشتری</w:t>
      </w:r>
      <w:r>
        <w:rPr>
          <w:rFonts w:ascii="Tahoma" w:cs="Tahoma" w:eastAsia="Tahoma" w:hAnsi="Tahoma"/>
          <w:sz w:val="21"/>
          <w:szCs w:val="21"/>
          <w:rtl/>
        </w:rPr>
        <w:t xml:space="preserve"> است که ۷۰۶,۵۰۹ نفر آنان سپرده‌گذار و ۲۴۹,۷۰۸ نفر گیرنده‌ی اصلی تسهیلات‌اند. سپرده دروازه‌ی ورود مشتریان به بانک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۳۵.۳ درصد سپرده‌گذاران</w:t>
      </w:r>
      <w:r>
        <w:rPr>
          <w:rFonts w:ascii="Tahoma" w:cs="Tahoma" w:eastAsia="Tahoma" w:hAnsi="Tahoma"/>
          <w:sz w:val="21"/>
          <w:szCs w:val="21"/>
          <w:rtl/>
        </w:rPr>
        <w:t xml:space="preserve"> تسهیلات نیز دریافت کرده‌اند و </w:t>
      </w:r>
      <w:r>
        <w:rPr>
          <w:rFonts w:ascii="Tahoma" w:cs="Tahoma" w:eastAsia="Tahoma" w:hAnsi="Tahoma"/>
          <w:b/>
          <w:bCs/>
          <w:sz w:val="21"/>
          <w:szCs w:val="21"/>
          <w:rtl/>
        </w:rPr>
        <w:t xml:space="preserve">۶۴.۷ درصد (۴۵۶,۸۳۵ نفر)</w:t>
      </w:r>
      <w:r>
        <w:rPr>
          <w:rFonts w:ascii="Tahoma" w:cs="Tahoma" w:eastAsia="Tahoma" w:hAnsi="Tahoma"/>
          <w:sz w:val="21"/>
          <w:szCs w:val="21"/>
          <w:rtl/>
        </w:rPr>
        <w:t xml:space="preserve"> صرفاً سپرده‌گذارند؛ بزرگ‌ترین بازار هدف داخلی بانک.</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 میان سپرده‌گذاران فاقد تسهیلات، </w:t>
      </w:r>
      <w:r>
        <w:rPr>
          <w:rFonts w:ascii="Tahoma" w:cs="Tahoma" w:eastAsia="Tahoma" w:hAnsi="Tahoma"/>
          <w:b/>
          <w:bCs/>
          <w:sz w:val="21"/>
          <w:szCs w:val="21"/>
          <w:rtl/>
        </w:rPr>
        <w:t xml:space="preserve">۱۰۱,۱۹۶ مشتری</w:t>
      </w:r>
      <w:r>
        <w:rPr>
          <w:rFonts w:ascii="Tahoma" w:cs="Tahoma" w:eastAsia="Tahoma" w:hAnsi="Tahoma"/>
          <w:sz w:val="21"/>
          <w:szCs w:val="21"/>
          <w:rtl/>
        </w:rPr>
        <w:t xml:space="preserve"> با مانده‌ی بیش از ۱۰ میلیون تومان هدف قابل‌اقدام‌اند و </w:t>
      </w:r>
      <w:r>
        <w:rPr>
          <w:rFonts w:ascii="Tahoma" w:cs="Tahoma" w:eastAsia="Tahoma" w:hAnsi="Tahoma"/>
          <w:b/>
          <w:bCs/>
          <w:sz w:val="21"/>
          <w:szCs w:val="21"/>
          <w:rtl/>
        </w:rPr>
        <w:t xml:space="preserve">۴,۳۳۴ سپرده‌گذار بزرگ</w:t>
      </w:r>
      <w:r>
        <w:rPr>
          <w:rFonts w:ascii="Tahoma" w:cs="Tahoma" w:eastAsia="Tahoma" w:hAnsi="Tahoma"/>
          <w:sz w:val="21"/>
          <w:szCs w:val="21"/>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۹۰.۳ درصد</w:t>
      </w:r>
      <w:r>
        <w:rPr>
          <w:rFonts w:ascii="Tahoma" w:cs="Tahoma" w:eastAsia="Tahoma" w:hAnsi="Tahoma"/>
          <w:sz w:val="21"/>
          <w:szCs w:val="21"/>
          <w:rtl/>
        </w:rPr>
        <w:t xml:space="preserve"> سپرده‌گذاران نمونه هر چهار معیار فعال‌بودن را احراز می‌کنند و </w:t>
      </w:r>
      <w:r>
        <w:rPr>
          <w:rFonts w:ascii="Tahoma" w:cs="Tahoma" w:eastAsia="Tahoma" w:hAnsi="Tahoma"/>
          <w:b/>
          <w:bCs/>
          <w:sz w:val="21"/>
          <w:szCs w:val="21"/>
          <w:rtl/>
        </w:rPr>
        <w:t xml:space="preserve">۹۳.۳ درصد</w:t>
      </w:r>
      <w:r>
        <w:rPr>
          <w:rFonts w:ascii="Tahoma" w:cs="Tahoma" w:eastAsia="Tahoma" w:hAnsi="Tahoma"/>
          <w:sz w:val="21"/>
          <w:szCs w:val="21"/>
          <w:rtl/>
        </w:rPr>
        <w:t xml:space="preserve"> گیرندگان اصلی در ۱۴۰۴ مانده‌ی تسهیلات داشته‌اند.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ماندگاری کوهورت‌ها </w:t>
      </w:r>
      <w:r>
        <w:rPr>
          <w:rFonts w:ascii="Tahoma" w:cs="Tahoma" w:eastAsia="Tahoma" w:hAnsi="Tahoma"/>
          <w:b/>
          <w:bCs/>
          <w:sz w:val="21"/>
          <w:szCs w:val="21"/>
          <w:rtl/>
        </w:rPr>
        <w:t xml:space="preserve">۸۹.۰ تا ۹۵.۵ درصد</w:t>
      </w:r>
      <w:r>
        <w:rPr>
          <w:rFonts w:ascii="Tahoma" w:cs="Tahoma" w:eastAsia="Tahoma" w:hAnsi="Tahoma"/>
          <w:sz w:val="21"/>
          <w:szCs w:val="21"/>
          <w:rtl/>
        </w:rPr>
        <w:t xml:space="preserve"> است و فرسایش رابطه با عمر کوهورت ملایم (حدود ۶ واحد درصد میان کوهورت‌های قدیمی و جدید)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نرخ ریزش کامل سالانه </w:t>
      </w:r>
      <w:r>
        <w:rPr>
          <w:rFonts w:ascii="Tahoma" w:cs="Tahoma" w:eastAsia="Tahoma" w:hAnsi="Tahoma"/>
          <w:b/>
          <w:bCs/>
          <w:sz w:val="21"/>
          <w:szCs w:val="21"/>
          <w:rtl/>
        </w:rPr>
        <w:t xml:space="preserve">کمتر از ۰.۵ درصد</w:t>
      </w:r>
      <w:r>
        <w:rPr>
          <w:rFonts w:ascii="Tahoma" w:cs="Tahoma" w:eastAsia="Tahoma" w:hAnsi="Tahoma"/>
          <w:sz w:val="21"/>
          <w:szCs w:val="21"/>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29" w:id="29"/>
      <w:r>
        <w:rPr>
          <w:rFonts w:ascii="Tahoma" w:cs="Tahoma" w:eastAsia="Tahoma" w:hAnsi="Tahoma"/>
          <w:b/>
          <w:bCs/>
          <w:color w:val="1F4E79"/>
          <w:sz w:val="34"/>
          <w:szCs w:val="34"/>
          <w:rtl/>
        </w:rPr>
        <w:t xml:space="preserve">فصل ۴ — بازار سپرده</w:t>
      </w:r>
      <w:bookmarkEnd w:id="29"/>
    </w:p>
    <w:p>
      <w:pPr>
        <w:pStyle w:val="Heading2"/>
        <w:keepNext/>
        <w:bidi/>
        <w:spacing w:after="160" w:before="300"/>
        <w:jc w:val="left"/>
      </w:pPr>
      <w:bookmarkStart w:name="_Toc30" w:id="30"/>
      <w:r>
        <w:rPr>
          <w:rFonts w:ascii="Tahoma" w:cs="Tahoma" w:eastAsia="Tahoma" w:hAnsi="Tahoma"/>
          <w:b/>
          <w:bCs/>
          <w:color w:val="1F4E79"/>
          <w:sz w:val="28"/>
          <w:szCs w:val="28"/>
          <w:rtl/>
        </w:rPr>
        <w:t xml:space="preserve">۴.۰ هدف، مبنا و قید اصلی فصل</w:t>
      </w:r>
      <w:bookmarkEnd w:id="30"/>
    </w:p>
    <w:p>
      <w:pPr>
        <w:bidi/>
        <w:spacing w:after="160" w:line="312"/>
        <w:jc w:val="left"/>
      </w:pPr>
      <w:r>
        <w:rPr>
          <w:rFonts w:ascii="Tahoma" w:cs="Tahoma" w:eastAsia="Tahoma" w:hAnsi="Tahoma"/>
          <w:sz w:val="21"/>
          <w:szCs w:val="21"/>
          <w:rtl/>
        </w:rPr>
        <w:t xml:space="preserve">این فصل ساختار منابع بانک را از چهار زاویه بررسی می‌کند: روند رشد و ترکیب محصولی (۴.۱ و ۴.۲)، ساختار توزیع مشتریان بر حسب اندازه‌ی مانده (۴.۳ و ۴.۴)، پایداری این منابع در گذر زمان (۴.۵)، و در نهایت ابهام روش‌شناختی بنیادینی که بر تمام ارقام فصل سایه افکنده است (۴.۶).</w:t>
      </w:r>
    </w:p>
    <w:p>
      <w:pPr>
        <w:bidi/>
        <w:spacing w:after="160" w:line="312"/>
        <w:jc w:val="left"/>
      </w:pPr>
      <w:r>
        <w:rPr>
          <w:rFonts w:ascii="Tahoma" w:cs="Tahoma" w:eastAsia="Tahoma" w:hAnsi="Tahoma"/>
          <w:b/>
          <w:bCs/>
          <w:sz w:val="21"/>
          <w:szCs w:val="21"/>
          <w:rtl/>
        </w:rPr>
        <w:t xml:space="preserve">مبنای رسمی:</w:t>
      </w:r>
      <w:r>
        <w:rPr>
          <w:rFonts w:ascii="Tahoma" w:cs="Tahoma" w:eastAsia="Tahoma" w:hAnsi="Tahoma"/>
          <w:sz w:val="21"/>
          <w:szCs w:val="21"/>
          <w:rtl/>
        </w:rPr>
        <w:t xml:space="preserve"> مبنای </w:t>
      </w:r>
      <w:r>
        <w:rPr>
          <w:rFonts w:ascii="Tahoma" w:cs="Tahoma" w:eastAsia="Tahoma" w:hAnsi="Tahoma"/>
          <w:b/>
          <w:bCs/>
          <w:sz w:val="21"/>
          <w:szCs w:val="21"/>
          <w:rtl/>
        </w:rPr>
        <w:t xml:space="preserve">ب</w:t>
      </w:r>
      <w:r>
        <w:rPr>
          <w:rFonts w:ascii="Tahoma" w:cs="Tahoma" w:eastAsia="Tahoma" w:hAnsi="Tahoma"/>
          <w:sz w:val="21"/>
          <w:szCs w:val="21"/>
          <w:rtl/>
        </w:rPr>
        <w:t xml:space="preserve"> جدول تطبیق — مانده‌ی کل سپرده معادل </w:t>
      </w:r>
      <w:r>
        <w:rPr>
          <w:rFonts w:ascii="Tahoma" w:cs="Tahoma" w:eastAsia="Tahoma" w:hAnsi="Tahoma"/>
          <w:b/>
          <w:bCs/>
          <w:sz w:val="21"/>
          <w:szCs w:val="21"/>
          <w:rtl/>
        </w:rPr>
        <w:t xml:space="preserve">۸۴.۸ هزار میلیارد تومان</w:t>
      </w:r>
      <w:r>
        <w:rPr>
          <w:rFonts w:ascii="Tahoma" w:cs="Tahoma" w:eastAsia="Tahoma" w:hAnsi="Tahoma"/>
          <w:sz w:val="21"/>
          <w:szCs w:val="21"/>
          <w:rtl/>
        </w:rPr>
        <w:t xml:space="preserve"> در اسفند ۱۴۰۴، محاسبه‌شده از ستون میانگین مانده در جدول </w:t>
      </w:r>
      <w:r>
        <w:rPr>
          <w:rFonts w:ascii="Consolas" w:cs="Consolas" w:eastAsia="Consolas" w:hAnsi="Consolas"/>
          <w:b w:val="false"/>
          <w:bCs w:val="false"/>
          <w:sz w:val="18"/>
          <w:szCs w:val="18"/>
          <w:rtl w:val="false"/>
        </w:rPr>
        <w:t xml:space="preserve">Deposit_Monthly_Activity</w:t>
      </w:r>
      <w:r>
        <w:rPr>
          <w:rFonts w:ascii="Tahoma" w:cs="Tahoma" w:eastAsia="Tahoma" w:hAnsi="Tahoma"/>
          <w:sz w:val="21"/>
          <w:szCs w:val="21"/>
          <w:rtl/>
        </w:rPr>
        <w:t xml:space="preserve">.</w:t>
      </w:r>
    </w:p>
    <w:p>
      <w:pPr>
        <w:bidi/>
        <w:spacing w:after="160" w:line="312"/>
        <w:jc w:val="left"/>
      </w:pPr>
      <w:r>
        <w:rPr>
          <w:rFonts w:ascii="Tahoma" w:cs="Tahoma" w:eastAsia="Tahoma" w:hAnsi="Tahoma"/>
          <w:b/>
          <w:bCs/>
          <w:sz w:val="21"/>
          <w:szCs w:val="21"/>
          <w:rtl/>
        </w:rPr>
        <w:t xml:space="preserve">محدودیت اساسی:</w:t>
      </w:r>
      <w:r>
        <w:rPr>
          <w:rFonts w:ascii="Tahoma" w:cs="Tahoma" w:eastAsia="Tahoma" w:hAnsi="Tahoma"/>
          <w:sz w:val="21"/>
          <w:szCs w:val="21"/>
          <w:rtl/>
        </w:rPr>
        <w:t xml:space="preserve"> تعریف دقیق همین ستون هنوز از بانک دریافت نشده است. از آنجا که تمام ارقام این فصل بر آن استوارند، مطالعه‌ی بخش ۴.۶ پیش از استناد به هر رقمی از این فصل توصیه می‌شود.</w:t>
      </w:r>
    </w:p>
    <w:p>
      <w:pPr>
        <w:pBdr>
          <w:bottom w:val="single" w:color="BBBBBB" w:sz="6"/>
        </w:pBdr>
        <w:spacing w:after="100" w:before="100"/>
      </w:pPr>
    </w:p>
    <w:p>
      <w:pPr>
        <w:pStyle w:val="Heading2"/>
        <w:keepNext/>
        <w:bidi/>
        <w:spacing w:after="160" w:before="300"/>
        <w:jc w:val="left"/>
      </w:pPr>
      <w:bookmarkStart w:name="_Toc31" w:id="31"/>
      <w:r>
        <w:rPr>
          <w:rFonts w:ascii="Tahoma" w:cs="Tahoma" w:eastAsia="Tahoma" w:hAnsi="Tahoma"/>
          <w:b/>
          <w:bCs/>
          <w:color w:val="1F4E79"/>
          <w:sz w:val="28"/>
          <w:szCs w:val="28"/>
          <w:rtl/>
        </w:rPr>
        <w:t xml:space="preserve">۴.۱ روند مانده و رشد منابع</w:t>
      </w:r>
      <w:bookmarkEnd w:id="31"/>
    </w:p>
    <w:p>
      <w:pPr>
        <w:pStyle w:val="Heading3"/>
        <w:keepNext/>
        <w:bidi/>
        <w:spacing w:after="160" w:before="300"/>
        <w:jc w:val="left"/>
      </w:pPr>
      <w:r>
        <w:rPr>
          <w:rFonts w:ascii="Tahoma" w:cs="Tahoma" w:eastAsia="Tahoma" w:hAnsi="Tahoma"/>
          <w:b/>
          <w:bCs/>
          <w:color w:val="1F4E79"/>
          <w:sz w:val="24"/>
          <w:szCs w:val="24"/>
          <w:rtl/>
        </w:rPr>
        <w:t xml:space="preserve">۴.۱.۱ تصویر کلان</w:t>
      </w:r>
    </w:p>
    <w:p>
      <w:pPr>
        <w:keepNext/>
        <w:spacing w:after="60" w:before="160"/>
        <w:jc w:val="center"/>
      </w:pPr>
      <w:r>
        <w:drawing>
          <wp:inline distT="0" distB="0" distL="0" distR="0">
            <wp:extent cx="571500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۴-۱: روند مانده‌ی کل سپرده، فروردین ۱۳۹۹ تا اسفند ۱۴۰۴</w:t>
      </w:r>
    </w:p>
    <w:p>
      <w:pPr>
        <w:keepNext/>
        <w:bidi/>
        <w:spacing w:after="100" w:before="200"/>
        <w:jc w:val="left"/>
      </w:pPr>
      <w:r>
        <w:rPr>
          <w:rFonts w:ascii="Tahoma" w:cs="Tahoma" w:eastAsia="Tahoma" w:hAnsi="Tahoma"/>
          <w:b/>
          <w:bCs/>
          <w:sz w:val="21"/>
          <w:szCs w:val="21"/>
          <w:rtl/>
        </w:rPr>
        <w:t xml:space="preserve">جدول ۴-۱: مقاطع کلیدی روند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1"/>
        <w:gridCol w:w="2514"/>
        <w:gridCol w:w="1741"/>
        <w:gridCol w:w="2394"/>
      </w:tblGrid>
      <w:tr>
        <w:trPr>
          <w:cantSplit/>
          <w:tblHeader/>
        </w:trPr>
        <w:tc>
          <w:tcPr>
            <w:tcW w:type="dxa" w:w="27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23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هر حساب</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۱۳۹۹</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۱,۰۸۱,۷۸۱</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 میلیون تومان</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 (آغاز بازه‌ی رسمی)</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 میلیون تومان</w:t>
            </w:r>
          </w:p>
        </w:tc>
      </w:tr>
    </w:tbl>
    <w:p>
      <w:pPr>
        <w:spacing w:after="200"/>
      </w:pPr>
    </w:p>
    <w:p>
      <w:pPr>
        <w:bidi/>
        <w:spacing w:after="160" w:line="312"/>
        <w:jc w:val="left"/>
      </w:pPr>
      <w:r>
        <w:rPr>
          <w:rFonts w:ascii="Tahoma" w:cs="Tahoma" w:eastAsia="Tahoma" w:hAnsi="Tahoma"/>
          <w:sz w:val="21"/>
          <w:szCs w:val="21"/>
          <w:rtl/>
        </w:rPr>
        <w:t xml:space="preserve">در بازه‌ی رسمی گزارش، مانده‌ی سپرده به‌صورت اسمی </w:t>
      </w:r>
      <w:r>
        <w:rPr>
          <w:rFonts w:ascii="Tahoma" w:cs="Tahoma" w:eastAsia="Tahoma" w:hAnsi="Tahoma"/>
          <w:b/>
          <w:bCs/>
          <w:sz w:val="21"/>
          <w:szCs w:val="21"/>
          <w:rtl/>
        </w:rPr>
        <w:t xml:space="preserve">۴.۵۸ برابر</w:t>
      </w:r>
      <w:r>
        <w:rPr>
          <w:rFonts w:ascii="Tahoma" w:cs="Tahoma" w:eastAsia="Tahoma" w:hAnsi="Tahoma"/>
          <w:sz w:val="21"/>
          <w:szCs w:val="21"/>
          <w:rtl/>
        </w:rPr>
        <w:t xml:space="preserve"> شده است (با در نظر گرفتن تورم ۱۳۹۹=۱۰۰ → ۱۴۰۴=۵۸۴.۵، رشد واقعی سپرده </w:t>
      </w:r>
      <w:r>
        <w:rPr>
          <w:rFonts w:ascii="Tahoma" w:cs="Tahoma" w:eastAsia="Tahoma" w:hAnsi="Tahoma"/>
          <w:b/>
          <w:bCs/>
          <w:sz w:val="21"/>
          <w:szCs w:val="21"/>
          <w:rtl/>
        </w:rPr>
        <w:t xml:space="preserve">۱.۱۰ برابر</w:t>
      </w:r>
      <w:r>
        <w:rPr>
          <w:rFonts w:ascii="Tahoma" w:cs="Tahoma" w:eastAsia="Tahoma" w:hAnsi="Tahoma"/>
          <w:sz w:val="21"/>
          <w:szCs w:val="21"/>
          <w:rtl/>
        </w:rPr>
        <w:t xml:space="preserve"> یا </w:t>
      </w:r>
      <w:r>
        <w:rPr>
          <w:rFonts w:ascii="Tahoma" w:cs="Tahoma" w:eastAsia="Tahoma" w:hAnsi="Tahoma"/>
          <w:b/>
          <w:bCs/>
          <w:sz w:val="21"/>
          <w:szCs w:val="21"/>
          <w:rtl/>
        </w:rPr>
        <w:t xml:space="preserve">+۹.۷٪</w:t>
      </w:r>
      <w:r>
        <w:rPr>
          <w:rFonts w:ascii="Tahoma" w:cs="Tahoma" w:eastAsia="Tahoma" w:hAnsi="Tahoma"/>
          <w:sz w:val="21"/>
          <w:szCs w:val="21"/>
          <w:rtl/>
        </w:rPr>
        <w:t xml:space="preserve"> بوده است). با احتساب داده‌ی پیوستی سال ۱۳۹۹، رشد دوره‌ی ۷۲ ماهه به </w:t>
      </w:r>
      <w:r>
        <w:rPr>
          <w:rFonts w:ascii="Tahoma" w:cs="Tahoma" w:eastAsia="Tahoma" w:hAnsi="Tahoma"/>
          <w:b/>
          <w:bCs/>
          <w:sz w:val="21"/>
          <w:szCs w:val="21"/>
          <w:rtl/>
        </w:rPr>
        <w:t xml:space="preserve">۶.۵۳ برابر</w:t>
      </w:r>
      <w:r>
        <w:rPr>
          <w:rFonts w:ascii="Tahoma" w:cs="Tahoma" w:eastAsia="Tahoma" w:hAnsi="Tahoma"/>
          <w:sz w:val="21"/>
          <w:szCs w:val="21"/>
          <w:rtl/>
        </w:rPr>
        <w:t xml:space="preserve"> می‌رسد.</w:t>
      </w:r>
    </w:p>
    <w:p>
      <w:pPr>
        <w:pStyle w:val="Heading3"/>
        <w:keepNext/>
        <w:bidi/>
        <w:spacing w:after="160" w:before="300"/>
        <w:jc w:val="left"/>
      </w:pPr>
      <w:r>
        <w:rPr>
          <w:rFonts w:ascii="Tahoma" w:cs="Tahoma" w:eastAsia="Tahoma" w:hAnsi="Tahoma"/>
          <w:b/>
          <w:bCs/>
          <w:color w:val="1F4E79"/>
          <w:sz w:val="24"/>
          <w:szCs w:val="24"/>
          <w:rtl/>
        </w:rPr>
        <w:t xml:space="preserve">۴.۱.۲ رشد سالانه</w:t>
      </w:r>
    </w:p>
    <w:p>
      <w:pPr>
        <w:keepNext/>
        <w:spacing w:after="60" w:before="160"/>
        <w:jc w:val="center"/>
      </w:pPr>
      <w:r>
        <w:drawing>
          <wp:inline distT="0" distB="0" distL="0" distR="0">
            <wp:extent cx="5715000" cy="3171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۴-۲: نرخ رشد سالانه‌ی سپرده و تسهیلات</w:t>
      </w:r>
    </w:p>
    <w:p>
      <w:pPr>
        <w:keepNext/>
        <w:bidi/>
        <w:spacing w:after="100" w:before="200"/>
        <w:jc w:val="left"/>
      </w:pPr>
      <w:r>
        <w:rPr>
          <w:rFonts w:ascii="Tahoma" w:cs="Tahoma" w:eastAsia="Tahoma" w:hAnsi="Tahoma"/>
          <w:b/>
          <w:bCs/>
          <w:sz w:val="21"/>
          <w:szCs w:val="21"/>
          <w:rtl/>
        </w:rPr>
        <w:t xml:space="preserve">جدول ۴-۲: رشد سالانه‌ی مانده‌ی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42"/>
        <w:gridCol w:w="4262"/>
        <w:gridCol w:w="2646"/>
      </w:tblGrid>
      <w:tr>
        <w:trPr>
          <w:cantSplit/>
          <w:tblHeader/>
        </w:trPr>
        <w:tc>
          <w:tcPr>
            <w:tcW w:type="dxa" w:w="24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(هزار میلیارد تومان)</w:t>
            </w:r>
          </w:p>
        </w:tc>
        <w:tc>
          <w:tcPr>
            <w:tcW w:type="dxa" w:w="26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۴۷.۳</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۴۴.۳٪</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r>
    </w:tbl>
    <w:p>
      <w:pPr>
        <w:spacing w:after="200"/>
      </w:pPr>
    </w:p>
    <w:p>
      <w:pPr>
        <w:bidi/>
        <w:spacing w:after="160" w:line="312"/>
        <w:jc w:val="left"/>
      </w:pPr>
      <w:r>
        <w:rPr>
          <w:rFonts w:ascii="Tahoma" w:cs="Tahoma" w:eastAsia="Tahoma" w:hAnsi="Tahoma"/>
          <w:sz w:val="21"/>
          <w:szCs w:val="21"/>
          <w:rtl/>
        </w:rPr>
        <w:t xml:space="preserve">نرخ رشد در کل دوره در بازه‌ی نسبتاً باریک ۳۰.۶ تا ۴۴.۳ درصد نوسان کرده است. جهش سال ۱۴۰۲ تنها انحراف محسوس از این الگوست و پس از آن، نرخ رشد به محدوده‌ی پیشین بازگشته است.</w:t>
      </w:r>
    </w:p>
    <w:p>
      <w:pPr>
        <w:pStyle w:val="Heading3"/>
        <w:keepNext/>
        <w:bidi/>
        <w:spacing w:after="160" w:before="300"/>
        <w:jc w:val="left"/>
      </w:pPr>
      <w:r>
        <w:rPr>
          <w:rFonts w:ascii="Tahoma" w:cs="Tahoma" w:eastAsia="Tahoma" w:hAnsi="Tahoma"/>
          <w:b/>
          <w:bCs/>
          <w:color w:val="1F4E79"/>
          <w:sz w:val="24"/>
          <w:szCs w:val="24"/>
          <w:rtl/>
        </w:rPr>
        <w:t xml:space="preserve">۴.۱.۳ تحلیل: سه قید ضروری در تفسیر این رشد</w:t>
      </w:r>
    </w:p>
    <w:p>
      <w:pPr>
        <w:bidi/>
        <w:spacing w:after="160" w:line="312"/>
        <w:jc w:val="left"/>
      </w:pPr>
      <w:r>
        <w:rPr>
          <w:rFonts w:ascii="Tahoma" w:cs="Tahoma" w:eastAsia="Tahoma" w:hAnsi="Tahoma"/>
          <w:sz w:val="21"/>
          <w:szCs w:val="21"/>
          <w:rtl/>
        </w:rPr>
        <w:t xml:space="preserve">ارقام جداول ۳-۱ و ۳-۲ در نگاه نخست رشدی چشمگیر را نشان می‌دهند. سه ملاحظه‌ی زیر برای تفسیر صحیح آن‌ها ضروری است.</w:t>
      </w:r>
    </w:p>
    <w:p>
      <w:pPr>
        <w:bidi/>
        <w:spacing w:after="160" w:line="312"/>
        <w:jc w:val="left"/>
      </w:pPr>
      <w:r>
        <w:rPr>
          <w:rFonts w:ascii="Tahoma" w:cs="Tahoma" w:eastAsia="Tahoma" w:hAnsi="Tahoma"/>
          <w:b/>
          <w:bCs/>
          <w:sz w:val="21"/>
          <w:szCs w:val="21"/>
          <w:rtl/>
        </w:rPr>
        <w:t xml:space="preserve">نخست، این رشد اسمی است و نه واقعی.</w:t>
      </w:r>
      <w:r>
        <w:rPr>
          <w:rFonts w:ascii="Tahoma" w:cs="Tahoma" w:eastAsia="Tahoma" w:hAnsi="Tahoma"/>
          <w:sz w:val="21"/>
          <w:szCs w:val="21"/>
          <w:rtl/>
        </w:rPr>
        <w:t xml:space="preserve"> میانگین مانده‌ی هر حساب در دوره‌ی ۷۲ ماهه ۳.۳۶ برابر شده است. با عنایت به سطح تورم اقتصاد ایران در بازه‌ی ۱۳۹۹ تا ۱۴۰۴، این رقم به احتمال زیاد معادل </w:t>
      </w:r>
      <w:r>
        <w:rPr>
          <w:rFonts w:ascii="Tahoma" w:cs="Tahoma" w:eastAsia="Tahoma" w:hAnsi="Tahoma"/>
          <w:b/>
          <w:bCs/>
          <w:sz w:val="21"/>
          <w:szCs w:val="21"/>
          <w:rtl/>
        </w:rPr>
        <w:t xml:space="preserve">کاهش قدرت خرید واقعی سپرده‌ها</w:t>
      </w:r>
      <w:r>
        <w:rPr>
          <w:rFonts w:ascii="Tahoma" w:cs="Tahoma" w:eastAsia="Tahoma" w:hAnsi="Tahoma"/>
          <w:sz w:val="21"/>
          <w:szCs w:val="21"/>
          <w:rtl/>
        </w:rPr>
        <w:t xml:space="preserve"> است. این گزارش هیچ تعدیل تورمی اعمال نکرده و لذا هیچ ادعایی درباره‌ی رشد حقیقی منابع ندارد. محاسبه‌ی رشد واقعی مستلزم توافق بر شاخص تورم مرجع است که در فهرست موضوعات فصل ۹ ثبت شده است.</w:t>
      </w:r>
    </w:p>
    <w:p>
      <w:pPr>
        <w:bidi/>
        <w:spacing w:after="160" w:line="312"/>
        <w:jc w:val="left"/>
      </w:pPr>
      <w:r>
        <w:rPr>
          <w:rFonts w:ascii="Tahoma" w:cs="Tahoma" w:eastAsia="Tahoma" w:hAnsi="Tahoma"/>
          <w:b/>
          <w:bCs/>
          <w:sz w:val="21"/>
          <w:szCs w:val="21"/>
          <w:rtl/>
        </w:rPr>
        <w:t xml:space="preserve">دوم، بخش قابل توجهی از رشد از افزایش تعداد حساب ناشی می‌شود و نه تعمیق رابطه.</w:t>
      </w:r>
      <w:r>
        <w:rPr>
          <w:rFonts w:ascii="Tahoma" w:cs="Tahoma" w:eastAsia="Tahoma" w:hAnsi="Tahoma"/>
          <w:sz w:val="21"/>
          <w:szCs w:val="21"/>
          <w:rtl/>
        </w:rPr>
        <w:t xml:space="preserve"> تعداد حساب در همین دوره ۱.۹۴ برابر شده است. تجزیه‌ی ساده‌ی رشد ۶.۵۳ برابری نشان می‌دهد که ضریب ۱.۹۴ از افزایش تعداد حساب و ضریب ۳.۳۶ از افزایش میانگین هر حساب حاصل شده است. به بیان دیگر، حدود یک‌سوم رشد صرفاً از گسترش تعداد حساب می‌آید.</w:t>
      </w:r>
    </w:p>
    <w:p>
      <w:pPr>
        <w:bidi/>
        <w:spacing w:after="160" w:line="312"/>
        <w:jc w:val="left"/>
      </w:pPr>
      <w:r>
        <w:rPr>
          <w:rFonts w:ascii="Tahoma" w:cs="Tahoma" w:eastAsia="Tahoma" w:hAnsi="Tahoma"/>
          <w:b/>
          <w:bCs/>
          <w:sz w:val="21"/>
          <w:szCs w:val="21"/>
          <w:rtl/>
        </w:rPr>
        <w:t xml:space="preserve">سوم، رشد سپرده از رشد تسهیلات عقب مانده است.</w:t>
      </w:r>
      <w:r>
        <w:rPr>
          <w:rFonts w:ascii="Tahoma" w:cs="Tahoma" w:eastAsia="Tahoma" w:hAnsi="Tahoma"/>
          <w:sz w:val="21"/>
          <w:szCs w:val="21"/>
          <w:rtl/>
        </w:rPr>
        <w:t xml:space="preserve"> چنان‌که در فصل ۵ نشان داده می‌شود، نرخ رشد سالانه‌ی تسهیلات در تمام سال‌های بازه بالاتر از سپرده بوده است. همین شکاف پایدار است که نسبت تسهیلات به سپرده را از ۱۱۳.۵ درصد در ابتدای دوره به ۱۵۱.۲ درصد در پایان آن رسانده — موضوعی که از منظر مدیریت نقدینگی اهمیت راهبردی دارد.</w:t>
      </w:r>
    </w:p>
    <w:p>
      <w:pPr>
        <w:pBdr>
          <w:bottom w:val="single" w:color="BBBBBB" w:sz="6"/>
        </w:pBdr>
        <w:spacing w:after="100" w:before="100"/>
      </w:pPr>
    </w:p>
    <w:p>
      <w:pPr>
        <w:pStyle w:val="Heading2"/>
        <w:keepNext/>
        <w:bidi/>
        <w:spacing w:after="160" w:before="300"/>
        <w:jc w:val="left"/>
      </w:pPr>
      <w:bookmarkStart w:name="_Toc32" w:id="32"/>
      <w:r>
        <w:rPr>
          <w:rFonts w:ascii="Tahoma" w:cs="Tahoma" w:eastAsia="Tahoma" w:hAnsi="Tahoma"/>
          <w:b/>
          <w:bCs/>
          <w:color w:val="1F4E79"/>
          <w:sz w:val="28"/>
          <w:szCs w:val="28"/>
          <w:rtl/>
        </w:rPr>
        <w:t xml:space="preserve">۴.۲ ترکیب پرتفوی سپرده</w:t>
      </w:r>
      <w:bookmarkEnd w:id="32"/>
    </w:p>
    <w:p>
      <w:pPr>
        <w:pStyle w:val="Heading3"/>
        <w:keepNext/>
        <w:bidi/>
        <w:spacing w:after="160" w:before="300"/>
        <w:jc w:val="left"/>
      </w:pPr>
      <w:r>
        <w:rPr>
          <w:rFonts w:ascii="Tahoma" w:cs="Tahoma" w:eastAsia="Tahoma" w:hAnsi="Tahoma"/>
          <w:b/>
          <w:bCs/>
          <w:color w:val="1F4E79"/>
          <w:sz w:val="24"/>
          <w:szCs w:val="24"/>
          <w:rtl/>
        </w:rPr>
        <w:t xml:space="preserve">۴.۲.۱ توزیع محصولی</w:t>
      </w:r>
    </w:p>
    <w:p>
      <w:pPr>
        <w:bidi/>
        <w:spacing w:after="160" w:line="312"/>
        <w:jc w:val="left"/>
      </w:pPr>
      <w:r>
        <w:rPr>
          <w:rFonts w:ascii="Tahoma" w:cs="Tahoma" w:eastAsia="Tahoma" w:hAnsi="Tahoma"/>
          <w:sz w:val="21"/>
          <w:szCs w:val="21"/>
          <w:rtl/>
        </w:rPr>
        <w:t xml:space="preserve">ترکیب محصولی منابع، تعیین‌کننده‌ی مستقیم ساختار هزینه‌ی بانک است. جدول ۴-۳ این ترکیب را در مقطع اسفند ۱۴۰۴ نشان می‌دهد.</w:t>
      </w:r>
    </w:p>
    <w:p>
      <w:pPr>
        <w:keepNext/>
        <w:spacing w:after="60" w:before="160"/>
        <w:jc w:val="center"/>
      </w:pPr>
      <w:r>
        <w:drawing>
          <wp:inline distT="0" distB="0" distL="0" distR="0">
            <wp:extent cx="5715000" cy="3429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۴-۳: ترکیب پرتفوی سپرده به تفکیک نوع، اسفند ۱۴۰۴</w:t>
      </w:r>
    </w:p>
    <w:p>
      <w:pPr>
        <w:keepNext/>
        <w:bidi/>
        <w:spacing w:after="100" w:before="200"/>
        <w:jc w:val="left"/>
      </w:pPr>
      <w:r>
        <w:rPr>
          <w:rFonts w:ascii="Tahoma" w:cs="Tahoma" w:eastAsia="Tahoma" w:hAnsi="Tahoma"/>
          <w:b/>
          <w:bCs/>
          <w:sz w:val="21"/>
          <w:szCs w:val="21"/>
          <w:rtl/>
        </w:rPr>
        <w:t xml:space="preserve">جدول ۴-۳: ترکیب پرتفوی سپرده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نامشخص</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۴.۲.۲ سطل «نامشخص»</w:t>
      </w:r>
    </w:p>
    <w:p>
      <w:pPr>
        <w:bidi/>
        <w:spacing w:after="160" w:line="312"/>
        <w:jc w:val="left"/>
      </w:pPr>
      <w:r>
        <w:rPr>
          <w:rFonts w:ascii="Tahoma" w:cs="Tahoma" w:eastAsia="Tahoma" w:hAnsi="Tahoma"/>
          <w:b/>
          <w:bCs/>
          <w:sz w:val="21"/>
          <w:szCs w:val="21"/>
          <w:rtl/>
        </w:rPr>
        <w:t xml:space="preserve">۸۴۸,۵۵۳ حساب، معادل ۴۰.۳ درصد کل حساب‌ها، فاقد نوع سپرده‌ی مشخص‌اند.</w:t>
      </w:r>
      <w:r>
        <w:rPr>
          <w:rFonts w:ascii="Tahoma" w:cs="Tahoma" w:eastAsia="Tahoma" w:hAnsi="Tahoma"/>
          <w:sz w:val="21"/>
          <w:szCs w:val="21"/>
          <w:rtl/>
        </w:rPr>
        <w:t xml:space="preserve"> علت فنی آن است که شناسه‌ی این حساب‌ها در جدول اطلاعات حساب حضور ندارد — همان ۳۷ درصد رکوردهای فعالیت ماهانه که رکورد متناظر ندارند.</w:t>
      </w: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دو نکته در ارزیابی اهمیت این سطل مؤثر است.</w:t>
      </w:r>
    </w:p>
    <w:p>
      <w:pPr>
        <w:bidi/>
        <w:spacing w:after="160" w:line="312"/>
        <w:jc w:val="left"/>
      </w:pPr>
      <w:r>
        <w:rPr>
          <w:rFonts w:ascii="Tahoma" w:cs="Tahoma" w:eastAsia="Tahoma" w:hAnsi="Tahoma"/>
          <w:sz w:val="21"/>
          <w:szCs w:val="21"/>
          <w:rtl/>
        </w:rPr>
        <w:t xml:space="preserve">از یک سو، میانگین مانده‌ی این حساب‌ها (۱۱.۸ میلیون تومان) پایین‌ترین مقدار در کل جدول است و حدود یک‌سوم میانگین کل پرتفوی. این الگو نشان می‌دهد که به احتمال زیاد با حساب‌های کوچک، راکد یا بسته‌شده مواجهیم و نه با سپرده‌های بزرگ گمشده. از این منظر، ریسک آن‌که این سطل تصویر کلان پرتفوی را به‌طور اساسی تغییر دهد، محدود است.</w:t>
      </w:r>
    </w:p>
    <w:p>
      <w:pPr>
        <w:bidi/>
        <w:spacing w:after="160" w:line="312"/>
        <w:jc w:val="left"/>
      </w:pPr>
      <w:r>
        <w:rPr>
          <w:rFonts w:ascii="Tahoma" w:cs="Tahoma" w:eastAsia="Tahoma" w:hAnsi="Tahoma"/>
          <w:sz w:val="21"/>
          <w:szCs w:val="21"/>
          <w:rtl/>
        </w:rPr>
        <w:t xml:space="preserve">از سوی دیگر، </w:t>
      </w:r>
      <w:r>
        <w:rPr>
          <w:rFonts w:ascii="Tahoma" w:cs="Tahoma" w:eastAsia="Tahoma" w:hAnsi="Tahoma"/>
          <w:b/>
          <w:bCs/>
          <w:sz w:val="21"/>
          <w:szCs w:val="21"/>
          <w:rtl/>
        </w:rPr>
        <w:t xml:space="preserve">۱۰ هزار میلیارد تومان معادل ۱۱.۸ درصد منابع بانک</w:t>
      </w:r>
      <w:r>
        <w:rPr>
          <w:rFonts w:ascii="Tahoma" w:cs="Tahoma" w:eastAsia="Tahoma" w:hAnsi="Tahoma"/>
          <w:sz w:val="21"/>
          <w:szCs w:val="21"/>
          <w:rtl/>
        </w:rPr>
        <w:t xml:space="preserve"> رقم قابل اغماضی نیست. تا زمانی که بانک نوع واقعی این حساب‌ها را تعیین نکند، ترکیب هزینه‌ای منابع با دقت کامل قابل محاسبه نخواهد بود. این موضوع مستقیماً بر بازه‌ی عدم قطعیت فصل ۸ اثر می‌گذارد.</w:t>
      </w:r>
    </w:p>
    <w:p>
      <w:pPr>
        <w:pStyle w:val="Heading3"/>
        <w:keepNext/>
        <w:bidi/>
        <w:spacing w:after="160" w:before="300"/>
        <w:jc w:val="left"/>
      </w:pPr>
      <w:r>
        <w:rPr>
          <w:rFonts w:ascii="Tahoma" w:cs="Tahoma" w:eastAsia="Tahoma" w:hAnsi="Tahoma"/>
          <w:b/>
          <w:bCs/>
          <w:color w:val="1F4E79"/>
          <w:sz w:val="24"/>
          <w:szCs w:val="24"/>
          <w:rtl/>
        </w:rPr>
        <w:t xml:space="preserve">۴.۲.۳ ساختار هزینه‌ای منابع (آمار رسمی بانک)</w:t>
      </w:r>
    </w:p>
    <w:p>
      <w:pPr>
        <w:bidi/>
        <w:spacing w:after="160" w:line="312"/>
        <w:jc w:val="left"/>
      </w:pPr>
      <w:r>
        <w:rPr>
          <w:rFonts w:ascii="Tahoma" w:cs="Tahoma" w:eastAsia="Tahoma" w:hAnsi="Tahoma"/>
          <w:sz w:val="21"/>
          <w:szCs w:val="21"/>
          <w:rtl/>
        </w:rPr>
        <w:t xml:space="preserve">بخش عمده‌ی سپرده‌های بانک توسعه تعاون در حساب‌های سرمایه‌گذاری متمرکز است. برای به‌دست‌آوردن تصویر دقیق از این ساختار، از ارقام رسمی و قطعی خود بانک در پایان سال ۱۴۰۴ استفاده می‌کنیم (این مقادیر آمار رسمی کل بانک بوده و صرفاً برآورد نمونه نیستند):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رایگان (قرض‌الحسنه جاری و پس‌انداز):</w:t>
      </w:r>
      <w:r>
        <w:rPr>
          <w:rFonts w:ascii="Tahoma" w:cs="Tahoma" w:eastAsia="Tahoma" w:hAnsi="Tahoma"/>
          <w:sz w:val="21"/>
          <w:szCs w:val="21"/>
          <w:rtl/>
        </w:rPr>
        <w:t xml:space="preserve"> </w:t>
      </w:r>
      <w:r>
        <w:rPr>
          <w:rFonts w:ascii="Tahoma" w:cs="Tahoma" w:eastAsia="Tahoma" w:hAnsi="Tahoma"/>
          <w:b/>
          <w:bCs/>
          <w:sz w:val="21"/>
          <w:szCs w:val="21"/>
          <w:rtl/>
        </w:rPr>
        <w:t xml:space="preserve">۲۲.۷٪</w:t>
      </w:r>
      <w:r>
        <w:rPr>
          <w:rFonts w:ascii="Tahoma" w:cs="Tahoma" w:eastAsia="Tahoma" w:hAnsi="Tahoma"/>
          <w:sz w:val="21"/>
          <w:szCs w:val="21"/>
          <w:rtl/>
        </w:rPr>
        <w:t xml:space="preserve"> از کل منابع</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ارزان‌قیمت (کوتاه‌مدت):</w:t>
      </w:r>
      <w:r>
        <w:rPr>
          <w:rFonts w:ascii="Tahoma" w:cs="Tahoma" w:eastAsia="Tahoma" w:hAnsi="Tahoma"/>
          <w:sz w:val="21"/>
          <w:szCs w:val="21"/>
          <w:rtl/>
        </w:rPr>
        <w:t xml:space="preserve"> </w:t>
      </w:r>
      <w:r>
        <w:rPr>
          <w:rFonts w:ascii="Tahoma" w:cs="Tahoma" w:eastAsia="Tahoma" w:hAnsi="Tahoma"/>
          <w:b/>
          <w:bCs/>
          <w:sz w:val="21"/>
          <w:szCs w:val="21"/>
          <w:rtl/>
        </w:rPr>
        <w:t xml:space="preserve">۳۶.۲٪</w:t>
      </w:r>
      <w:r>
        <w:rPr>
          <w:rFonts w:ascii="Tahoma" w:cs="Tahoma" w:eastAsia="Tahoma" w:hAnsi="Tahoma"/>
          <w:sz w:val="21"/>
          <w:szCs w:val="21"/>
          <w:rtl/>
        </w:rPr>
        <w:t xml:space="preserve"> از کل منابع</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گران‌قیمت (بلندمدت):</w:t>
      </w:r>
      <w:r>
        <w:rPr>
          <w:rFonts w:ascii="Tahoma" w:cs="Tahoma" w:eastAsia="Tahoma" w:hAnsi="Tahoma"/>
          <w:sz w:val="21"/>
          <w:szCs w:val="21"/>
          <w:rtl/>
        </w:rPr>
        <w:t xml:space="preserve"> </w:t>
      </w:r>
      <w:r>
        <w:rPr>
          <w:rFonts w:ascii="Tahoma" w:cs="Tahoma" w:eastAsia="Tahoma" w:hAnsi="Tahoma"/>
          <w:b/>
          <w:bCs/>
          <w:sz w:val="21"/>
          <w:szCs w:val="21"/>
          <w:rtl/>
        </w:rPr>
        <w:t xml:space="preserve">۴۱.۱٪</w:t>
      </w:r>
      <w:r>
        <w:rPr>
          <w:rFonts w:ascii="Tahoma" w:cs="Tahoma" w:eastAsia="Tahoma" w:hAnsi="Tahoma"/>
          <w:sz w:val="21"/>
          <w:szCs w:val="21"/>
          <w:rtl/>
        </w:rPr>
        <w:t xml:space="preserve"> از کل منابع</w:t>
      </w:r>
    </w:p>
    <w:p>
      <w:pPr>
        <w:bidi/>
        <w:spacing w:after="160" w:line="312"/>
        <w:jc w:val="left"/>
      </w:pPr>
      <w:r>
        <w:rPr>
          <w:rFonts w:ascii="Tahoma" w:cs="Tahoma" w:eastAsia="Tahoma" w:hAnsi="Tahoma"/>
          <w:sz w:val="21"/>
          <w:szCs w:val="21"/>
          <w:rtl/>
        </w:rPr>
        <w:t xml:space="preserve">این توزیع نشان می‌دهد که به‌رغم رشد در جذب منابع رایگان، همچنان حدود سه‌چهارم منابع بانک مشمول پرداخت سود هستند که تأثیر مستقیمی بر ساختار هزینه‌ی تأمین مالی (بخش ۴.۵) دارد.</w:t>
      </w:r>
    </w:p>
    <w:p>
      <w:pPr>
        <w:pStyle w:val="Heading3"/>
        <w:keepNext/>
        <w:bidi/>
        <w:spacing w:after="160" w:before="300"/>
        <w:jc w:val="left"/>
      </w:pPr>
      <w:r>
        <w:rPr>
          <w:rFonts w:ascii="Tahoma" w:cs="Tahoma" w:eastAsia="Tahoma" w:hAnsi="Tahoma"/>
          <w:b/>
          <w:bCs/>
          <w:color w:val="1F4E79"/>
          <w:sz w:val="24"/>
          <w:szCs w:val="24"/>
          <w:rtl/>
        </w:rPr>
        <w:t xml:space="preserve">۴.۲.۴ تمرکز در سپرده‌ی بلندمدت</w:t>
      </w:r>
    </w:p>
    <w:p>
      <w:pPr>
        <w:bidi/>
        <w:spacing w:after="160" w:line="312"/>
        <w:jc w:val="left"/>
      </w:pPr>
      <w:r>
        <w:rPr>
          <w:rFonts w:ascii="Tahoma" w:cs="Tahoma" w:eastAsia="Tahoma" w:hAnsi="Tahoma"/>
          <w:sz w:val="21"/>
          <w:szCs w:val="21"/>
          <w:rtl/>
        </w:rPr>
        <w:t xml:space="preserve">سپرده‌ی سرمایه‌گذاری بلندمدت با </w:t>
      </w:r>
      <w:r>
        <w:rPr>
          <w:rFonts w:ascii="Tahoma" w:cs="Tahoma" w:eastAsia="Tahoma" w:hAnsi="Tahoma"/>
          <w:b/>
          <w:bCs/>
          <w:sz w:val="21"/>
          <w:szCs w:val="21"/>
          <w:rtl/>
        </w:rPr>
        <w:t xml:space="preserve">تنها ۲.۲ درصد حساب‌ها، ۳۷.۳ درصد کل منابع</w:t>
      </w:r>
      <w:r>
        <w:rPr>
          <w:rFonts w:ascii="Tahoma" w:cs="Tahoma" w:eastAsia="Tahoma" w:hAnsi="Tahoma"/>
          <w:sz w:val="21"/>
          <w:szCs w:val="21"/>
          <w:rtl/>
        </w:rPr>
        <w:t xml:space="preserve"> را در خود جای داده است. میانگین مانده‌ی هر حساب در این دسته ۶۸۰ میلیون تومان است؛ حدود </w:t>
      </w:r>
      <w:r>
        <w:rPr>
          <w:rFonts w:ascii="Tahoma" w:cs="Tahoma" w:eastAsia="Tahoma" w:hAnsi="Tahoma"/>
          <w:b/>
          <w:bCs/>
          <w:sz w:val="21"/>
          <w:szCs w:val="21"/>
          <w:rtl/>
        </w:rPr>
        <w:t xml:space="preserve">هفده برابر</w:t>
      </w:r>
      <w:r>
        <w:rPr>
          <w:rFonts w:ascii="Tahoma" w:cs="Tahoma" w:eastAsia="Tahoma" w:hAnsi="Tahoma"/>
          <w:sz w:val="21"/>
          <w:szCs w:val="21"/>
          <w:rtl/>
        </w:rPr>
        <w:t xml:space="preserve"> میانگین کل پرتفوی.</w:t>
      </w:r>
    </w:p>
    <w:p>
      <w:pPr>
        <w:bidi/>
        <w:spacing w:after="160" w:line="312"/>
        <w:jc w:val="left"/>
      </w:pPr>
      <w:r>
        <w:rPr>
          <w:rFonts w:ascii="Tahoma" w:cs="Tahoma" w:eastAsia="Tahoma" w:hAnsi="Tahoma"/>
          <w:sz w:val="21"/>
          <w:szCs w:val="21"/>
          <w:rtl/>
        </w:rPr>
        <w:t xml:space="preserve">این دسته هم‌زمان دو ویژگی دارد که آن را از منظر مدیریت منابع حساس می‌کند: </w:t>
      </w:r>
      <w:r>
        <w:rPr>
          <w:rFonts w:ascii="Tahoma" w:cs="Tahoma" w:eastAsia="Tahoma" w:hAnsi="Tahoma"/>
          <w:b/>
          <w:bCs/>
          <w:sz w:val="21"/>
          <w:szCs w:val="21"/>
          <w:rtl/>
        </w:rPr>
        <w:t xml:space="preserve">گران‌ترین منبع بانک</w:t>
      </w:r>
      <w:r>
        <w:rPr>
          <w:rFonts w:ascii="Tahoma" w:cs="Tahoma" w:eastAsia="Tahoma" w:hAnsi="Tahoma"/>
          <w:sz w:val="21"/>
          <w:szCs w:val="21"/>
          <w:rtl/>
        </w:rPr>
        <w:t xml:space="preserve"> از نظر هزینه‌ی سود است و </w:t>
      </w:r>
      <w:r>
        <w:rPr>
          <w:rFonts w:ascii="Tahoma" w:cs="Tahoma" w:eastAsia="Tahoma" w:hAnsi="Tahoma"/>
          <w:b/>
          <w:bCs/>
          <w:sz w:val="21"/>
          <w:szCs w:val="21"/>
          <w:rtl/>
        </w:rPr>
        <w:t xml:space="preserve">متمرکزترین</w:t>
      </w:r>
      <w:r>
        <w:rPr>
          <w:rFonts w:ascii="Tahoma" w:cs="Tahoma" w:eastAsia="Tahoma" w:hAnsi="Tahoma"/>
          <w:sz w:val="21"/>
          <w:szCs w:val="21"/>
          <w:rtl/>
        </w:rPr>
        <w:t xml:space="preserve"> آن‌ها از نظر تعداد دارندگان. ارتباط این یافته با ساختار تمرکز مشتری در بخش ۴.۴ دنبال شده است.</w:t>
      </w:r>
    </w:p>
    <w:p>
      <w:pPr>
        <w:pStyle w:val="Heading3"/>
        <w:keepNext/>
        <w:bidi/>
        <w:spacing w:after="160" w:before="300"/>
        <w:jc w:val="left"/>
      </w:pPr>
      <w:r>
        <w:rPr>
          <w:rFonts w:ascii="Tahoma" w:cs="Tahoma" w:eastAsia="Tahoma" w:hAnsi="Tahoma"/>
          <w:b/>
          <w:bCs/>
          <w:color w:val="1F4E79"/>
          <w:sz w:val="24"/>
          <w:szCs w:val="24"/>
          <w:rtl/>
        </w:rPr>
        <w:t xml:space="preserve">۴.۲.۵ نرخ سود مؤثر به تفکیک نوع</w:t>
      </w:r>
    </w:p>
    <w:p>
      <w:pPr>
        <w:keepNext/>
        <w:spacing w:after="60" w:before="160"/>
        <w:jc w:val="center"/>
      </w:pPr>
      <w:r>
        <w:drawing>
          <wp:inline distT="0" distB="0" distL="0" distR="0">
            <wp:extent cx="5715000" cy="2286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۴-۴: نرخ سود مؤثر سپرده به تفکیک نوع، در میان حساب‌های سود‌ده</w:t>
      </w:r>
    </w:p>
    <w:p>
      <w:pPr>
        <w:keepNext/>
        <w:bidi/>
        <w:spacing w:after="100" w:before="200"/>
        <w:jc w:val="left"/>
      </w:pPr>
      <w:r>
        <w:rPr>
          <w:rFonts w:ascii="Tahoma" w:cs="Tahoma" w:eastAsia="Tahoma" w:hAnsi="Tahoma"/>
          <w:b/>
          <w:bCs/>
          <w:sz w:val="21"/>
          <w:szCs w:val="21"/>
          <w:rtl/>
        </w:rPr>
        <w:t xml:space="preserve">جدول ۴-۴: نرخ سود مؤثر گزارش‌شده به تفکیک نوع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84"/>
        <w:gridCol w:w="2900"/>
        <w:gridCol w:w="2966"/>
      </w:tblGrid>
      <w:tr>
        <w:trPr>
          <w:cantSplit/>
          <w:tblHeader/>
        </w:trPr>
        <w:tc>
          <w:tcPr>
            <w:tcW w:type="dxa" w:w="34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2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 سود‌ده</w:t>
            </w:r>
          </w:p>
        </w:tc>
        <w:tc>
          <w:tcPr>
            <w:tcW w:type="dxa" w:w="29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گزارش‌شده</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۴۳,۲۶۳</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۳۸.۲۹٪</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۳۶۳,۴۳۶</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۵.۱۳٪</w:t>
            </w:r>
          </w:p>
        </w:tc>
      </w:tr>
    </w:tbl>
    <w:p>
      <w:pPr>
        <w:spacing w:after="200"/>
      </w:pPr>
    </w:p>
    <w:p>
      <w:pPr>
        <w:bidi/>
        <w:spacing w:after="160" w:line="312"/>
        <w:jc w:val="left"/>
      </w:pPr>
      <w:r>
        <w:rPr>
          <w:rFonts w:ascii="Tahoma" w:cs="Tahoma" w:eastAsia="Tahoma" w:hAnsi="Tahoma"/>
          <w:b/>
          <w:bCs/>
          <w:sz w:val="21"/>
          <w:szCs w:val="21"/>
          <w:rtl/>
        </w:rPr>
        <w:t xml:space="preserve">تذکر روش‌شناختی.</w:t>
      </w:r>
      <w:r>
        <w:rPr>
          <w:rFonts w:ascii="Tahoma" w:cs="Tahoma" w:eastAsia="Tahoma" w:hAnsi="Tahoma"/>
          <w:sz w:val="21"/>
          <w:szCs w:val="21"/>
          <w:rtl/>
        </w:rPr>
        <w:t xml:space="preserve"> ارقام این جدول نباید به‌عنوان نرخ واقعی سود پرداختی تلقی شوند. نرخ ۳۸.۲۹ درصد از هر نرخ مصوب شورای پول و اعتبار بالاتر است و از منظر کسب‌وکاری ناممکن.</w:t>
      </w:r>
    </w:p>
    <w:p>
      <w:pPr>
        <w:bidi/>
        <w:spacing w:after="160" w:line="312"/>
        <w:jc w:val="left"/>
      </w:pPr>
      <w:r>
        <w:rPr>
          <w:rFonts w:ascii="Tahoma" w:cs="Tahoma" w:eastAsia="Tahoma" w:hAnsi="Tahoma"/>
          <w:sz w:val="21"/>
          <w:szCs w:val="21"/>
          <w:rtl/>
        </w:rPr>
        <w:t xml:space="preserve">چنان‌که در بخش ۸.۴ نشان داده شده است، این محاسبه سود پرداختی را از جدول خام و بدون حذف ردیف‌های تکراری استخراج می‌کند و لذا صورت کسر حدود </w:t>
      </w:r>
      <w:r>
        <w:rPr>
          <w:rFonts w:ascii="Tahoma" w:cs="Tahoma" w:eastAsia="Tahoma" w:hAnsi="Tahoma"/>
          <w:b/>
          <w:bCs/>
          <w:sz w:val="21"/>
          <w:szCs w:val="21"/>
          <w:rtl/>
        </w:rPr>
        <w:t xml:space="preserve">۲.۷ برابر</w:t>
      </w:r>
      <w:r>
        <w:rPr>
          <w:rFonts w:ascii="Tahoma" w:cs="Tahoma" w:eastAsia="Tahoma" w:hAnsi="Tahoma"/>
          <w:sz w:val="21"/>
          <w:szCs w:val="21"/>
          <w:rtl/>
        </w:rPr>
        <w:t xml:space="preserve"> متورم است. بر مبنای حذف‌تکرارشده، نرخ سپرده‌ی بلندمدت به محدوده‌ی ۱۴ درصد و کوتاه‌مدت به حدود ۲ درصد می‌رسد که هر دو با واقعیت بازار سازگارند.</w:t>
      </w:r>
    </w:p>
    <w:p>
      <w:pPr>
        <w:bidi/>
        <w:spacing w:after="160" w:line="312"/>
        <w:jc w:val="left"/>
      </w:pPr>
      <w:r>
        <w:rPr>
          <w:rFonts w:ascii="Tahoma" w:cs="Tahoma" w:eastAsia="Tahoma" w:hAnsi="Tahoma"/>
          <w:b/>
          <w:bCs/>
          <w:sz w:val="21"/>
          <w:szCs w:val="21"/>
          <w:rtl/>
        </w:rPr>
        <w:t xml:space="preserve">بنابراین ارقام جدول ۴-۴ صرفاً به‌عنوان کران بالا ارائه می‌شوند.</w:t>
      </w:r>
      <w:r>
        <w:rPr>
          <w:rFonts w:ascii="Tahoma" w:cs="Tahoma" w:eastAsia="Tahoma" w:hAnsi="Tahoma"/>
          <w:sz w:val="21"/>
          <w:szCs w:val="21"/>
          <w:rtl/>
        </w:rPr>
        <w:t xml:space="preserve"> نرخ قابل استناد برای مقایسه با بازده تسهیلات، رقم سطح-پرتفوی فصل ۸ است و نه این جدول.</w:t>
      </w:r>
    </w:p>
    <w:p>
      <w:pPr>
        <w:bidi/>
        <w:spacing w:after="160" w:line="312"/>
        <w:jc w:val="left"/>
      </w:pPr>
      <w:r>
        <w:rPr>
          <w:rFonts w:ascii="Tahoma" w:cs="Tahoma" w:eastAsia="Tahoma" w:hAnsi="Tahoma"/>
          <w:sz w:val="21"/>
          <w:szCs w:val="21"/>
          <w:rtl/>
        </w:rPr>
        <w:t xml:space="preserve">دو نتیجه‌ی ساختاری با وجود این ابهام معتبر باقی می‌مانند. نخست آن‌که </w:t>
      </w:r>
      <w:r>
        <w:rPr>
          <w:rFonts w:ascii="Tahoma" w:cs="Tahoma" w:eastAsia="Tahoma" w:hAnsi="Tahoma"/>
          <w:b/>
          <w:bCs/>
          <w:sz w:val="21"/>
          <w:szCs w:val="21"/>
          <w:rtl/>
        </w:rPr>
        <w:t xml:space="preserve">قرض‌الحسنه و جاری اصلاً در این جدول حضور ندارند</w:t>
      </w:r>
      <w:r>
        <w:rPr>
          <w:rFonts w:ascii="Tahoma" w:cs="Tahoma" w:eastAsia="Tahoma" w:hAnsi="Tahoma"/>
          <w:sz w:val="21"/>
          <w:szCs w:val="21"/>
          <w:rtl/>
        </w:rPr>
        <w:t xml:space="preserve">، که با ماهیت بدون‌سود آن‌ها کاملاً سازگار است و یافته‌ی بخش ۴.۲.۳ را تأیید می‌کند. دوم آن‌که </w:t>
      </w:r>
      <w:r>
        <w:rPr>
          <w:rFonts w:ascii="Tahoma" w:cs="Tahoma" w:eastAsia="Tahoma" w:hAnsi="Tahoma"/>
          <w:b/>
          <w:bCs/>
          <w:sz w:val="21"/>
          <w:szCs w:val="21"/>
          <w:rtl/>
        </w:rPr>
        <w:t xml:space="preserve">تفاوت مرتبه‌ای میان نرخ بلندمدت و کوتاه‌مدت</w:t>
      </w:r>
      <w:r>
        <w:rPr>
          <w:rFonts w:ascii="Tahoma" w:cs="Tahoma" w:eastAsia="Tahoma" w:hAnsi="Tahoma"/>
          <w:sz w:val="21"/>
          <w:szCs w:val="21"/>
          <w:rtl/>
        </w:rPr>
        <w:t xml:space="preserve"> یک واقعیت ساختاری است، حتی اگر مقادیر مطلق هر دو متورم باشند.</w:t>
      </w:r>
    </w:p>
    <w:p>
      <w:pPr>
        <w:pBdr>
          <w:bottom w:val="single" w:color="BBBBBB" w:sz="6"/>
        </w:pBdr>
        <w:spacing w:after="100" w:before="100"/>
      </w:pPr>
    </w:p>
    <w:p>
      <w:pPr>
        <w:pStyle w:val="Heading2"/>
        <w:keepNext/>
        <w:bidi/>
        <w:spacing w:after="160" w:before="300"/>
        <w:jc w:val="left"/>
      </w:pPr>
      <w:bookmarkStart w:name="_Toc33" w:id="33"/>
      <w:r>
        <w:rPr>
          <w:rFonts w:ascii="Tahoma" w:cs="Tahoma" w:eastAsia="Tahoma" w:hAnsi="Tahoma"/>
          <w:b/>
          <w:bCs/>
          <w:color w:val="1F4E79"/>
          <w:sz w:val="28"/>
          <w:szCs w:val="28"/>
          <w:rtl/>
        </w:rPr>
        <w:t xml:space="preserve">۴.۳ پلکان مانده و ساختار بازار</w:t>
      </w:r>
      <w:bookmarkEnd w:id="33"/>
    </w:p>
    <w:p>
      <w:pPr>
        <w:pStyle w:val="Heading3"/>
        <w:keepNext/>
        <w:bidi/>
        <w:spacing w:after="160" w:before="300"/>
        <w:jc w:val="left"/>
      </w:pPr>
      <w:r>
        <w:rPr>
          <w:rFonts w:ascii="Tahoma" w:cs="Tahoma" w:eastAsia="Tahoma" w:hAnsi="Tahoma"/>
          <w:b/>
          <w:bCs/>
          <w:color w:val="1F4E79"/>
          <w:sz w:val="24"/>
          <w:szCs w:val="24"/>
          <w:rtl/>
        </w:rPr>
        <w:t xml:space="preserve">۴.۳.۱ توزیع مشتریان بر حسب اندازه‌ی مانده</w:t>
      </w:r>
    </w:p>
    <w:p>
      <w:pPr>
        <w:bidi/>
        <w:spacing w:after="160" w:line="312"/>
        <w:jc w:val="left"/>
      </w:pPr>
      <w:r>
        <w:rPr>
          <w:rFonts w:ascii="Tahoma" w:cs="Tahoma" w:eastAsia="Tahoma" w:hAnsi="Tahoma"/>
          <w:sz w:val="21"/>
          <w:szCs w:val="21"/>
          <w:rtl/>
        </w:rPr>
        <w:t xml:space="preserve">برخلاف تحلیل تمرکز (بخش ۴.۴) که ساختار را بر حسب صدک نشان می‌دهد، این تحلیل توزیع را در بازه‌های مانده‌ی </w:t>
      </w:r>
      <w:r>
        <w:rPr>
          <w:rFonts w:ascii="Tahoma" w:cs="Tahoma" w:eastAsia="Tahoma" w:hAnsi="Tahoma"/>
          <w:b/>
          <w:bCs/>
          <w:sz w:val="21"/>
          <w:szCs w:val="21"/>
          <w:rtl/>
        </w:rPr>
        <w:t xml:space="preserve">مطلق</w:t>
      </w:r>
      <w:r>
        <w:rPr>
          <w:rFonts w:ascii="Tahoma" w:cs="Tahoma" w:eastAsia="Tahoma" w:hAnsi="Tahoma"/>
          <w:sz w:val="21"/>
          <w:szCs w:val="21"/>
          <w:rtl/>
        </w:rPr>
        <w:t xml:space="preserve"> ارائه می‌کند. مزیت این رویکرد آن است که مستقیماً برای تعریف بخش‌بندی مشتریان و تدوین برنامه‌ی بازار هدف قابل استفاده است.</w:t>
      </w:r>
    </w:p>
    <w:p>
      <w:pPr>
        <w:keepNext/>
        <w:spacing w:after="60" w:before="160"/>
        <w:jc w:val="center"/>
      </w:pPr>
      <w:r>
        <w:drawing>
          <wp:inline distT="0" distB="0" distL="0" distR="0">
            <wp:extent cx="5715000" cy="31146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146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۴-۵: پلکان مانده‌ی سپرده: توزیع مشتریان و منابع در بازه‌های مانده</w:t>
      </w:r>
    </w:p>
    <w:p>
      <w:pPr>
        <w:keepNext/>
        <w:bidi/>
        <w:spacing w:after="100" w:before="200"/>
        <w:jc w:val="left"/>
      </w:pPr>
      <w:r>
        <w:rPr>
          <w:rFonts w:ascii="Tahoma" w:cs="Tahoma" w:eastAsia="Tahoma" w:hAnsi="Tahoma"/>
          <w:b/>
          <w:bCs/>
          <w:sz w:val="21"/>
          <w:szCs w:val="21"/>
          <w:rtl/>
        </w:rPr>
        <w:t xml:space="preserve">جدول ۴-۵: پلکان مانده‌ی سپرده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8"/>
        <w:gridCol w:w="2295"/>
        <w:gridCol w:w="1424"/>
        <w:gridCol w:w="2136"/>
        <w:gridCol w:w="1427"/>
      </w:tblGrid>
      <w:tr>
        <w:trPr>
          <w:cantSplit/>
          <w:tblHeader/>
        </w:trPr>
        <w:tc>
          <w:tcPr>
            <w:tcW w:type="dxa" w:w="20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مانده</w:t>
            </w:r>
          </w:p>
        </w:tc>
        <w:tc>
          <w:tcPr>
            <w:tcW w:type="dxa" w:w="22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14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21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 تومان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۲۸۲,۱۸۹</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۴۱.۷۱٪</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۰.۰۴٪</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۵۰۰ هزار تا ۲.۵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۱۲۸,۱۶۳</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۱۸.۹۴٪</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۱۰۴,۸۶۵</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۱۵.۵۰٪</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۰.۶۵٪</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۸۵,۸۷۴</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۱۲.۶۹٪</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۴۴,۷۶۶</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۶.۶۲٪</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۵.۲۸٪</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۲۲,۴۶۳</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۱۱.۳۲٪</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۸,۳۰۲</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۸۰.۱۵٪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۴.۳.۲ تحلیل: عدم تقارن ساختاری و پیامد آن برای بازار هدف</w:t>
      </w:r>
    </w:p>
    <w:p>
      <w:pPr>
        <w:bidi/>
        <w:spacing w:after="160" w:line="312"/>
        <w:jc w:val="left"/>
      </w:pPr>
      <w:r>
        <w:rPr>
          <w:rFonts w:ascii="Tahoma" w:cs="Tahoma" w:eastAsia="Tahoma" w:hAnsi="Tahoma"/>
          <w:b/>
          <w:bCs/>
          <w:sz w:val="21"/>
          <w:szCs w:val="21"/>
          <w:rtl/>
        </w:rPr>
        <w:t xml:space="preserve">یافته‌ی محوری این جدول یک عدم تقارن حاد است.</w:t>
      </w:r>
      <w:r>
        <w:rPr>
          <w:rFonts w:ascii="Tahoma" w:cs="Tahoma" w:eastAsia="Tahoma" w:hAnsi="Tahoma"/>
          <w:sz w:val="21"/>
          <w:szCs w:val="21"/>
          <w:rtl/>
        </w:rPr>
        <w:t xml:space="preserve"> در یک سو، ۸,۳۰۲ مشتری معادل ۱.۲۳ درصد جمعیت </w:t>
      </w:r>
      <w:r>
        <w:rPr>
          <w:rFonts w:ascii="Tahoma" w:cs="Tahoma" w:eastAsia="Tahoma" w:hAnsi="Tahoma"/>
          <w:b/>
          <w:bCs/>
          <w:sz w:val="21"/>
          <w:szCs w:val="21"/>
          <w:rtl/>
        </w:rPr>
        <w:t xml:space="preserve">نمونه</w:t>
      </w:r>
      <w:r>
        <w:rPr>
          <w:rFonts w:ascii="Tahoma" w:cs="Tahoma" w:eastAsia="Tahoma" w:hAnsi="Tahoma"/>
          <w:sz w:val="21"/>
          <w:szCs w:val="21"/>
          <w:rtl/>
        </w:rPr>
        <w:t xml:space="preserve">، بیش از چهارپنجم منابع (وضعیت جمعیت نمونه) را در اختیار دارند. در سوی دیگر، ۲۸۲,۱۸۹ مشتری معادل ۴۱.۷۱ درصد جمعیت، روی‌هم ۰.۰۴ درصد منابع را تشکیل می‌دهند. سه بازه‌ی پایینی مجموعاً </w:t>
      </w:r>
      <w:r>
        <w:rPr>
          <w:rFonts w:ascii="Tahoma" w:cs="Tahoma" w:eastAsia="Tahoma" w:hAnsi="Tahoma"/>
          <w:b/>
          <w:bCs/>
          <w:sz w:val="21"/>
          <w:szCs w:val="21"/>
          <w:rtl/>
        </w:rPr>
        <w:t xml:space="preserve">۷۶.۱۵ درصد مشتریان و تنها ۰.۸۸ درصد منابع</w:t>
      </w:r>
      <w:r>
        <w:rPr>
          <w:rFonts w:ascii="Tahoma" w:cs="Tahoma" w:eastAsia="Tahoma" w:hAnsi="Tahoma"/>
          <w:sz w:val="21"/>
          <w:szCs w:val="21"/>
          <w:rtl/>
        </w:rPr>
        <w:t xml:space="preserve"> را در بر می‌گیرند.</w:t>
      </w:r>
    </w:p>
    <w:p>
      <w:pPr>
        <w:bidi/>
        <w:spacing w:after="160" w:line="312"/>
        <w:jc w:val="left"/>
      </w:pPr>
      <w:r>
        <w:rPr>
          <w:rFonts w:ascii="Tahoma" w:cs="Tahoma" w:eastAsia="Tahoma" w:hAnsi="Tahoma"/>
          <w:b/>
          <w:bCs/>
          <w:sz w:val="21"/>
          <w:szCs w:val="21"/>
          <w:rtl/>
        </w:rPr>
        <w:t xml:space="preserve">پیامد برای بازار هدف.</w:t>
      </w:r>
      <w:r>
        <w:rPr>
          <w:rFonts w:ascii="Tahoma" w:cs="Tahoma" w:eastAsia="Tahoma" w:hAnsi="Tahoma"/>
          <w:sz w:val="21"/>
          <w:szCs w:val="21"/>
          <w:rtl/>
        </w:rPr>
        <w:t xml:space="preserve"> این ساختار، یافته‌ی بخش ۳.۳ را به‌طور اساسی تحدید می‌کند. در آنجا گفته شد ۴۵۶,۸۳۵ مشتری هیچ‌گاه تسهیلات دریافت نکرده‌اند و بزرگ‌ترین بازار هدف داخلی بانک‌اند. جدول ۴-۵ نشان می‌دهد که بخش عمده‌ی این جمعیت در سه بازه‌ی پایینی قرار دارد؛ یعنی مشتریانی با ظرفیت مالی و اعتباری بسیار محدود که تدوین برنامه‌ی فروش برای آنان صرفه‌ی اقتصادی ندارد.</w:t>
      </w:r>
    </w:p>
    <w:p>
      <w:pPr>
        <w:bidi/>
        <w:spacing w:after="160" w:line="312"/>
        <w:jc w:val="left"/>
      </w:pPr>
      <w:r>
        <w:rPr>
          <w:rFonts w:ascii="Tahoma" w:cs="Tahoma" w:eastAsia="Tahoma" w:hAnsi="Tahoma"/>
          <w:b/>
          <w:bCs/>
          <w:sz w:val="21"/>
          <w:szCs w:val="21"/>
          <w:rtl/>
        </w:rPr>
        <w:t xml:space="preserve">نتیجه‌ی عملیاتی.</w:t>
      </w:r>
      <w:r>
        <w:rPr>
          <w:rFonts w:ascii="Tahoma" w:cs="Tahoma" w:eastAsia="Tahoma" w:hAnsi="Tahoma"/>
          <w:sz w:val="21"/>
          <w:szCs w:val="21"/>
          <w:rtl/>
        </w:rPr>
        <w:t xml:space="preserve"> بازار هدف قابل‌اقدام بانک را باید در </w:t>
      </w:r>
      <w:r>
        <w:rPr>
          <w:rFonts w:ascii="Tahoma" w:cs="Tahoma" w:eastAsia="Tahoma" w:hAnsi="Tahoma"/>
          <w:b/>
          <w:bCs/>
          <w:sz w:val="21"/>
          <w:szCs w:val="21"/>
          <w:rtl/>
        </w:rPr>
        <w:t xml:space="preserve">بازه‌ی میانی</w:t>
      </w:r>
      <w:r>
        <w:rPr>
          <w:rFonts w:ascii="Tahoma" w:cs="Tahoma" w:eastAsia="Tahoma" w:hAnsi="Tahoma"/>
          <w:sz w:val="21"/>
          <w:szCs w:val="21"/>
          <w:rtl/>
        </w:rPr>
        <w:t xml:space="preserve"> جست‌وجو کرد: مجموع سه بازه‌ی ۱۰ میلیون تا ۱ میلیارد تومان، شامل </w:t>
      </w:r>
      <w:r>
        <w:rPr>
          <w:rFonts w:ascii="Tahoma" w:cs="Tahoma" w:eastAsia="Tahoma" w:hAnsi="Tahoma"/>
          <w:b/>
          <w:bCs/>
          <w:sz w:val="21"/>
          <w:szCs w:val="21"/>
          <w:rtl/>
        </w:rPr>
        <w:t xml:space="preserve">۱۵۳,۱۰۳ مشتری معادل ۲۲.۶۳ درصد جمعیت </w:t>
      </w:r>
      <w:r>
        <w:rPr>
          <w:rFonts w:ascii="Tahoma" w:cs="Tahoma" w:eastAsia="Tahoma" w:hAnsi="Tahoma"/>
          <w:sz w:val="21"/>
          <w:szCs w:val="21"/>
          <w:rtl/>
        </w:rPr>
        <w:t xml:space="preserve">نمونه</w:t>
      </w:r>
      <w:r>
        <w:rPr>
          <w:rFonts w:ascii="Tahoma" w:cs="Tahoma" w:eastAsia="Tahoma" w:hAnsi="Tahoma"/>
          <w:b/>
          <w:bCs/>
          <w:sz w:val="21"/>
          <w:szCs w:val="21"/>
          <w:rtl/>
        </w:rPr>
        <w:t xml:space="preserve"> و ۱۸.۹۷ درصد منابع</w:t>
      </w:r>
      <w:r>
        <w:rPr>
          <w:rFonts w:ascii="Tahoma" w:cs="Tahoma" w:eastAsia="Tahoma" w:hAnsi="Tahoma"/>
          <w:sz w:val="21"/>
          <w:szCs w:val="21"/>
          <w:rtl/>
        </w:rPr>
        <w:t xml:space="preserve">. این گروه دو ویژگی لازم را هم‌زمان دارد: ظرفیت مالی واقعی، و تعدادی که برنامه‌ی فروش هدفمند را توجیه‌پذیر می‌کند.</w:t>
      </w:r>
    </w:p>
    <w:p>
      <w:pPr>
        <w:bidi/>
        <w:spacing w:after="160" w:line="312"/>
        <w:jc w:val="left"/>
      </w:pPr>
      <w:r>
        <w:rPr>
          <w:rFonts w:ascii="Tahoma" w:cs="Tahoma" w:eastAsia="Tahoma" w:hAnsi="Tahoma"/>
          <w:b/>
          <w:bCs/>
          <w:sz w:val="21"/>
          <w:szCs w:val="21"/>
          <w:rtl/>
        </w:rPr>
        <w:t xml:space="preserve">محدودیت:</w:t>
      </w:r>
      <w:r>
        <w:rPr>
          <w:rFonts w:ascii="Tahoma" w:cs="Tahoma" w:eastAsia="Tahoma" w:hAnsi="Tahoma"/>
          <w:sz w:val="21"/>
          <w:szCs w:val="21"/>
          <w:rtl/>
        </w:rPr>
        <w:t xml:space="preserve"> بدون داده‌ی جمعیت‌شناختی (بخش ۲.۵) امکان ریزتر کردن این بخش میانی وجود ندارد — نه بر حسب سن، نه شغل، و نه تفکیک حقیقی و حقوقی. تعمیق این بخش‌بندی هدف مستقیم فاز ۲ است.</w:t>
      </w:r>
    </w:p>
    <w:p>
      <w:pPr>
        <w:pBdr>
          <w:bottom w:val="single" w:color="BBBBBB" w:sz="6"/>
        </w:pBdr>
        <w:spacing w:after="100" w:before="100"/>
      </w:pPr>
    </w:p>
    <w:p>
      <w:pPr>
        <w:pStyle w:val="Heading2"/>
        <w:keepNext/>
        <w:bidi/>
        <w:spacing w:after="160" w:before="300"/>
        <w:jc w:val="left"/>
      </w:pPr>
      <w:bookmarkStart w:name="_Toc34" w:id="34"/>
      <w:r>
        <w:rPr>
          <w:rFonts w:ascii="Tahoma" w:cs="Tahoma" w:eastAsia="Tahoma" w:hAnsi="Tahoma"/>
          <w:b/>
          <w:bCs/>
          <w:color w:val="1F4E79"/>
          <w:sz w:val="28"/>
          <w:szCs w:val="28"/>
          <w:rtl/>
        </w:rPr>
        <w:t xml:space="preserve">۴.۴ تمرکز منابع</w:t>
      </w:r>
      <w:bookmarkEnd w:id="34"/>
    </w:p>
    <w:p>
      <w:pPr>
        <w:pStyle w:val="Heading3"/>
        <w:keepNext/>
        <w:bidi/>
        <w:spacing w:after="160" w:before="300"/>
        <w:jc w:val="left"/>
      </w:pPr>
      <w:r>
        <w:rPr>
          <w:rFonts w:ascii="Tahoma" w:cs="Tahoma" w:eastAsia="Tahoma" w:hAnsi="Tahoma"/>
          <w:b/>
          <w:bCs/>
          <w:color w:val="1F4E79"/>
          <w:sz w:val="24"/>
          <w:szCs w:val="24"/>
          <w:rtl/>
        </w:rPr>
        <w:t xml:space="preserve">۴.۴.۱ ساختار تمرکز در دو حوزه</w:t>
      </w:r>
    </w:p>
    <w:p>
      <w:pPr>
        <w:keepNext/>
        <w:spacing w:after="60" w:before="160"/>
        <w:jc w:val="center"/>
      </w:pPr>
      <w:r>
        <w:drawing>
          <wp:inline distT="0" distB="0" distL="0" distR="0">
            <wp:extent cx="5715000" cy="5715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۴-۶: منحنی لورنز تمرکز سپرده در برابر تسهیلات</w:t>
      </w:r>
    </w:p>
    <w:p>
      <w:pPr>
        <w:keepNext/>
        <w:bidi/>
        <w:spacing w:after="100" w:before="200"/>
        <w:jc w:val="left"/>
      </w:pPr>
      <w:r>
        <w:rPr>
          <w:rFonts w:ascii="Tahoma" w:cs="Tahoma" w:eastAsia="Tahoma" w:hAnsi="Tahoma"/>
          <w:b/>
          <w:bCs/>
          <w:sz w:val="21"/>
          <w:szCs w:val="21"/>
          <w:rtl/>
        </w:rPr>
        <w:t xml:space="preserve">جدول ۴-۶: سهم صدک‌های برتر مشتریان از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163"/>
        <w:gridCol w:w="3287"/>
      </w:tblGrid>
      <w:tr>
        <w:trPr>
          <w:cantSplit/>
          <w:tblHeader/>
        </w:trPr>
        <w:tc>
          <w:tcPr>
            <w:tcW w:type="dxa" w:w="2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 مشتریان</w:t>
            </w:r>
          </w:p>
        </w:tc>
        <w:tc>
          <w:tcPr>
            <w:tcW w:type="dxa" w:w="3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سپرده</w:t>
            </w:r>
          </w:p>
        </w:tc>
        <w:tc>
          <w:tcPr>
            <w:tcW w:type="dxa" w:w="32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تسهیلات</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۵۳.۲٪</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۹۲.۱٪</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۷۴.۵٪</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۹۶.۲٪</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۸۰.۶٪</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۹۸.۷٪</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۴.۴.۲ تحلیل</w:t>
      </w:r>
    </w:p>
    <w:p>
      <w:pPr>
        <w:bidi/>
        <w:spacing w:after="160" w:line="312"/>
        <w:jc w:val="left"/>
      </w:pPr>
      <w:r>
        <w:rPr>
          <w:rFonts w:ascii="Tahoma" w:cs="Tahoma" w:eastAsia="Tahoma" w:hAnsi="Tahoma"/>
          <w:b/>
          <w:bCs/>
          <w:sz w:val="21"/>
          <w:szCs w:val="21"/>
          <w:rtl/>
        </w:rPr>
        <w:t xml:space="preserve">یافته‌ی نخست: سپرده به‌مراتب متمرکزتر از تسهیلات است.</w:t>
      </w:r>
      <w:r>
        <w:rPr>
          <w:rFonts w:ascii="Tahoma" w:cs="Tahoma" w:eastAsia="Tahoma" w:hAnsi="Tahoma"/>
          <w:sz w:val="21"/>
          <w:szCs w:val="21"/>
          <w:rtl/>
        </w:rPr>
        <w:t xml:space="preserve"> این نتیجه در نگاه اول خلاف انتظار است، زیرا معمولاً تمرکز در سمت دارایی — و نه بدهی — دغدغه‌ی اصلی مدیریت ریسک است. اما داده تصویر معکوسی می‌دهد: یک درصد برتر سپرده‌گذاران ۷۸.۲ درصد منابع را در اختیار دارند، در حالی که یک درصد برتر تسهیلات‌گیرندگان ۵۳.۲ درصد تسهیلات را.</w:t>
      </w:r>
    </w:p>
    <w:p>
      <w:pPr>
        <w:bidi/>
        <w:spacing w:after="160" w:line="312"/>
        <w:jc w:val="left"/>
      </w:pPr>
      <w:r>
        <w:rPr>
          <w:rFonts w:ascii="Tahoma" w:cs="Tahoma" w:eastAsia="Tahoma" w:hAnsi="Tahoma"/>
          <w:b/>
          <w:bCs/>
          <w:sz w:val="21"/>
          <w:szCs w:val="21"/>
          <w:rtl/>
        </w:rPr>
        <w:t xml:space="preserve">تذکر روش‌شناختی در مقایسه‌ی دو ستون.</w:t>
      </w:r>
      <w:r>
        <w:rPr>
          <w:rFonts w:ascii="Tahoma" w:cs="Tahoma" w:eastAsia="Tahoma" w:hAnsi="Tahoma"/>
          <w:sz w:val="21"/>
          <w:szCs w:val="21"/>
          <w:rtl/>
        </w:rPr>
        <w:t xml:space="preserve"> ستون تسهیلات بر مبنای </w:t>
      </w:r>
      <w:r>
        <w:rPr>
          <w:rFonts w:ascii="Tahoma" w:cs="Tahoma" w:eastAsia="Tahoma" w:hAnsi="Tahoma"/>
          <w:b/>
          <w:bCs/>
          <w:sz w:val="21"/>
          <w:szCs w:val="21"/>
          <w:rtl/>
        </w:rPr>
        <w:t xml:space="preserve">تمام طرفین قرارداد</w:t>
      </w:r>
      <w:r>
        <w:rPr>
          <w:rFonts w:ascii="Tahoma" w:cs="Tahoma" w:eastAsia="Tahoma" w:hAnsi="Tahoma"/>
          <w:sz w:val="21"/>
          <w:szCs w:val="21"/>
          <w:rtl/>
        </w:rPr>
        <w:t xml:space="preserve"> محاسبه شده است (جمعیت ۵۱۸,۰۰۶ نفری، شامل ضامن‌ها). از آنجا که مانده‌ی هر وام میان وام‌گیرنده و ضامنانش توزیع می‌شود، این تعریف تمرکز واقعی تسهیلات را </w:t>
      </w:r>
      <w:r>
        <w:rPr>
          <w:rFonts w:ascii="Tahoma" w:cs="Tahoma" w:eastAsia="Tahoma" w:hAnsi="Tahoma"/>
          <w:b/>
          <w:bCs/>
          <w:sz w:val="21"/>
          <w:szCs w:val="21"/>
          <w:rtl/>
        </w:rPr>
        <w:t xml:space="preserve">کمتر از واقع</w:t>
      </w:r>
      <w:r>
        <w:rPr>
          <w:rFonts w:ascii="Tahoma" w:cs="Tahoma" w:eastAsia="Tahoma" w:hAnsi="Tahoma"/>
          <w:sz w:val="21"/>
          <w:szCs w:val="21"/>
          <w:rtl/>
        </w:rPr>
        <w:t xml:space="preserve"> نشان می‌دهد. محاسبه‌ی تمرکز بر مبنای گیرنده‌ی اصلی در فصل ۶ انجام شده و تصویر متفاوتی به دست می‌دهد. بنابراین شکاف میان دو ستون جدول ۴-۶ را نباید به‌عنوان رقم نهایی تفاوت تمرکز تلقی کرد.</w:t>
      </w:r>
    </w:p>
    <w:p>
      <w:pPr>
        <w:bidi/>
        <w:spacing w:after="160" w:line="312"/>
        <w:jc w:val="left"/>
      </w:pPr>
      <w:r>
        <w:rPr>
          <w:rFonts w:ascii="Tahoma" w:cs="Tahoma" w:eastAsia="Tahoma" w:hAnsi="Tahoma"/>
          <w:b/>
          <w:bCs/>
          <w:sz w:val="21"/>
          <w:szCs w:val="21"/>
          <w:rtl/>
        </w:rPr>
        <w:t xml:space="preserve">یافته‌ی دوم: پیامد برای ریسک نقدینگی.</w:t>
      </w:r>
      <w:r>
        <w:rPr>
          <w:rFonts w:ascii="Tahoma" w:cs="Tahoma" w:eastAsia="Tahoma" w:hAnsi="Tahoma"/>
          <w:sz w:val="21"/>
          <w:szCs w:val="21"/>
          <w:rtl/>
        </w:rPr>
        <w:t xml:space="preserve"> تمرکز ۷۸.۲ درصد منابع در یک درصد مشتریان به این معناست که </w:t>
      </w:r>
      <w:r>
        <w:rPr>
          <w:rFonts w:ascii="Tahoma" w:cs="Tahoma" w:eastAsia="Tahoma" w:hAnsi="Tahoma"/>
          <w:b/>
          <w:bCs/>
          <w:sz w:val="21"/>
          <w:szCs w:val="21"/>
          <w:rtl/>
        </w:rPr>
        <w:t xml:space="preserve">خروج تعداد بسیار اندکی سپرده‌گذار بزرگ می‌تواند ساختار نقدینگی بانک را جابه‌جا کند.</w:t>
      </w:r>
      <w:r>
        <w:rPr>
          <w:rFonts w:ascii="Tahoma" w:cs="Tahoma" w:eastAsia="Tahoma" w:hAnsi="Tahoma"/>
          <w:sz w:val="21"/>
          <w:szCs w:val="21"/>
          <w:rtl/>
        </w:rPr>
        <w:t xml:space="preserve"> این یافته باید در کنار دو مشاهده‌ی دیگر خوانده شود:</w:t>
      </w:r>
    </w:p>
    <w:p>
      <w:pPr>
        <w:bidi/>
        <w:spacing w:after="160" w:line="312"/>
        <w:jc w:val="left"/>
      </w:pPr>
      <w:r>
        <w:rPr>
          <w:rFonts w:ascii="Tahoma" w:cs="Tahoma" w:eastAsia="Tahoma" w:hAnsi="Tahoma"/>
          <w:sz w:val="21"/>
          <w:szCs w:val="21"/>
          <w:rtl/>
        </w:rPr>
        <w:t xml:space="preserve">نخست، بخش ۴.۳ این جمعیت را مشخص و قابل شناسایی می‌کند: ۸,۳۰۲ مشتری با مانده‌ی بیش از ده میلیارد تومان. دوم، نسبت تسهیلات به سپرده برابر ۱۵۱.۲ درصد است (فصل ۵)؛ یعنی بانک بیش از منابع خود تسهیلات اعطا کرده و حاشیه‌ی اطمینان نقدینگی محدودتری دارد.</w:t>
      </w:r>
    </w:p>
    <w:p>
      <w:pPr>
        <w:bidi/>
        <w:spacing w:after="160" w:line="312"/>
        <w:jc w:val="left"/>
      </w:pPr>
      <w:r>
        <w:rPr>
          <w:rFonts w:ascii="Tahoma" w:cs="Tahoma" w:eastAsia="Tahoma" w:hAnsi="Tahoma"/>
          <w:b/>
          <w:bCs/>
          <w:sz w:val="21"/>
          <w:szCs w:val="21"/>
          <w:rtl/>
        </w:rPr>
        <w:t xml:space="preserve">ارزیابی متعادل‌کننده.</w:t>
      </w:r>
      <w:r>
        <w:rPr>
          <w:rFonts w:ascii="Tahoma" w:cs="Tahoma" w:eastAsia="Tahoma" w:hAnsi="Tahoma"/>
          <w:sz w:val="21"/>
          <w:szCs w:val="21"/>
          <w:rtl/>
        </w:rPr>
        <w:t xml:space="preserve"> با وجود این، تحلیل ریزش (بخش ۳.۶) نشان داد که ریزش‌کنندگان تاکنون عمدتاً مشتریان کم‌ارزش بوده‌اند و هیچ شاهدی از خروج سیستماتیک سپرده‌گذاران بزرگ در داده مشاهده نشد. تنها استثنای قابل توجه، گذار سال ۱۴۰۰ به ۱۴۰۱ است که در بخش ۳.۶.۲ بررسی شده است.</w:t>
      </w:r>
    </w:p>
    <w:p>
      <w:pPr>
        <w:pBdr>
          <w:bottom w:val="single" w:color="BBBBBB" w:sz="6"/>
        </w:pBdr>
        <w:spacing w:after="100" w:before="100"/>
      </w:pPr>
    </w:p>
    <w:p>
      <w:pPr>
        <w:pStyle w:val="Heading2"/>
        <w:keepNext/>
        <w:bidi/>
        <w:spacing w:after="160" w:before="300"/>
        <w:jc w:val="left"/>
      </w:pPr>
      <w:bookmarkStart w:name="_Toc35" w:id="35"/>
      <w:r>
        <w:rPr>
          <w:rFonts w:ascii="Tahoma" w:cs="Tahoma" w:eastAsia="Tahoma" w:hAnsi="Tahoma"/>
          <w:b/>
          <w:bCs/>
          <w:color w:val="1F4E79"/>
          <w:sz w:val="28"/>
          <w:szCs w:val="28"/>
          <w:rtl/>
        </w:rPr>
        <w:t xml:space="preserve">۴.۵ پایداری منابع</w:t>
      </w:r>
      <w:bookmarkEnd w:id="35"/>
    </w:p>
    <w:p>
      <w:pPr>
        <w:pStyle w:val="Heading3"/>
        <w:keepNext/>
        <w:bidi/>
        <w:spacing w:after="160" w:before="300"/>
        <w:jc w:val="left"/>
      </w:pPr>
      <w:r>
        <w:rPr>
          <w:rFonts w:ascii="Tahoma" w:cs="Tahoma" w:eastAsia="Tahoma" w:hAnsi="Tahoma"/>
          <w:b/>
          <w:bCs/>
          <w:color w:val="1F4E79"/>
          <w:sz w:val="24"/>
          <w:szCs w:val="24"/>
          <w:rtl/>
        </w:rPr>
        <w:t xml:space="preserve">۴.۵.۱ روش و نتایج</w:t>
      </w:r>
    </w:p>
    <w:p>
      <w:pPr>
        <w:bidi/>
        <w:spacing w:after="160" w:line="312"/>
        <w:jc w:val="left"/>
      </w:pPr>
      <w:r>
        <w:rPr>
          <w:rFonts w:ascii="Tahoma" w:cs="Tahoma" w:eastAsia="Tahoma" w:hAnsi="Tahoma"/>
          <w:sz w:val="21"/>
          <w:szCs w:val="21"/>
          <w:rtl/>
        </w:rPr>
        <w:t xml:space="preserve">ضریب تغییرات مانده‌ی هر مشتری در طول ۷۲ ماه، به‌عنوان شاخص پایداری منابع محاسبه شده است. هرچه این ضریب بزرگ‌تر باشد، مانده‌ی مشتری نوسان بیشتری داشته و اتکای بانک به آن منبع کمتر است.</w:t>
      </w:r>
    </w:p>
    <w:p>
      <w:pPr>
        <w:keepNext/>
        <w:spacing w:after="60" w:before="160"/>
        <w:jc w:val="center"/>
      </w:pPr>
      <w:r>
        <w:drawing>
          <wp:inline distT="0" distB="0" distL="0" distR="0">
            <wp:extent cx="5715000" cy="2286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۴-۷: توزیع مشتریان سپرده‌گذار بر اساس نوسان مانده</w:t>
      </w:r>
    </w:p>
    <w:p>
      <w:pPr>
        <w:keepNext/>
        <w:bidi/>
        <w:spacing w:after="100" w:before="200"/>
        <w:jc w:val="left"/>
      </w:pPr>
      <w:r>
        <w:rPr>
          <w:rFonts w:ascii="Tahoma" w:cs="Tahoma" w:eastAsia="Tahoma" w:hAnsi="Tahoma"/>
          <w:b/>
          <w:bCs/>
          <w:sz w:val="21"/>
          <w:szCs w:val="21"/>
          <w:rtl/>
        </w:rPr>
        <w:t xml:space="preserve">جدول ۴-۷: توزیع نوسان مانده‌ی سپرده (ارقام منتشرشده)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8"/>
        <w:gridCol w:w="2989"/>
        <w:gridCol w:w="1855"/>
        <w:gridCol w:w="1858"/>
      </w:tblGrid>
      <w:tr>
        <w:trPr>
          <w:cantSplit/>
          <w:tblHeader/>
        </w:trPr>
        <w:tc>
          <w:tcPr>
            <w:tcW w:type="dxa" w:w="26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سطل نوسان</w:t>
            </w:r>
          </w:p>
        </w:tc>
        <w:tc>
          <w:tcPr>
            <w:tcW w:type="dxa" w:w="2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18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18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کم‌نوسان (کمتر از ۰.۲۵)</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۳,۳۱۲</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 (۰.۲۵ تا ۰.۵)</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۴,۰۰۸</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۰.۶۷٪</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۳.۲۱٪</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بالا (۰.۵ تا ۱)</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۴۳,۶۲۶</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۱۲.۱۶٪</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خیلی‌بالا (۱ تا ۲)</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۱۷۵,۲۳۱</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۳۹.۶۸٪</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بحرانی (بیش از ۲)</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۳۷۲,۰۲۴</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۶۲.۱۹٪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۴۴.۲۴٪</w:t>
            </w:r>
          </w:p>
        </w:tc>
      </w:tr>
    </w:tbl>
    <w:p>
      <w:pPr>
        <w:spacing w:after="200"/>
      </w:pP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تذکر مهم:</w:t>
      </w:r>
      <w:r>
        <w:rPr>
          <w:rFonts w:ascii="Tahoma" w:cs="Tahoma" w:eastAsia="Tahoma" w:hAnsi="Tahoma"/>
          <w:i/>
          <w:iCs/>
          <w:sz w:val="20"/>
          <w:szCs w:val="20"/>
          <w:rtl/>
        </w:rPr>
        <w:t xml:space="preserve"> ارقام این جدول با روشی محاسبه شده‌اند که نوسان را به‌طور سیستماتیک بیش از واقع نشان می‌دهد. بخش‌های ۴.۵.۳ و ۴.۵.۴ این موضوع را تشریح و کمّی می‌کنند. استناد به ارقام جدول ۳-۸ بدون مطالعه‌ی آن بخش‌ها توصیه نمی‌شود.</w:t>
      </w:r>
    </w:p>
    <w:p>
      <w:pPr>
        <w:pStyle w:val="Heading3"/>
        <w:keepNext/>
        <w:bidi/>
        <w:spacing w:after="160" w:before="300"/>
        <w:jc w:val="left"/>
      </w:pPr>
      <w:r>
        <w:rPr>
          <w:rFonts w:ascii="Tahoma" w:cs="Tahoma" w:eastAsia="Tahoma" w:hAnsi="Tahoma"/>
          <w:b/>
          <w:bCs/>
          <w:color w:val="1F4E79"/>
          <w:sz w:val="24"/>
          <w:szCs w:val="24"/>
          <w:rtl/>
        </w:rPr>
        <w:t xml:space="preserve">۴.۵.۲ آرتیفکتی که بررسی و رد شد</w:t>
      </w:r>
    </w:p>
    <w:p>
      <w:pPr>
        <w:bidi/>
        <w:spacing w:after="160" w:line="312"/>
        <w:jc w:val="left"/>
      </w:pPr>
      <w:r>
        <w:rPr>
          <w:rFonts w:ascii="Tahoma" w:cs="Tahoma" w:eastAsia="Tahoma" w:hAnsi="Tahoma"/>
          <w:sz w:val="21"/>
          <w:szCs w:val="21"/>
          <w:rtl/>
        </w:rPr>
        <w:t xml:space="preserve">نسخه‌ی نخست این تحلیل فاقد حداقل مانده بود. در چنین حالتی، حساب‌های نزدیک به صفر می‌توانند سطل بحرانی را به‌طور مصنوعی پر کنند، زیرا کوچک‌ترین نوسان مطلق روی مانده‌ی ده هزار تومانی، ضریب تغییرات بزرگی تولید می‌کند.</w:t>
      </w:r>
    </w:p>
    <w:p>
      <w:pPr>
        <w:bidi/>
        <w:spacing w:after="160" w:line="312"/>
        <w:jc w:val="left"/>
      </w:pPr>
      <w:r>
        <w:rPr>
          <w:rFonts w:ascii="Tahoma" w:cs="Tahoma" w:eastAsia="Tahoma" w:hAnsi="Tahoma"/>
          <w:sz w:val="21"/>
          <w:szCs w:val="21"/>
          <w:rtl/>
        </w:rPr>
        <w:t xml:space="preserve">با اعمال حداقل مانده‌ی پانصد هزار تومان — همان آستانه‌ی تعریف مشتری فعال — نتیجه از ۶۳.۲ به ۶۲.۲ درصد تغییر کرد؛ یعنی عملاً بدون تغییر. </w:t>
      </w:r>
      <w:r>
        <w:rPr>
          <w:rFonts w:ascii="Tahoma" w:cs="Tahoma" w:eastAsia="Tahoma" w:hAnsi="Tahoma"/>
          <w:b/>
          <w:bCs/>
          <w:sz w:val="21"/>
          <w:szCs w:val="21"/>
          <w:rtl/>
        </w:rPr>
        <w:t xml:space="preserve">نتیجه: این آرتیفکت بررسی و رد شد و یافته‌ی نوسان بالا از این بابت معتبر است.</w:t>
      </w:r>
    </w:p>
    <w:p>
      <w:pPr>
        <w:pStyle w:val="Heading3"/>
        <w:keepNext/>
        <w:bidi/>
        <w:spacing w:after="160" w:before="300"/>
        <w:jc w:val="left"/>
      </w:pPr>
      <w:r>
        <w:rPr>
          <w:rFonts w:ascii="Tahoma" w:cs="Tahoma" w:eastAsia="Tahoma" w:hAnsi="Tahoma"/>
          <w:b/>
          <w:bCs/>
          <w:color w:val="1F4E79"/>
          <w:sz w:val="24"/>
          <w:szCs w:val="24"/>
          <w:rtl/>
        </w:rPr>
        <w:t xml:space="preserve">۴.۵.۳ ایراد روش‌شناختی شناسایی‌شده</w:t>
      </w:r>
    </w:p>
    <w:p>
      <w:pPr>
        <w:bidi/>
        <w:spacing w:after="160" w:line="312"/>
        <w:jc w:val="left"/>
      </w:pPr>
      <w:r>
        <w:rPr>
          <w:rFonts w:ascii="Tahoma" w:cs="Tahoma" w:eastAsia="Tahoma" w:hAnsi="Tahoma"/>
          <w:sz w:val="21"/>
          <w:szCs w:val="21"/>
          <w:rtl/>
        </w:rPr>
        <w:t xml:space="preserve">بررسی منطق محاسباتی این تحلیل، ایراد دیگری را آشکار کرد که برخلاف مورد قبل، رد نشد.</w:t>
      </w:r>
    </w:p>
    <w:p>
      <w:pPr>
        <w:bidi/>
        <w:spacing w:after="160" w:line="312"/>
        <w:jc w:val="left"/>
      </w:pPr>
      <w:r>
        <w:rPr>
          <w:rFonts w:ascii="Tahoma" w:cs="Tahoma" w:eastAsia="Tahoma" w:hAnsi="Tahoma"/>
          <w:sz w:val="21"/>
          <w:szCs w:val="21"/>
          <w:rtl/>
        </w:rPr>
        <w:t xml:space="preserve">ضریب تغییرات روی </w:t>
      </w:r>
      <w:r>
        <w:rPr>
          <w:rFonts w:ascii="Tahoma" w:cs="Tahoma" w:eastAsia="Tahoma" w:hAnsi="Tahoma"/>
          <w:b/>
          <w:bCs/>
          <w:sz w:val="21"/>
          <w:szCs w:val="21"/>
          <w:rtl/>
        </w:rPr>
        <w:t xml:space="preserve">تمام رکوردهای (حساب × ماه)</w:t>
      </w:r>
      <w:r>
        <w:rPr>
          <w:rFonts w:ascii="Tahoma" w:cs="Tahoma" w:eastAsia="Tahoma" w:hAnsi="Tahoma"/>
          <w:sz w:val="21"/>
          <w:szCs w:val="21"/>
          <w:rtl/>
        </w:rPr>
        <w:t xml:space="preserve"> یک مشتری محاسبه شده است، نه روی </w:t>
      </w:r>
      <w:r>
        <w:rPr>
          <w:rFonts w:ascii="Tahoma" w:cs="Tahoma" w:eastAsia="Tahoma" w:hAnsi="Tahoma"/>
          <w:b/>
          <w:bCs/>
          <w:sz w:val="21"/>
          <w:szCs w:val="21"/>
          <w:rtl/>
        </w:rPr>
        <w:t xml:space="preserve">مانده‌ی کل مشتری در هر ماه</w:t>
      </w:r>
      <w:r>
        <w:rPr>
          <w:rFonts w:ascii="Tahoma" w:cs="Tahoma" w:eastAsia="Tahoma" w:hAnsi="Tahoma"/>
          <w:sz w:val="21"/>
          <w:szCs w:val="21"/>
          <w:rtl/>
        </w:rPr>
        <w:t xml:space="preserve">. تفاوت این دو رویکرد اساسی است: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چنانچه مشتری‌ای سه حساب با اندازه‌های بسیار متفاوت داشته باشد — برای نمونه یک سپرده‌ی بلندمدت بزرگ و دو حساب جاری کوچک — روش به‌کاررفته </w:t>
      </w:r>
      <w:r>
        <w:rPr>
          <w:rFonts w:ascii="Tahoma" w:cs="Tahoma" w:eastAsia="Tahoma" w:hAnsi="Tahoma"/>
          <w:b/>
          <w:bCs/>
          <w:i/>
          <w:iCs/>
          <w:sz w:val="20"/>
          <w:szCs w:val="20"/>
          <w:rtl/>
        </w:rPr>
        <w:t xml:space="preserve">پراکندگی میان حساب‌ها</w:t>
      </w:r>
      <w:r>
        <w:rPr>
          <w:rFonts w:ascii="Tahoma" w:cs="Tahoma" w:eastAsia="Tahoma" w:hAnsi="Tahoma"/>
          <w:i/>
          <w:iCs/>
          <w:sz w:val="20"/>
          <w:szCs w:val="20"/>
          <w:rtl/>
        </w:rPr>
        <w:t xml:space="preserve"> را به‌عنوان نوسان زمانی محاسبه می‌کند، حتی اگر هر سه حساب در طول ۷۲ ماه کاملاً ثابت مانده باشند.</w:t>
      </w:r>
    </w:p>
    <w:p>
      <w:pPr>
        <w:bidi/>
        <w:spacing w:after="160" w:line="312"/>
        <w:jc w:val="left"/>
      </w:pPr>
      <w:r>
        <w:rPr>
          <w:rFonts w:ascii="Tahoma" w:cs="Tahoma" w:eastAsia="Tahoma" w:hAnsi="Tahoma"/>
          <w:sz w:val="21"/>
          <w:szCs w:val="21"/>
          <w:rtl/>
        </w:rPr>
        <w:t xml:space="preserve">روش صحیح آن است که ابتدا مانده‌های هر مشتری در هر ماه تجمیع شود و سپس ضریب تغییرات روی سری زمانی ۷۲ ماهه‌ی حاصل محاسبه گردد. این دقیقاً همان الگویی است که در View شناسایی سپرده‌گذار فعال به‌درستی به کار رفته، اما در این تحلیل اعمال نشده است.</w:t>
      </w:r>
    </w:p>
    <w:p>
      <w:pPr>
        <w:pStyle w:val="Heading3"/>
        <w:keepNext/>
        <w:bidi/>
        <w:spacing w:after="160" w:before="300"/>
        <w:jc w:val="left"/>
      </w:pPr>
      <w:r>
        <w:rPr>
          <w:rFonts w:ascii="Tahoma" w:cs="Tahoma" w:eastAsia="Tahoma" w:hAnsi="Tahoma"/>
          <w:b/>
          <w:bCs/>
          <w:color w:val="1F4E79"/>
          <w:sz w:val="24"/>
          <w:szCs w:val="24"/>
          <w:rtl/>
        </w:rPr>
        <w:t xml:space="preserve">۴.۵.۴ اندازه‌گیری شدت انحراف</w:t>
      </w:r>
    </w:p>
    <w:p>
      <w:pPr>
        <w:bidi/>
        <w:spacing w:after="160" w:line="312"/>
        <w:jc w:val="left"/>
      </w:pPr>
      <w:r>
        <w:rPr>
          <w:rFonts w:ascii="Tahoma" w:cs="Tahoma" w:eastAsia="Tahoma" w:hAnsi="Tahoma"/>
          <w:sz w:val="21"/>
          <w:szCs w:val="21"/>
          <w:rtl/>
        </w:rPr>
        <w:t xml:space="preserve">برای کمّی کردن این سوگیری، هر دو روش روی نمونه‌ای شامل ۲۰,۰۰۰ مشتری و ۶.۵۷ میلیون رکورد اجرا و مقایسه شدند.</w:t>
      </w:r>
    </w:p>
    <w:p>
      <w:pPr>
        <w:keepNext/>
        <w:bidi/>
        <w:spacing w:after="100" w:before="200"/>
        <w:jc w:val="left"/>
      </w:pPr>
      <w:r>
        <w:rPr>
          <w:rFonts w:ascii="Tahoma" w:cs="Tahoma" w:eastAsia="Tahoma" w:hAnsi="Tahoma"/>
          <w:b/>
          <w:bCs/>
          <w:sz w:val="21"/>
          <w:szCs w:val="21"/>
          <w:rtl/>
        </w:rPr>
        <w:t xml:space="preserve">جدول ۴-۸: مقایسه‌ی دو روش محاسبه‌ی نوسان روی نمونه‌ی یکسان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5"/>
        <w:gridCol w:w="3087"/>
        <w:gridCol w:w="2518"/>
      </w:tblGrid>
      <w:tr>
        <w:trPr>
          <w:cantSplit/>
          <w:tblHeader/>
        </w:trPr>
        <w:tc>
          <w:tcPr>
            <w:tcW w:type="dxa" w:w="37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سطل نوسان</w:t>
            </w:r>
          </w:p>
        </w:tc>
        <w:tc>
          <w:tcPr>
            <w:tcW w:type="dxa" w:w="30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به‌کاررفته</w:t>
            </w:r>
          </w:p>
        </w:tc>
        <w:tc>
          <w:tcPr>
            <w:tcW w:type="dxa" w:w="2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صحیح</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کم‌نوسان (کمتر از ۰.۲۵)</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۵.۵۳٪</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 (۰.۲۵ تا ۰.۵)</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بالا (۰.۵ تا ۱)</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۱۹.۱۹٪</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خیلی‌بالا (۱ تا ۲)</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۱۹.۱۴٪</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۳۶.۴۴٪</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بحرانی (بیش از ۲)</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۷۵.۰۷٪</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۳۵.۵۶٪</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روش به‌کاررفته سهم سطل بحرانی را بیش از دو برابر نشان می‌دهد. علت گستردگی این اثر نیز روشن است: در همین نمونه، میانگین تعداد حساب هر مشتری </w:t>
      </w:r>
      <w:r>
        <w:rPr>
          <w:rFonts w:ascii="Tahoma" w:cs="Tahoma" w:eastAsia="Tahoma" w:hAnsi="Tahoma"/>
          <w:b/>
          <w:bCs/>
          <w:sz w:val="21"/>
          <w:szCs w:val="21"/>
          <w:rtl/>
        </w:rPr>
        <w:t xml:space="preserve">۵.۳۵</w:t>
      </w:r>
      <w:r>
        <w:rPr>
          <w:rFonts w:ascii="Tahoma" w:cs="Tahoma" w:eastAsia="Tahoma" w:hAnsi="Tahoma"/>
          <w:sz w:val="21"/>
          <w:szCs w:val="21"/>
          <w:rtl/>
        </w:rPr>
        <w:t xml:space="preserve"> و میانه </w:t>
      </w:r>
      <w:r>
        <w:rPr>
          <w:rFonts w:ascii="Tahoma" w:cs="Tahoma" w:eastAsia="Tahoma" w:hAnsi="Tahoma"/>
          <w:b/>
          <w:bCs/>
          <w:sz w:val="21"/>
          <w:szCs w:val="21"/>
          <w:rtl/>
        </w:rPr>
        <w:t xml:space="preserve">۳</w:t>
      </w:r>
      <w:r>
        <w:rPr>
          <w:rFonts w:ascii="Tahoma" w:cs="Tahoma" w:eastAsia="Tahoma" w:hAnsi="Tahoma"/>
          <w:sz w:val="21"/>
          <w:szCs w:val="21"/>
          <w:rtl/>
        </w:rPr>
        <w:t xml:space="preserve"> است، و </w:t>
      </w:r>
      <w:r>
        <w:rPr>
          <w:rFonts w:ascii="Tahoma" w:cs="Tahoma" w:eastAsia="Tahoma" w:hAnsi="Tahoma"/>
          <w:b/>
          <w:bCs/>
          <w:sz w:val="21"/>
          <w:szCs w:val="21"/>
          <w:rtl/>
        </w:rPr>
        <w:t xml:space="preserve">۸۴.۴ درصد مشتریان بیش از یک حساب دارند</w:t>
      </w:r>
      <w:r>
        <w:rPr>
          <w:rFonts w:ascii="Tahoma" w:cs="Tahoma" w:eastAsia="Tahoma" w:hAnsi="Tahoma"/>
          <w:sz w:val="21"/>
          <w:szCs w:val="21"/>
          <w:rtl/>
        </w:rPr>
        <w:t xml:space="preserve">. بنابراین سوگیری تقریباً کل جمعیت را در بر می‌گیرد و نه یک اقلیت خاص.</w:t>
      </w:r>
    </w:p>
    <w:p>
      <w:pPr>
        <w:bidi/>
        <w:spacing w:after="160" w:line="312"/>
        <w:jc w:val="left"/>
      </w:pPr>
      <w:r>
        <w:rPr>
          <w:rFonts w:ascii="Tahoma" w:cs="Tahoma" w:eastAsia="Tahoma" w:hAnsi="Tahoma"/>
          <w:b/>
          <w:bCs/>
          <w:sz w:val="21"/>
          <w:szCs w:val="21"/>
          <w:rtl/>
        </w:rPr>
        <w:t xml:space="preserve">تذکر درباره‌ی تعمیم‌پذیری.</w:t>
      </w:r>
      <w:r>
        <w:rPr>
          <w:rFonts w:ascii="Tahoma" w:cs="Tahoma" w:eastAsia="Tahoma" w:hAnsi="Tahoma"/>
          <w:sz w:val="21"/>
          <w:szCs w:val="21"/>
          <w:rtl/>
        </w:rPr>
        <w:t xml:space="preserve"> این نمونه تصادفی نیست (بیست هزار مشتری نخست بر اساس ترتیب شناسه)، بنابراین سطوح مطلق آن مستقیماً به کل جمعیت تعمیم‌پذیر نیست — چنان‌که روش به‌کاررفته در نمونه ۷۵.۰۷ درصد می‌دهد در حالی که رقم کل جمعیت ۶۲.۱۹ درصد است. آنچه تعمیم‌پذیر است </w:t>
      </w:r>
      <w:r>
        <w:rPr>
          <w:rFonts w:ascii="Tahoma" w:cs="Tahoma" w:eastAsia="Tahoma" w:hAnsi="Tahoma"/>
          <w:b/>
          <w:bCs/>
          <w:sz w:val="21"/>
          <w:szCs w:val="21"/>
          <w:rtl/>
        </w:rPr>
        <w:t xml:space="preserve">نسبت میان دو روش روی داده‌ی یکسان</w:t>
      </w:r>
      <w:r>
        <w:rPr>
          <w:rFonts w:ascii="Tahoma" w:cs="Tahoma" w:eastAsia="Tahoma" w:hAnsi="Tahoma"/>
          <w:sz w:val="21"/>
          <w:szCs w:val="21"/>
          <w:rtl/>
        </w:rPr>
        <w:t xml:space="preserve"> است. با اعمال همین نسبت بر رقم جمعیت کل، سهم واقعی مشتریان بحرانی احتمالاً در محدوده‌ی </w:t>
      </w:r>
      <w:r>
        <w:rPr>
          <w:rFonts w:ascii="Tahoma" w:cs="Tahoma" w:eastAsia="Tahoma" w:hAnsi="Tahoma"/>
          <w:b/>
          <w:bCs/>
          <w:sz w:val="21"/>
          <w:szCs w:val="21"/>
          <w:rtl/>
        </w:rPr>
        <w:t xml:space="preserve">۳۰ درصد</w:t>
      </w:r>
      <w:r>
        <w:rPr>
          <w:rFonts w:ascii="Tahoma" w:cs="Tahoma" w:eastAsia="Tahoma" w:hAnsi="Tahoma"/>
          <w:sz w:val="21"/>
          <w:szCs w:val="21"/>
          <w:rtl/>
        </w:rPr>
        <w:t xml:space="preserve"> قرار دارد و نه ۶۲.۱۹ درصد.</w:t>
      </w:r>
    </w:p>
    <w:p>
      <w:pPr>
        <w:bidi/>
        <w:spacing w:after="160" w:line="312"/>
        <w:jc w:val="left"/>
      </w:pPr>
      <w:r>
        <w:rPr>
          <w:rFonts w:ascii="Tahoma" w:cs="Tahoma" w:eastAsia="Tahoma" w:hAnsi="Tahoma"/>
          <w:b/>
          <w:bCs/>
          <w:sz w:val="21"/>
          <w:szCs w:val="21"/>
          <w:rtl/>
        </w:rPr>
        <w:t xml:space="preserve">تصمیم برای این گزارش.</w:t>
      </w:r>
      <w:r>
        <w:rPr>
          <w:rFonts w:ascii="Tahoma" w:cs="Tahoma" w:eastAsia="Tahoma" w:hAnsi="Tahoma"/>
          <w:sz w:val="21"/>
          <w:szCs w:val="21"/>
          <w:rtl/>
        </w:rPr>
        <w:t xml:space="preserve"> رقم ۶۲.۱۹ درصد به‌عنوان یافته ارائه نمی‌شود. سهم مشتریان پرنوسان در این گزارش «حدود یک‌سوم، به‌صورت برآورد اولیه» بیان می‌شود و بازمحاسبه‌ی کامل با روش صحیح در فهرست کارهای فاز ۲ با </w:t>
      </w:r>
      <w:r>
        <w:rPr>
          <w:rFonts w:ascii="Tahoma" w:cs="Tahoma" w:eastAsia="Tahoma" w:hAnsi="Tahoma"/>
          <w:b/>
          <w:bCs/>
          <w:sz w:val="21"/>
          <w:szCs w:val="21"/>
          <w:rtl/>
        </w:rPr>
        <w:t xml:space="preserve">اولویت بالا</w:t>
      </w:r>
      <w:r>
        <w:rPr>
          <w:rFonts w:ascii="Tahoma" w:cs="Tahoma" w:eastAsia="Tahoma" w:hAnsi="Tahoma"/>
          <w:sz w:val="21"/>
          <w:szCs w:val="21"/>
          <w:rtl/>
        </w:rPr>
        <w:t xml:space="preserve"> ثبت شده است.</w:t>
      </w:r>
    </w:p>
    <w:p>
      <w:pPr>
        <w:bidi/>
        <w:spacing w:after="160" w:line="312"/>
        <w:jc w:val="left"/>
      </w:pPr>
      <w:r>
        <w:rPr>
          <w:rFonts w:ascii="Tahoma" w:cs="Tahoma" w:eastAsia="Tahoma" w:hAnsi="Tahoma"/>
          <w:sz w:val="21"/>
          <w:szCs w:val="21"/>
          <w:rtl/>
        </w:rPr>
        <w:t xml:space="preserve">با این حال، جهت‌گیری کلی یافته حتی با روش صحیح نیز برقرار می‌ماند: در ستون سمت راست جدول ۴-۸، همچنان حدود </w:t>
      </w:r>
      <w:r>
        <w:rPr>
          <w:rFonts w:ascii="Tahoma" w:cs="Tahoma" w:eastAsia="Tahoma" w:hAnsi="Tahoma"/>
          <w:b/>
          <w:bCs/>
          <w:sz w:val="21"/>
          <w:szCs w:val="21"/>
          <w:rtl/>
        </w:rPr>
        <w:t xml:space="preserve">۷۲ درصد مشتریان ضریب تغییرات بالاتر از یک دارند</w:t>
      </w:r>
      <w:r>
        <w:rPr>
          <w:rFonts w:ascii="Tahoma" w:cs="Tahoma" w:eastAsia="Tahoma" w:hAnsi="Tahoma"/>
          <w:sz w:val="21"/>
          <w:szCs w:val="21"/>
          <w:rtl/>
        </w:rPr>
        <w:t xml:space="preserve">. یعنی نتیجه‌ی «منابع بانک پایدار نیستند» معتبر است؛ آنچه تغییر می‌کند شدت آن است.</w:t>
      </w:r>
    </w:p>
    <w:p>
      <w:pPr>
        <w:pStyle w:val="Heading3"/>
        <w:keepNext/>
        <w:bidi/>
        <w:spacing w:after="160" w:before="300"/>
        <w:jc w:val="left"/>
      </w:pPr>
      <w:r>
        <w:rPr>
          <w:rFonts w:ascii="Tahoma" w:cs="Tahoma" w:eastAsia="Tahoma" w:hAnsi="Tahoma"/>
          <w:b/>
          <w:bCs/>
          <w:color w:val="1F4E79"/>
          <w:sz w:val="24"/>
          <w:szCs w:val="24"/>
          <w:rtl/>
        </w:rPr>
        <w:t xml:space="preserve">۴.۵.۵ رابطه‌ی نوسان با اندازه</w:t>
      </w:r>
    </w:p>
    <w:p>
      <w:pPr>
        <w:bidi/>
        <w:spacing w:after="160" w:line="312"/>
        <w:jc w:val="left"/>
      </w:pPr>
      <w:r>
        <w:rPr>
          <w:rFonts w:ascii="Tahoma" w:cs="Tahoma" w:eastAsia="Tahoma" w:hAnsi="Tahoma"/>
          <w:sz w:val="21"/>
          <w:szCs w:val="21"/>
          <w:rtl/>
        </w:rPr>
        <w:t xml:space="preserve">مستقل از ابهام فوق، یک الگوی ساختاری در جدول ۴-۷ قابل استخراج است. سطل کم‌نوسان با ۰.۵۵ درصد مشتریان، ۰.۷۱ درصد مانده را در بر می‌گیرد (نسبت حدود ۱.۳)، در حالی که سطل متوسط با ۰.۶۷ درصد مشتریان، ۳.۲۱ درصد مانده دارد (نسبت حدود ۴.۸).</w:t>
      </w:r>
    </w:p>
    <w:p>
      <w:pPr>
        <w:bidi/>
        <w:spacing w:after="160" w:line="312"/>
        <w:jc w:val="left"/>
      </w:pPr>
      <w:r>
        <w:rPr>
          <w:rFonts w:ascii="Tahoma" w:cs="Tahoma" w:eastAsia="Tahoma" w:hAnsi="Tahoma"/>
          <w:sz w:val="21"/>
          <w:szCs w:val="21"/>
          <w:rtl/>
        </w:rPr>
        <w:t xml:space="preserve">به بیان دیگر، </w:t>
      </w:r>
      <w:r>
        <w:rPr>
          <w:rFonts w:ascii="Tahoma" w:cs="Tahoma" w:eastAsia="Tahoma" w:hAnsi="Tahoma"/>
          <w:b/>
          <w:bCs/>
          <w:sz w:val="21"/>
          <w:szCs w:val="21"/>
          <w:rtl/>
        </w:rPr>
        <w:t xml:space="preserve">پایدارترین منابع بانک در اختیار گروه بسیار کوچکی از مشتریان با مانده‌های بزرگ‌تر از میانگین است.</w:t>
      </w:r>
      <w:r>
        <w:rPr>
          <w:rFonts w:ascii="Tahoma" w:cs="Tahoma" w:eastAsia="Tahoma" w:hAnsi="Tahoma"/>
          <w:sz w:val="21"/>
          <w:szCs w:val="21"/>
          <w:rtl/>
        </w:rPr>
        <w:t xml:space="preserve"> این نتیجه با ساختار تمرکز بخش ۴.۴ کاملاً سازگار است و اهمیت راهبردی حفظ همان ۸,۳۰۲ مشتری بزرگ را دوچندان می‌کند.</w:t>
      </w:r>
    </w:p>
    <w:p>
      <w:pPr>
        <w:pBdr>
          <w:bottom w:val="single" w:color="BBBBBB" w:sz="6"/>
        </w:pBdr>
        <w:spacing w:after="100" w:before="100"/>
      </w:pPr>
    </w:p>
    <w:p>
      <w:pPr>
        <w:pStyle w:val="Heading2"/>
        <w:keepNext/>
        <w:bidi/>
        <w:spacing w:after="160" w:before="300"/>
        <w:jc w:val="left"/>
      </w:pPr>
      <w:bookmarkStart w:name="_Toc36" w:id="36"/>
      <w:r>
        <w:rPr>
          <w:rFonts w:ascii="Tahoma" w:cs="Tahoma" w:eastAsia="Tahoma" w:hAnsi="Tahoma"/>
          <w:b/>
          <w:bCs/>
          <w:color w:val="1F4E79"/>
          <w:sz w:val="28"/>
          <w:szCs w:val="28"/>
          <w:rtl/>
        </w:rPr>
        <w:t xml:space="preserve">۴.۶ ابهام بنیادی در تعریف ستون مانده</w:t>
      </w:r>
      <w:bookmarkEnd w:id="36"/>
    </w:p>
    <w:p>
      <w:pPr>
        <w:pStyle w:val="Heading3"/>
        <w:keepNext/>
        <w:bidi/>
        <w:spacing w:after="160" w:before="300"/>
        <w:jc w:val="left"/>
      </w:pPr>
      <w:r>
        <w:rPr>
          <w:rFonts w:ascii="Tahoma" w:cs="Tahoma" w:eastAsia="Tahoma" w:hAnsi="Tahoma"/>
          <w:b/>
          <w:bCs/>
          <w:color w:val="1F4E79"/>
          <w:sz w:val="24"/>
          <w:szCs w:val="24"/>
          <w:rtl/>
        </w:rPr>
        <w:t xml:space="preserve">۴.۶.۱ دامنه‌ی اثر</w:t>
      </w:r>
    </w:p>
    <w:p>
      <w:pPr>
        <w:bidi/>
        <w:spacing w:after="160" w:line="312"/>
        <w:jc w:val="left"/>
      </w:pPr>
      <w:r>
        <w:rPr>
          <w:rFonts w:ascii="Tahoma" w:cs="Tahoma" w:eastAsia="Tahoma" w:hAnsi="Tahoma"/>
          <w:sz w:val="21"/>
          <w:szCs w:val="21"/>
          <w:rtl/>
        </w:rPr>
        <w:t xml:space="preserve">تمام ارقام این فصل — مانده‌ی کل، ترکیب پرتفوی، پلکان مانده، تمرکز، و نوسان — و افزون بر آن، تحلیل‌های ماندگاری و ریزش فصل ۳ و نسبت تسهیلات به سپرده در فصل ۵، از یک ستون واحد استخراج می‌شوند: ستون میانگین مانده در جدول </w:t>
      </w:r>
      <w:r>
        <w:rPr>
          <w:rFonts w:ascii="Consolas" w:cs="Consolas" w:eastAsia="Consolas" w:hAnsi="Consolas"/>
          <w:b w:val="false"/>
          <w:bCs w:val="false"/>
          <w:sz w:val="18"/>
          <w:szCs w:val="18"/>
          <w:rtl w:val="false"/>
        </w:rPr>
        <w:t xml:space="preserve">Deposit_Monthly_Activity</w:t>
      </w:r>
      <w:r>
        <w:rPr>
          <w:rFonts w:ascii="Tahoma" w:cs="Tahoma" w:eastAsia="Tahoma" w:hAnsi="Tahoma"/>
          <w:sz w:val="21"/>
          <w:szCs w:val="21"/>
          <w:rtl/>
        </w:rPr>
        <w:t xml:space="preserve">.</w:t>
      </w:r>
    </w:p>
    <w:p>
      <w:pPr>
        <w:bidi/>
        <w:spacing w:after="160" w:line="312"/>
        <w:jc w:val="left"/>
      </w:pPr>
      <w:r>
        <w:rPr>
          <w:rFonts w:ascii="Tahoma" w:cs="Tahoma" w:eastAsia="Tahoma" w:hAnsi="Tahoma"/>
          <w:b/>
          <w:bCs/>
          <w:sz w:val="21"/>
          <w:szCs w:val="21"/>
          <w:rtl/>
        </w:rPr>
        <w:t xml:space="preserve">تعریف دقیق این ستون از بانک دریافت نشده است.</w:t>
      </w:r>
      <w:r>
        <w:rPr>
          <w:rFonts w:ascii="Tahoma" w:cs="Tahoma" w:eastAsia="Tahoma" w:hAnsi="Tahoma"/>
          <w:sz w:val="21"/>
          <w:szCs w:val="21"/>
          <w:rtl/>
        </w:rPr>
        <w:t xml:space="preserve"> دست‌کم چهار تفسیر ممکن وجود دارد که پیامدهای متفاوتی دارند: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میانگین روزانه‌ی مانده در طول ماه</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مانده‌ی پایان ماه</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مانده‌ی مؤثر مشمول سود، که می‌تواند کمتر از مانده‌ی واقعی باشد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میانگین وزنی بر مبنای دوره‌ی ماندگاری وجه</w:t>
      </w:r>
    </w:p>
    <w:p>
      <w:pPr>
        <w:pStyle w:val="Heading3"/>
        <w:keepNext/>
        <w:bidi/>
        <w:spacing w:after="160" w:before="300"/>
        <w:jc w:val="left"/>
      </w:pPr>
      <w:r>
        <w:rPr>
          <w:rFonts w:ascii="Tahoma" w:cs="Tahoma" w:eastAsia="Tahoma" w:hAnsi="Tahoma"/>
          <w:b/>
          <w:bCs/>
          <w:color w:val="1F4E79"/>
          <w:sz w:val="24"/>
          <w:szCs w:val="24"/>
          <w:rtl/>
        </w:rPr>
        <w:t xml:space="preserve">۴.۶.۲ آزمون انجام‌شده</w:t>
      </w:r>
    </w:p>
    <w:p>
      <w:pPr>
        <w:bidi/>
        <w:spacing w:after="160" w:line="312"/>
        <w:jc w:val="left"/>
      </w:pPr>
      <w:r>
        <w:rPr>
          <w:rFonts w:ascii="Tahoma" w:cs="Tahoma" w:eastAsia="Tahoma" w:hAnsi="Tahoma"/>
          <w:sz w:val="21"/>
          <w:szCs w:val="21"/>
          <w:rtl/>
        </w:rPr>
        <w:t xml:space="preserve">فرضیه‌ی چهارم — که این ستون یک مجموع Prorate‌نشده باشد — قابل آزمون بود. منطق آزمون چنین است: اگر ستون یک مجموع باشد، ماه افتتاح حساب که ناقص است باید مقدار سیستماتیک کمتری نسبت به ماه کامل بعدی نشان دهد، و این کاهش باید با نزدیک‌تر شدن روز افتتاح به پایان ماه تشدید شود.</w:t>
      </w:r>
    </w:p>
    <w:p>
      <w:pPr>
        <w:keepNext/>
        <w:bidi/>
        <w:spacing w:after="100" w:before="200"/>
        <w:jc w:val="left"/>
      </w:pPr>
      <w:r>
        <w:rPr>
          <w:rFonts w:ascii="Tahoma" w:cs="Tahoma" w:eastAsia="Tahoma" w:hAnsi="Tahoma"/>
          <w:b/>
          <w:bCs/>
          <w:sz w:val="21"/>
          <w:szCs w:val="21"/>
          <w:rtl/>
        </w:rPr>
        <w:t xml:space="preserve">جدول ۴-۹: نتیجه‌ی آزمون فرضیه‌ی مجموع Prorate‌نشده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6"/>
        <w:gridCol w:w="3440"/>
        <w:gridCol w:w="3204"/>
      </w:tblGrid>
      <w:tr>
        <w:trPr>
          <w:cantSplit/>
          <w:tblHeader/>
        </w:trPr>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روز افتتاح در ماه</w:t>
            </w:r>
          </w:p>
        </w:tc>
        <w:tc>
          <w:tcPr>
            <w:tcW w:type="dxa" w:w="3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32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ماه افتتاح به ماه بعد</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۱۰۵,۱۵۹</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۰.۸۸۶</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 تا ۱۵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۲۱۴,۹۸۵</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۰.۹۴۴</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 تا ۲۵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۲۲۴,۹۴۰</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۱.۰۹۰</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 تا ۳۱</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۱۲۶,۳۵۵</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۰.۹۳۹</w:t>
            </w:r>
          </w:p>
        </w:tc>
      </w:tr>
    </w:tbl>
    <w:p>
      <w:pPr>
        <w:spacing w:after="200"/>
      </w:pPr>
    </w:p>
    <w:p>
      <w:pPr>
        <w:bidi/>
        <w:spacing w:after="160" w:line="312"/>
        <w:jc w:val="left"/>
      </w:pPr>
      <w:r>
        <w:rPr>
          <w:rFonts w:ascii="Tahoma" w:cs="Tahoma" w:eastAsia="Tahoma" w:hAnsi="Tahoma"/>
          <w:b/>
          <w:bCs/>
          <w:sz w:val="21"/>
          <w:szCs w:val="21"/>
          <w:rtl/>
        </w:rPr>
        <w:t xml:space="preserve">نتیجه.</w:t>
      </w:r>
      <w:r>
        <w:rPr>
          <w:rFonts w:ascii="Tahoma" w:cs="Tahoma" w:eastAsia="Tahoma" w:hAnsi="Tahoma"/>
          <w:sz w:val="21"/>
          <w:szCs w:val="21"/>
          <w:rtl/>
        </w:rPr>
        <w:t xml:space="preserve"> اگر فرضیه درست بود، گروه «۲۶ تا ۳۱» — که تنها چند روز از ماه را پوشش می‌دهد — باید نسبتی به‌مراتب کمتر از یک نشان می‌داد. ارقام مشاهده‌شده میان ۰.۸۸۶ و ۱.۰۹۰ پراکنده‌اند و هیچ الگوی نظام‌مندی ندارند؛ گروه با بیشترین پوشش (۱ تا ۵) حتی نسبت کمتری از گروه ۱۶ تا ۲۵ دارد.</w:t>
      </w:r>
    </w:p>
    <w:p>
      <w:pPr>
        <w:bidi/>
        <w:spacing w:after="160" w:line="312"/>
        <w:jc w:val="left"/>
      </w:pPr>
      <w:r>
        <w:rPr>
          <w:rFonts w:ascii="Tahoma" w:cs="Tahoma" w:eastAsia="Tahoma" w:hAnsi="Tahoma"/>
          <w:b/>
          <w:bCs/>
          <w:sz w:val="21"/>
          <w:szCs w:val="21"/>
          <w:rtl/>
        </w:rPr>
        <w:t xml:space="preserve">تنها دستاورد این آزمون، رد فرضیه‌ی مجموع بود.</w:t>
      </w:r>
      <w:r>
        <w:rPr>
          <w:rFonts w:ascii="Tahoma" w:cs="Tahoma" w:eastAsia="Tahoma" w:hAnsi="Tahoma"/>
          <w:sz w:val="21"/>
          <w:szCs w:val="21"/>
          <w:rtl/>
        </w:rPr>
        <w:t xml:space="preserve"> تفکیک سه تفسیر باقی‌مانده از روی داده امکان‌پذیر نیست، زیرا یک میانگین واقعی با کاهش تعداد روز رقیق نمی‌شود و هر سه تفسیر الگوی یکسانی تولید می‌کنند.</w:t>
      </w:r>
    </w:p>
    <w:p>
      <w:pPr>
        <w:pStyle w:val="Heading3"/>
        <w:keepNext/>
        <w:bidi/>
        <w:spacing w:after="160" w:before="300"/>
        <w:jc w:val="left"/>
      </w:pPr>
      <w:r>
        <w:rPr>
          <w:rFonts w:ascii="Tahoma" w:cs="Tahoma" w:eastAsia="Tahoma" w:hAnsi="Tahoma"/>
          <w:b/>
          <w:bCs/>
          <w:color w:val="1F4E79"/>
          <w:sz w:val="24"/>
          <w:szCs w:val="24"/>
          <w:rtl/>
        </w:rPr>
        <w:t xml:space="preserve">۴.۶.۳ شواهد حاکی از کم‌برآوردی</w:t>
      </w:r>
    </w:p>
    <w:p>
      <w:pPr>
        <w:bidi/>
        <w:spacing w:after="160" w:line="312"/>
        <w:jc w:val="left"/>
      </w:pPr>
      <w:r>
        <w:rPr>
          <w:rFonts w:ascii="Tahoma" w:cs="Tahoma" w:eastAsia="Tahoma" w:hAnsi="Tahoma"/>
          <w:sz w:val="21"/>
          <w:szCs w:val="21"/>
          <w:rtl/>
        </w:rPr>
        <w:t xml:space="preserve">دو نشانه‌ی مستقل حاکی از آن است که این ستون ممکن است مانده را کمتر از واقع نشان دهد.</w:t>
      </w:r>
    </w:p>
    <w:p>
      <w:pPr>
        <w:bidi/>
        <w:spacing w:after="160" w:line="312"/>
        <w:jc w:val="left"/>
      </w:pPr>
      <w:r>
        <w:rPr>
          <w:rFonts w:ascii="Tahoma" w:cs="Tahoma" w:eastAsia="Tahoma" w:hAnsi="Tahoma"/>
          <w:b/>
          <w:bCs/>
          <w:sz w:val="21"/>
          <w:szCs w:val="21"/>
          <w:rtl/>
        </w:rPr>
        <w:t xml:space="preserve">نشانه‌ی نخست — نسبت تسهیلات به سپرده.</w:t>
      </w:r>
      <w:r>
        <w:rPr>
          <w:rFonts w:ascii="Tahoma" w:cs="Tahoma" w:eastAsia="Tahoma" w:hAnsi="Tahoma"/>
          <w:sz w:val="21"/>
          <w:szCs w:val="21"/>
          <w:rtl/>
        </w:rPr>
        <w:t xml:space="preserve"> رقم ۱۵۱.۲ درصد در مقایسه با محدوده‌ی متعارف ۸۵ تا ۱۰۵ درصد در نظام بانکی ایران، به‌طور محسوسی بالاست. دو تبیین ممکن است: یا مخرج نسبت (سپرده) کم‌برآورد شده، یا پوشش نمونه‌ی منابع (۶۳.۷ درصد) از پوشش نمونه‌ی تسهیلات (۸۶.۵ درصد) کمتر است (بخش ۲.۴.۴). آمار رسمی بانک نسبت ۱۱۱.۳ درصد را نشان می‌دهد.</w:t>
      </w:r>
    </w:p>
    <w:p>
      <w:pPr>
        <w:bidi/>
        <w:spacing w:after="160" w:line="312"/>
        <w:jc w:val="left"/>
      </w:pPr>
      <w:r>
        <w:rPr>
          <w:rFonts w:ascii="Tahoma" w:cs="Tahoma" w:eastAsia="Tahoma" w:hAnsi="Tahoma"/>
          <w:b/>
          <w:bCs/>
          <w:sz w:val="21"/>
          <w:szCs w:val="21"/>
          <w:rtl/>
        </w:rPr>
        <w:t xml:space="preserve">نشانه‌ی دوم — نرخ سود مؤثر.</w:t>
      </w:r>
      <w:r>
        <w:rPr>
          <w:rFonts w:ascii="Tahoma" w:cs="Tahoma" w:eastAsia="Tahoma" w:hAnsi="Tahoma"/>
          <w:sz w:val="21"/>
          <w:szCs w:val="21"/>
          <w:rtl/>
        </w:rPr>
        <w:t xml:space="preserve"> حتی پس از تصحیح تورم ناشی از تکرار (بخش ۴.۲.۵)، چنانچه مخرج کم‌برآورد باشد نرخ حاصل بالاتر از واقع خواهد بود.</w:t>
      </w:r>
    </w:p>
    <w:p>
      <w:pPr>
        <w:bidi/>
        <w:spacing w:after="160" w:line="312"/>
        <w:jc w:val="left"/>
      </w:pPr>
      <w:r>
        <w:rPr>
          <w:rFonts w:ascii="Tahoma" w:cs="Tahoma" w:eastAsia="Tahoma" w:hAnsi="Tahoma"/>
          <w:sz w:val="21"/>
          <w:szCs w:val="21"/>
          <w:rtl/>
        </w:rPr>
        <w:t xml:space="preserve">هیچ‌یک از این دو نشانه به‌تنهایی قطعی نیست، اما هم‌جهت بودنشان احتمال کم‌برآوردی را تقویت می‌کند.</w:t>
      </w:r>
    </w:p>
    <w:p>
      <w:pPr>
        <w:pStyle w:val="Heading3"/>
        <w:keepNext/>
        <w:bidi/>
        <w:spacing w:after="160" w:before="300"/>
        <w:jc w:val="left"/>
      </w:pPr>
      <w:r>
        <w:rPr>
          <w:rFonts w:ascii="Tahoma" w:cs="Tahoma" w:eastAsia="Tahoma" w:hAnsi="Tahoma"/>
          <w:b/>
          <w:bCs/>
          <w:color w:val="1F4E79"/>
          <w:sz w:val="24"/>
          <w:szCs w:val="24"/>
          <w:rtl/>
        </w:rPr>
        <w:t xml:space="preserve">۴.۶.۴ پیامد عملی برای خواننده</w:t>
      </w:r>
    </w:p>
    <w:p>
      <w:pPr>
        <w:bidi/>
        <w:spacing w:after="160" w:line="312"/>
        <w:jc w:val="left"/>
      </w:pPr>
      <w:r>
        <w:rPr>
          <w:rFonts w:ascii="Tahoma" w:cs="Tahoma" w:eastAsia="Tahoma" w:hAnsi="Tahoma"/>
          <w:sz w:val="21"/>
          <w:szCs w:val="21"/>
          <w:rtl/>
        </w:rPr>
        <w:t xml:space="preserve">این تنها ابهام گزارش است که هم‌زمان بر مانده‌ی کل، ترکیب، تمرکز، نوسان، ماندگاری، ریزش و نسبت تسهیلات به سپرده اثر می‌گذارد. با این حال، همه‌ی ارقام به یک اندازه در معرض آن نیستند: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نسبت‌ها و سهم‌های درون‌فصلی</w:t>
      </w:r>
      <w:r>
        <w:rPr>
          <w:rFonts w:ascii="Tahoma" w:cs="Tahoma" w:eastAsia="Tahoma" w:hAnsi="Tahoma"/>
          <w:i/>
          <w:iCs/>
          <w:sz w:val="20"/>
          <w:szCs w:val="20"/>
          <w:rtl/>
        </w:rPr>
        <w:t xml:space="preserve"> — مانند گزاره‌ی «۱.۲۳ درصد مشتریان ۸۰.۱۵ درصد منابع را در اختیار دارند» — نسبتاً مقاوم‌اند، زیرا صورت و مخرج هر دو از همین ستون استخراج می‌شوند و سوگیری تا حد زیادی خنثی می‌گردد. </w:t>
      </w:r>
      <w:r>
        <w:rPr>
          <w:rFonts w:ascii="Tahoma" w:cs="Tahoma" w:eastAsia="Tahoma" w:hAnsi="Tahoma"/>
          <w:b/>
          <w:bCs/>
          <w:i/>
          <w:iCs/>
          <w:sz w:val="20"/>
          <w:szCs w:val="20"/>
          <w:rtl/>
        </w:rPr>
        <w:t xml:space="preserve">مقادیر مطلق</w:t>
      </w:r>
      <w:r>
        <w:rPr>
          <w:rFonts w:ascii="Tahoma" w:cs="Tahoma" w:eastAsia="Tahoma" w:hAnsi="Tahoma"/>
          <w:i/>
          <w:iCs/>
          <w:sz w:val="20"/>
          <w:szCs w:val="20"/>
          <w:rtl/>
        </w:rPr>
        <w:t xml:space="preserve"> (۸۴.۸ هزار میلیارد تومان) و </w:t>
      </w:r>
      <w:r>
        <w:rPr>
          <w:rFonts w:ascii="Tahoma" w:cs="Tahoma" w:eastAsia="Tahoma" w:hAnsi="Tahoma"/>
          <w:b/>
          <w:bCs/>
          <w:i/>
          <w:iCs/>
          <w:sz w:val="20"/>
          <w:szCs w:val="20"/>
          <w:rtl/>
        </w:rPr>
        <w:t xml:space="preserve">نسبت‌های بین‌فصلی</w:t>
      </w:r>
      <w:r>
        <w:rPr>
          <w:rFonts w:ascii="Tahoma" w:cs="Tahoma" w:eastAsia="Tahoma" w:hAnsi="Tahoma"/>
          <w:i/>
          <w:iCs/>
          <w:sz w:val="20"/>
          <w:szCs w:val="20"/>
          <w:rtl/>
        </w:rPr>
        <w:t xml:space="preserve"> — مانند نسبت تسهیلات به سپرده که مخرجش از این ستون و صورتش از جدول دیگری می‌آید — مستقیماً در معرض این ابهام قرار دارند و مستلزم تفسیر محتاطانه‌اند.</w:t>
      </w:r>
    </w:p>
    <w:p>
      <w:pPr>
        <w:bidi/>
        <w:spacing w:after="160" w:line="312"/>
        <w:jc w:val="left"/>
      </w:pPr>
      <w:r>
        <w:rPr>
          <w:rFonts w:ascii="Tahoma" w:cs="Tahoma" w:eastAsia="Tahoma" w:hAnsi="Tahoma"/>
          <w:sz w:val="21"/>
          <w:szCs w:val="21"/>
          <w:rtl/>
        </w:rPr>
        <w:t xml:space="preserve">این پرسش در صدر فهرست موضوعات بازدارنده‌ی فصل ۹ قرار دارد.</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شواهد تازه از آمار رسمی کل بانک:</w:t>
      </w:r>
      <w:r>
        <w:rPr>
          <w:rFonts w:ascii="Tahoma" w:cs="Tahoma" w:eastAsia="Tahoma" w:hAnsi="Tahoma"/>
          <w:sz w:val="21"/>
          <w:szCs w:val="21"/>
          <w:rtl/>
        </w:rPr>
        <w:t xml:space="preserve"> مقایسه‌ی ستون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(میانگین مانده‌ی نمونه) با گزارش رسمی </w:t>
      </w:r>
      <w:r>
        <w:rPr>
          <w:rFonts w:ascii="Consolas" w:cs="Consolas" w:eastAsia="Consolas" w:hAnsi="Consolas"/>
          <w:b w:val="false"/>
          <w:bCs w:val="false"/>
          <w:sz w:val="18"/>
          <w:szCs w:val="18"/>
          <w:rtl w:val="false"/>
        </w:rPr>
        <w:t xml:space="preserve">bank_official_monthly.csv</w:t>
      </w:r>
      <w:r>
        <w:rPr>
          <w:rFonts w:ascii="Tahoma" w:cs="Tahoma" w:eastAsia="Tahoma" w:hAnsi="Tahoma"/>
          <w:sz w:val="21"/>
          <w:szCs w:val="21"/>
          <w:rtl/>
        </w:rPr>
        <w:t xml:space="preserve"> برای ماه‌های مشترک نشان می‌دهد که اگرچه روند کلی همبستگی بالایی دارد، اما این مقایسه نیز کمکی به تفکیک قطعی میان سه فرضیه‌ی باقی‌مانده (بخش ۲.۶) نمی‌کند. در نتیجه، این ابهام همچنان نیازمند شفاف‌سازی ساختار فایل اصلی توسط خود بانک است.</w:t>
      </w:r>
    </w:p>
    <w:p>
      <w:pPr>
        <w:pStyle w:val="Heading2"/>
        <w:keepNext/>
        <w:bidi/>
        <w:spacing w:after="160" w:before="300"/>
        <w:jc w:val="left"/>
      </w:pPr>
      <w:bookmarkStart w:name="_Toc37" w:id="37"/>
      <w:r>
        <w:rPr>
          <w:rFonts w:ascii="Tahoma" w:cs="Tahoma" w:eastAsia="Tahoma" w:hAnsi="Tahoma"/>
          <w:b/>
          <w:bCs/>
          <w:color w:val="1F4E79"/>
          <w:sz w:val="28"/>
          <w:szCs w:val="28"/>
          <w:rtl/>
        </w:rPr>
        <w:t xml:space="preserve">۴.۷ ابهام فرعی: حساب‌های «نزد سایر بانک‌ها»</w:t>
      </w:r>
      <w:bookmarkEnd w:id="37"/>
    </w:p>
    <w:p>
      <w:pPr>
        <w:bidi/>
        <w:spacing w:after="160" w:line="312"/>
        <w:jc w:val="left"/>
      </w:pPr>
      <w:r>
        <w:rPr>
          <w:rFonts w:ascii="Tahoma" w:cs="Tahoma" w:eastAsia="Tahoma" w:hAnsi="Tahoma"/>
          <w:sz w:val="21"/>
          <w:szCs w:val="21"/>
          <w:rtl/>
        </w:rPr>
        <w:t xml:space="preserve">در داده </w:t>
      </w:r>
      <w:r>
        <w:rPr>
          <w:rFonts w:ascii="Tahoma" w:cs="Tahoma" w:eastAsia="Tahoma" w:hAnsi="Tahoma"/>
          <w:b/>
          <w:bCs/>
          <w:sz w:val="21"/>
          <w:szCs w:val="21"/>
          <w:rtl/>
        </w:rPr>
        <w:t xml:space="preserve">۱,۱۰۰ حساب</w:t>
      </w:r>
      <w:r>
        <w:rPr>
          <w:rFonts w:ascii="Tahoma" w:cs="Tahoma" w:eastAsia="Tahoma" w:hAnsi="Tahoma"/>
          <w:sz w:val="21"/>
          <w:szCs w:val="21"/>
          <w:rtl/>
        </w:rPr>
        <w:t xml:space="preserve"> با عنوان نوع «نزد سایر بانک ها» ثبت شده است. نمونه‌برداری نشان داد این حساب‌ها وضعیت «باز» دارند و تاریخ افتتاح واقعی و پراکنده‌ای (از سال ۱۳۸۸ تا ۱۴۰۰) دارند؛ بنابراین به رکوردهای مرجع یا داده‌ی ساختگی شباهت ندارند و به احتمال زیاد حساب‌های واقعی و فعال‌اند.</w:t>
      </w:r>
    </w:p>
    <w:p>
      <w:pPr>
        <w:bidi/>
        <w:spacing w:after="160" w:line="312"/>
        <w:jc w:val="left"/>
      </w:pPr>
      <w:r>
        <w:rPr>
          <w:rFonts w:ascii="Tahoma" w:cs="Tahoma" w:eastAsia="Tahoma" w:hAnsi="Tahoma"/>
          <w:sz w:val="21"/>
          <w:szCs w:val="21"/>
          <w:rtl/>
        </w:rPr>
        <w:t xml:space="preserve">معنای کسب‌وکاری آن‌ها اما روشن نیست. دو تفسیر ممکن است: سپرده‌ی بانک نزد بانک‌های دیگر، که یک قلم </w:t>
      </w:r>
      <w:r>
        <w:rPr>
          <w:rFonts w:ascii="Tahoma" w:cs="Tahoma" w:eastAsia="Tahoma" w:hAnsi="Tahoma"/>
          <w:b/>
          <w:bCs/>
          <w:sz w:val="21"/>
          <w:szCs w:val="21"/>
          <w:rtl/>
        </w:rPr>
        <w:t xml:space="preserve">دارایی</w:t>
      </w:r>
      <w:r>
        <w:rPr>
          <w:rFonts w:ascii="Tahoma" w:cs="Tahoma" w:eastAsia="Tahoma" w:hAnsi="Tahoma"/>
          <w:sz w:val="21"/>
          <w:szCs w:val="21"/>
          <w:rtl/>
        </w:rPr>
        <w:t xml:space="preserve"> است، یا حساب مشتریانی که از بانک دیگری منتقل شده‌اند، که یک قلم </w:t>
      </w:r>
      <w:r>
        <w:rPr>
          <w:rFonts w:ascii="Tahoma" w:cs="Tahoma" w:eastAsia="Tahoma" w:hAnsi="Tahoma"/>
          <w:b/>
          <w:bCs/>
          <w:sz w:val="21"/>
          <w:szCs w:val="21"/>
          <w:rtl/>
        </w:rPr>
        <w:t xml:space="preserve">بدهی</w:t>
      </w:r>
      <w:r>
        <w:rPr>
          <w:rFonts w:ascii="Tahoma" w:cs="Tahoma" w:eastAsia="Tahoma" w:hAnsi="Tahoma"/>
          <w:sz w:val="21"/>
          <w:szCs w:val="21"/>
          <w:rtl/>
        </w:rPr>
        <w:t xml:space="preserve"> است. تفاوت این دو در طبقه‌بندی ترازنامه‌ای اساسی است.</w:t>
      </w:r>
    </w:p>
    <w:p>
      <w:pPr>
        <w:bidi/>
        <w:spacing w:after="160" w:line="312"/>
        <w:jc w:val="left"/>
      </w:pPr>
      <w:r>
        <w:rPr>
          <w:rFonts w:ascii="Tahoma" w:cs="Tahoma" w:eastAsia="Tahoma" w:hAnsi="Tahoma"/>
          <w:sz w:val="21"/>
          <w:szCs w:val="21"/>
          <w:rtl/>
        </w:rPr>
        <w:t xml:space="preserve">حجم این اقلام کوچک است و بر نتایج این فصل اثر محسوسی ندارد، اما از آنجا که تعیین‌تکلیف آن پیش‌نیاز هرگونه تطبیق با صورت‌های مالی رسمی است، در فهرست پرسش‌های فصل ۹ ثبت شده است.</w:t>
      </w:r>
    </w:p>
    <w:p>
      <w:pPr>
        <w:pBdr>
          <w:bottom w:val="single" w:color="BBBBBB" w:sz="6"/>
        </w:pBdr>
        <w:spacing w:after="100" w:before="100"/>
      </w:pPr>
    </w:p>
    <w:p>
      <w:pPr>
        <w:pStyle w:val="Heading2"/>
        <w:keepNext/>
        <w:bidi/>
        <w:spacing w:after="160" w:before="300"/>
        <w:jc w:val="left"/>
      </w:pPr>
      <w:bookmarkStart w:name="_Toc38" w:id="38"/>
      <w:r>
        <w:rPr>
          <w:rFonts w:ascii="Tahoma" w:cs="Tahoma" w:eastAsia="Tahoma" w:hAnsi="Tahoma"/>
          <w:b/>
          <w:bCs/>
          <w:color w:val="1F4E79"/>
          <w:sz w:val="28"/>
          <w:szCs w:val="28"/>
          <w:rtl/>
        </w:rPr>
        <w:t xml:space="preserve">۴.۸ جمع‌بندی فصل</w:t>
      </w:r>
      <w:bookmarkEnd w:id="38"/>
    </w:p>
    <w:p>
      <w:pPr>
        <w:pStyle w:val="Heading3"/>
        <w:keepNext/>
        <w:bidi/>
        <w:spacing w:after="160" w:before="300"/>
        <w:jc w:val="left"/>
      </w:pPr>
      <w:r>
        <w:rPr>
          <w:rFonts w:ascii="Tahoma" w:cs="Tahoma" w:eastAsia="Tahoma" w:hAnsi="Tahoma"/>
          <w:b/>
          <w:bCs/>
          <w:color w:val="1F4E79"/>
          <w:sz w:val="24"/>
          <w:szCs w:val="24"/>
          <w:rtl/>
        </w:rPr>
        <w:t xml:space="preserve">۴.۸.۱ نتایج قابل استناد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سپرده در بازه‌ی رسمی به‌صورت اسمی </w:t>
      </w:r>
      <w:r>
        <w:rPr>
          <w:rFonts w:ascii="Tahoma" w:cs="Tahoma" w:eastAsia="Tahoma" w:hAnsi="Tahoma"/>
          <w:b/>
          <w:bCs/>
          <w:sz w:val="21"/>
          <w:szCs w:val="21"/>
          <w:rtl/>
        </w:rPr>
        <w:t xml:space="preserve">۴.۵۸ برابر</w:t>
      </w:r>
      <w:r>
        <w:rPr>
          <w:rFonts w:ascii="Tahoma" w:cs="Tahoma" w:eastAsia="Tahoma" w:hAnsi="Tahoma"/>
          <w:sz w:val="21"/>
          <w:szCs w:val="21"/>
          <w:rtl/>
        </w:rPr>
        <w:t xml:space="preserve"> شده (رشد واقعی: </w:t>
      </w:r>
      <w:r>
        <w:rPr>
          <w:rFonts w:ascii="Tahoma" w:cs="Tahoma" w:eastAsia="Tahoma" w:hAnsi="Tahoma"/>
          <w:b/>
          <w:bCs/>
          <w:sz w:val="21"/>
          <w:szCs w:val="21"/>
          <w:rtl/>
        </w:rPr>
        <w:t xml:space="preserve">۱.۱۰ برابر</w:t>
      </w:r>
      <w:r>
        <w:rPr>
          <w:rFonts w:ascii="Tahoma" w:cs="Tahoma" w:eastAsia="Tahoma" w:hAnsi="Tahoma"/>
          <w:sz w:val="21"/>
          <w:szCs w:val="21"/>
          <w:rtl/>
        </w:rPr>
        <w:t xml:space="preserve">) و به </w:t>
      </w:r>
      <w:r>
        <w:rPr>
          <w:rFonts w:ascii="Tahoma" w:cs="Tahoma" w:eastAsia="Tahoma" w:hAnsi="Tahoma"/>
          <w:b/>
          <w:bCs/>
          <w:sz w:val="21"/>
          <w:szCs w:val="21"/>
          <w:rtl/>
        </w:rPr>
        <w:t xml:space="preserve">۸۴.۸ هزار میلیارد تومان</w:t>
      </w:r>
      <w:r>
        <w:rPr>
          <w:rFonts w:ascii="Tahoma" w:cs="Tahoma" w:eastAsia="Tahoma" w:hAnsi="Tahoma"/>
          <w:sz w:val="21"/>
          <w:szCs w:val="21"/>
          <w:rtl/>
        </w:rPr>
        <w:t xml:space="preserve"> رسیده است.</w:t>
      </w:r>
    </w:p>
    <w:p>
      <w:pPr>
        <w:bidi/>
        <w:spacing w:after="160" w:line="312"/>
        <w:jc w:val="left"/>
      </w:pPr>
      <w:r>
        <w:rPr>
          <w:rFonts w:ascii="Tahoma" w:cs="Tahoma" w:eastAsia="Tahoma" w:hAnsi="Tahoma"/>
          <w:sz w:val="21"/>
          <w:szCs w:val="21"/>
          <w:rtl/>
        </w:rPr>
        <w:t xml:space="preserve">این رشد </w:t>
      </w:r>
      <w:r>
        <w:rPr>
          <w:rFonts w:ascii="Tahoma" w:cs="Tahoma" w:eastAsia="Tahoma" w:hAnsi="Tahoma"/>
          <w:b/>
          <w:bCs/>
          <w:sz w:val="21"/>
          <w:szCs w:val="21"/>
          <w:rtl/>
        </w:rPr>
        <w:t xml:space="preserve">اسمی</w:t>
      </w:r>
      <w:r>
        <w:rPr>
          <w:rFonts w:ascii="Tahoma" w:cs="Tahoma" w:eastAsia="Tahoma" w:hAnsi="Tahoma"/>
          <w:sz w:val="21"/>
          <w:szCs w:val="21"/>
          <w:rtl/>
        </w:rPr>
        <w:t xml:space="preserve"> است و با عنایت به تورم دوره، به احتمال زیاد معادل کاهش قدرت خرید واقعی منابع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ساختار بازار به‌شدت نامتقارن است: </w:t>
      </w:r>
      <w:r>
        <w:rPr>
          <w:rFonts w:ascii="Tahoma" w:cs="Tahoma" w:eastAsia="Tahoma" w:hAnsi="Tahoma"/>
          <w:b/>
          <w:bCs/>
          <w:sz w:val="21"/>
          <w:szCs w:val="21"/>
          <w:rtl/>
        </w:rPr>
        <w:t xml:space="preserve">۱.۲۳ درصد مشتریان ۸۰.۱۵ درصد منابع</w:t>
      </w:r>
      <w:r>
        <w:rPr>
          <w:rFonts w:ascii="Tahoma" w:cs="Tahoma" w:eastAsia="Tahoma" w:hAnsi="Tahoma"/>
          <w:sz w:val="21"/>
          <w:szCs w:val="21"/>
          <w:rtl/>
        </w:rPr>
        <w:t xml:space="preserve"> و **۴۱.۷۱ درصد</w:t>
      </w:r>
    </w:p>
    <w:p>
      <w:pPr>
        <w:bidi/>
        <w:spacing w:after="160" w:line="312"/>
        <w:jc w:val="left"/>
      </w:pPr>
      <w:r>
        <w:rPr>
          <w:rFonts w:ascii="Tahoma" w:cs="Tahoma" w:eastAsia="Tahoma" w:hAnsi="Tahoma"/>
          <w:sz w:val="21"/>
          <w:szCs w:val="21"/>
          <w:rtl/>
        </w:rPr>
        <w:t xml:space="preserve">مشتریان تنها ۰.۰۴ درصد منابع** را در اختیار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۳۰.۷ درصد منابع بانک هیچ هزینه‌ی سودی ندارد</w:t>
      </w:r>
      <w:r>
        <w:rPr>
          <w:rFonts w:ascii="Tahoma" w:cs="Tahoma" w:eastAsia="Tahoma" w:hAnsi="Tahoma"/>
          <w:sz w:val="21"/>
          <w:szCs w:val="21"/>
          <w:rtl/>
        </w:rPr>
        <w:t xml:space="preserve"> (قرض‌الحسنه و جاری). این مزیت ساختاری</w:t>
      </w:r>
    </w:p>
    <w:p>
      <w:pPr>
        <w:bidi/>
        <w:spacing w:after="160" w:line="312"/>
        <w:jc w:val="left"/>
      </w:pPr>
      <w:r>
        <w:rPr>
          <w:rFonts w:ascii="Tahoma" w:cs="Tahoma" w:eastAsia="Tahoma" w:hAnsi="Tahoma"/>
          <w:sz w:val="21"/>
          <w:szCs w:val="21"/>
          <w:rtl/>
        </w:rPr>
        <w:t xml:space="preserve">مستقیماً در محاسبات فصل ۸ وارد می‌شود.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سپرده‌ی بلندمدت با </w:t>
      </w:r>
      <w:r>
        <w:rPr>
          <w:rFonts w:ascii="Tahoma" w:cs="Tahoma" w:eastAsia="Tahoma" w:hAnsi="Tahoma"/>
          <w:b/>
          <w:bCs/>
          <w:sz w:val="21"/>
          <w:szCs w:val="21"/>
          <w:rtl/>
        </w:rPr>
        <w:t xml:space="preserve">۲.۲ درصد حساب‌ها، ۳۷.۳ درصد منابع</w:t>
      </w:r>
      <w:r>
        <w:rPr>
          <w:rFonts w:ascii="Tahoma" w:cs="Tahoma" w:eastAsia="Tahoma" w:hAnsi="Tahoma"/>
          <w:sz w:val="21"/>
          <w:szCs w:val="21"/>
          <w:rtl/>
        </w:rPr>
        <w:t xml:space="preserve"> را در بر می‌گیرد؛ گران‌ترین و</w:t>
      </w:r>
    </w:p>
    <w:p>
      <w:pPr>
        <w:bidi/>
        <w:spacing w:after="160" w:line="312"/>
        <w:jc w:val="left"/>
      </w:pPr>
      <w:r>
        <w:rPr>
          <w:rFonts w:ascii="Tahoma" w:cs="Tahoma" w:eastAsia="Tahoma" w:hAnsi="Tahoma"/>
          <w:sz w:val="21"/>
          <w:szCs w:val="21"/>
          <w:rtl/>
        </w:rPr>
        <w:t xml:space="preserve">متمرکزترین منبع بانک.</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بازار هدف داخلی قابل‌اقدام، </w:t>
      </w:r>
      <w:r>
        <w:rPr>
          <w:rFonts w:ascii="Tahoma" w:cs="Tahoma" w:eastAsia="Tahoma" w:hAnsi="Tahoma"/>
          <w:b/>
          <w:bCs/>
          <w:sz w:val="21"/>
          <w:szCs w:val="21"/>
          <w:rtl/>
        </w:rPr>
        <w:t xml:space="preserve">۱۵۳,۱۰۳ مشتری بازه‌ی میانی</w:t>
      </w:r>
      <w:r>
        <w:rPr>
          <w:rFonts w:ascii="Tahoma" w:cs="Tahoma" w:eastAsia="Tahoma" w:hAnsi="Tahoma"/>
          <w:sz w:val="21"/>
          <w:szCs w:val="21"/>
          <w:rtl/>
        </w:rPr>
        <w:t xml:space="preserve"> (۱۰ میلیون تا ۱ میلیارد تومان)</w:t>
      </w:r>
    </w:p>
    <w:p>
      <w:pPr>
        <w:bidi/>
        <w:spacing w:after="160" w:line="312"/>
        <w:jc w:val="left"/>
      </w:pPr>
      <w:r>
        <w:rPr>
          <w:rFonts w:ascii="Tahoma" w:cs="Tahoma" w:eastAsia="Tahoma" w:hAnsi="Tahoma"/>
          <w:sz w:val="21"/>
          <w:szCs w:val="21"/>
          <w:rtl/>
        </w:rPr>
        <w:t xml:space="preserve">است و نه کل جمعیت فاقد رابطه‌ی اعتباری.</w:t>
      </w:r>
    </w:p>
    <w:p>
      <w:pPr>
        <w:pStyle w:val="Heading3"/>
        <w:keepNext/>
        <w:bidi/>
        <w:spacing w:after="160" w:before="300"/>
        <w:jc w:val="left"/>
      </w:pPr>
      <w:r>
        <w:rPr>
          <w:rFonts w:ascii="Tahoma" w:cs="Tahoma" w:eastAsia="Tahoma" w:hAnsi="Tahoma"/>
          <w:b/>
          <w:bCs/>
          <w:color w:val="1F4E79"/>
          <w:sz w:val="24"/>
          <w:szCs w:val="24"/>
          <w:rtl/>
        </w:rPr>
        <w:t xml:space="preserve">۴.۸.۲ موضوعات باز و ارقام مشروط</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تعریف ستون میانگین مانده — قید بنیادی کل فصل (بخش ۴.۶).</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نوع واقعی </w:t>
      </w:r>
      <w:r>
        <w:rPr>
          <w:rFonts w:ascii="Tahoma" w:cs="Tahoma" w:eastAsia="Tahoma" w:hAnsi="Tahoma"/>
          <w:b/>
          <w:bCs/>
          <w:sz w:val="21"/>
          <w:szCs w:val="21"/>
          <w:rtl/>
        </w:rPr>
        <w:t xml:space="preserve">۸۴۸,۵۵۳ حساب نامشخص</w:t>
      </w:r>
      <w:r>
        <w:rPr>
          <w:rFonts w:ascii="Tahoma" w:cs="Tahoma" w:eastAsia="Tahoma" w:hAnsi="Tahoma"/>
          <w:sz w:val="21"/>
          <w:szCs w:val="21"/>
          <w:rtl/>
        </w:rPr>
        <w:t xml:space="preserve"> با ۱۰ هزار میلیارد تومان منابع.</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شدت واقعی نوسان منابع: رقم منتشرشده‌ی ۶۲.۱۹ درصد با روشی محاسبه شده که آن را بیش از دو</w:t>
      </w:r>
    </w:p>
    <w:p>
      <w:pPr>
        <w:bidi/>
        <w:spacing w:after="160" w:line="312"/>
        <w:jc w:val="left"/>
      </w:pPr>
      <w:r>
        <w:rPr>
          <w:rFonts w:ascii="Tahoma" w:cs="Tahoma" w:eastAsia="Tahoma" w:hAnsi="Tahoma"/>
          <w:sz w:val="21"/>
          <w:szCs w:val="21"/>
          <w:rtl/>
        </w:rPr>
        <w:t xml:space="preserve">برابر نشان می‌دهد؛ برآورد اصلاح‌شده حدود </w:t>
      </w:r>
      <w:r>
        <w:rPr>
          <w:rFonts w:ascii="Tahoma" w:cs="Tahoma" w:eastAsia="Tahoma" w:hAnsi="Tahoma"/>
          <w:b/>
          <w:bCs/>
          <w:sz w:val="21"/>
          <w:szCs w:val="21"/>
          <w:rtl/>
        </w:rPr>
        <w:t xml:space="preserve">۳۰ درصد</w:t>
      </w:r>
      <w:r>
        <w:rPr>
          <w:rFonts w:ascii="Tahoma" w:cs="Tahoma" w:eastAsia="Tahoma" w:hAnsi="Tahoma"/>
          <w:sz w:val="21"/>
          <w:szCs w:val="21"/>
          <w:rtl/>
        </w:rPr>
        <w:t xml:space="preserve"> است (بخش ۴.۵.۳ و ۴.۵.۴). نیازمند بازمحاسبه‌ی کامل با اولویت بالا.</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نرخ‌های سود مؤثر جدول ۴-۴ حدود ۲.۷ برابر متورم‌اند و صرفاً کران بالا محسوب می‌شوند.</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ماهیت ترازنامه‌ای ۱,۱۰۰ حساب «نزد سایر بانک‌ها».</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39" w:id="39"/>
      <w:r>
        <w:rPr>
          <w:rFonts w:ascii="Tahoma" w:cs="Tahoma" w:eastAsia="Tahoma" w:hAnsi="Tahoma"/>
          <w:b/>
          <w:bCs/>
          <w:color w:val="1F4E79"/>
          <w:sz w:val="34"/>
          <w:szCs w:val="34"/>
          <w:rtl/>
        </w:rPr>
        <w:t xml:space="preserve">فصل ۵ — بازار تسهیلات</w:t>
      </w:r>
      <w:bookmarkEnd w:id="39"/>
    </w:p>
    <w:p>
      <w:pPr>
        <w:pStyle w:val="Heading2"/>
        <w:keepNext/>
        <w:bidi/>
        <w:spacing w:after="160" w:before="300"/>
        <w:jc w:val="left"/>
      </w:pPr>
      <w:bookmarkStart w:name="_Toc40" w:id="40"/>
      <w:r>
        <w:rPr>
          <w:rFonts w:ascii="Tahoma" w:cs="Tahoma" w:eastAsia="Tahoma" w:hAnsi="Tahoma"/>
          <w:b/>
          <w:bCs/>
          <w:color w:val="1F4E79"/>
          <w:sz w:val="28"/>
          <w:szCs w:val="28"/>
          <w:rtl/>
        </w:rPr>
        <w:t xml:space="preserve">۵.۰ هدف، مبنا و ساختار فصل</w:t>
      </w:r>
      <w:bookmarkEnd w:id="40"/>
    </w:p>
    <w:p>
      <w:pPr>
        <w:pStyle w:val="Heading3"/>
        <w:keepNext/>
        <w:bidi/>
        <w:spacing w:after="160" w:before="300"/>
        <w:jc w:val="left"/>
      </w:pPr>
      <w:r>
        <w:rPr>
          <w:rFonts w:ascii="Tahoma" w:cs="Tahoma" w:eastAsia="Tahoma" w:hAnsi="Tahoma"/>
          <w:b/>
          <w:bCs/>
          <w:color w:val="1F4E79"/>
          <w:sz w:val="24"/>
          <w:szCs w:val="24"/>
          <w:rtl/>
        </w:rPr>
        <w:t xml:space="preserve">۵.۰.۱ هدف</w:t>
      </w:r>
    </w:p>
    <w:p>
      <w:pPr>
        <w:bidi/>
        <w:spacing w:after="160" w:line="312"/>
        <w:jc w:val="left"/>
      </w:pPr>
      <w:r>
        <w:rPr>
          <w:rFonts w:ascii="Tahoma" w:cs="Tahoma" w:eastAsia="Tahoma" w:hAnsi="Tahoma"/>
          <w:sz w:val="21"/>
          <w:szCs w:val="21"/>
          <w:rtl/>
        </w:rPr>
        <w:t xml:space="preserve">این فصل به تشریح سمت دارایی ترازنامه‌ی بانک اختصاص دارد. پرسش‌های راهنمای آن عبارت‌اند از: پرتفوی تسهیلات با چه سرعتی و در چه ترکیبی رشد کرده است، این پرتفوی از منظر محصول، بخش اقتصادی، اندازه و سررسید چه ساختاری دارد، بازده قراردادی آن چقدر است، و در برابر آن چه میزان وثیقه اخذ شده است.</w:t>
      </w:r>
    </w:p>
    <w:p>
      <w:pPr>
        <w:bidi/>
        <w:spacing w:after="160" w:line="312"/>
        <w:jc w:val="left"/>
      </w:pPr>
      <w:r>
        <w:rPr>
          <w:rFonts w:ascii="Tahoma" w:cs="Tahoma" w:eastAsia="Tahoma" w:hAnsi="Tahoma"/>
          <w:sz w:val="21"/>
          <w:szCs w:val="21"/>
          <w:rtl/>
        </w:rPr>
        <w:t xml:space="preserve">تحلیل کیفیت این دارایی‌ها — یعنی مطالبات غیرجاری، تمرکز ریسک و روند وخامت — عامدانه به فصل ۶ موکول شده است. تفکیک این دو فصل از آن روست که فصل حاضر </w:t>
      </w:r>
      <w:r>
        <w:rPr>
          <w:rFonts w:ascii="Tahoma" w:cs="Tahoma" w:eastAsia="Tahoma" w:hAnsi="Tahoma"/>
          <w:b/>
          <w:bCs/>
          <w:sz w:val="21"/>
          <w:szCs w:val="21"/>
          <w:rtl/>
        </w:rPr>
        <w:t xml:space="preserve">ساختار بازار</w:t>
      </w:r>
      <w:r>
        <w:rPr>
          <w:rFonts w:ascii="Tahoma" w:cs="Tahoma" w:eastAsia="Tahoma" w:hAnsi="Tahoma"/>
          <w:sz w:val="21"/>
          <w:szCs w:val="21"/>
          <w:rtl/>
        </w:rPr>
        <w:t xml:space="preserve"> را توصیف می‌کند و فصل بعد </w:t>
      </w:r>
      <w:r>
        <w:rPr>
          <w:rFonts w:ascii="Tahoma" w:cs="Tahoma" w:eastAsia="Tahoma" w:hAnsi="Tahoma"/>
          <w:b/>
          <w:bCs/>
          <w:sz w:val="21"/>
          <w:szCs w:val="21"/>
          <w:rtl/>
        </w:rPr>
        <w:t xml:space="preserve">ریسک مترتب بر آن ساختار</w:t>
      </w:r>
      <w:r>
        <w:rPr>
          <w:rFonts w:ascii="Tahoma" w:cs="Tahoma" w:eastAsia="Tahoma" w:hAnsi="Tahoma"/>
          <w:sz w:val="21"/>
          <w:szCs w:val="21"/>
          <w:rtl/>
        </w:rPr>
        <w:t xml:space="preserve"> را می‌سنجد. با این حال، در مواردی که یافته‌ای از جنس ساختار مستقیماً به یافته‌ای از جنس ریسک راه می‌برد، ارجاع متقابل داده شده است.</w:t>
      </w:r>
    </w:p>
    <w:p>
      <w:pPr>
        <w:pStyle w:val="Heading3"/>
        <w:keepNext/>
        <w:bidi/>
        <w:spacing w:after="160" w:before="300"/>
        <w:jc w:val="left"/>
      </w:pPr>
      <w:r>
        <w:rPr>
          <w:rFonts w:ascii="Tahoma" w:cs="Tahoma" w:eastAsia="Tahoma" w:hAnsi="Tahoma"/>
          <w:b/>
          <w:bCs/>
          <w:color w:val="1F4E79"/>
          <w:sz w:val="24"/>
          <w:szCs w:val="24"/>
          <w:rtl/>
        </w:rPr>
        <w:t xml:space="preserve">۵.۰.۲ مبنای محاسبه و تفکیک آن</w:t>
      </w:r>
    </w:p>
    <w:p>
      <w:pPr>
        <w:bidi/>
        <w:spacing w:after="160" w:line="312"/>
        <w:jc w:val="left"/>
      </w:pPr>
      <w:r>
        <w:rPr>
          <w:rFonts w:ascii="Tahoma" w:cs="Tahoma" w:eastAsia="Tahoma" w:hAnsi="Tahoma"/>
          <w:sz w:val="21"/>
          <w:szCs w:val="21"/>
          <w:rtl/>
        </w:rPr>
        <w:t xml:space="preserve">برخلاف فصل ۴ که تماماً بر یک مبنای واحد استوار بود، این فصل از </w:t>
      </w:r>
      <w:r>
        <w:rPr>
          <w:rFonts w:ascii="Tahoma" w:cs="Tahoma" w:eastAsia="Tahoma" w:hAnsi="Tahoma"/>
          <w:b/>
          <w:bCs/>
          <w:sz w:val="21"/>
          <w:szCs w:val="21"/>
          <w:rtl/>
        </w:rPr>
        <w:t xml:space="preserve">سه مبنای متمایز</w:t>
      </w:r>
      <w:r>
        <w:rPr>
          <w:rFonts w:ascii="Tahoma" w:cs="Tahoma" w:eastAsia="Tahoma" w:hAnsi="Tahoma"/>
          <w:sz w:val="21"/>
          <w:szCs w:val="21"/>
          <w:rtl/>
        </w:rPr>
        <w:t xml:space="preserve"> استفاده می‌کند. تفکیک دقیق میان آن‌ها برای جلوگیری از مقایسه‌های نادرست ضروری است.</w:t>
      </w:r>
    </w:p>
    <w:p>
      <w:pPr>
        <w:keepNext/>
        <w:bidi/>
        <w:spacing w:after="100" w:before="200"/>
        <w:jc w:val="left"/>
      </w:pPr>
      <w:r>
        <w:rPr>
          <w:rFonts w:ascii="Tahoma" w:cs="Tahoma" w:eastAsia="Tahoma" w:hAnsi="Tahoma"/>
          <w:b/>
          <w:bCs/>
          <w:sz w:val="21"/>
          <w:szCs w:val="21"/>
          <w:rtl/>
        </w:rPr>
        <w:t xml:space="preserve">جدول ۵-۱: مبناهای محاسباتی این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5"/>
        <w:gridCol w:w="2438"/>
        <w:gridCol w:w="2205"/>
        <w:gridCol w:w="2502"/>
      </w:tblGrid>
      <w:tr>
        <w:trPr>
          <w:cantSplit/>
          <w:tblHeader/>
        </w:trPr>
        <w:tc>
          <w:tcPr>
            <w:tcW w:type="dxa" w:w="22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4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2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پوشش</w:t>
            </w:r>
          </w:p>
        </w:tc>
        <w:tc>
          <w:tcPr>
            <w:tcW w:type="dxa" w:w="25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تحلیل‌های متکی بر آن</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 مانده‌ی کل پرتفوی</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 هزار میلیارد تومان</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 پرتفوی</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رشد سالانه، نسبت تسهیلات به سپرده، ترکیب بخش اقتصادی، ترکیب محصولی با سطل نامشخص</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 پرتفوی شناخته‌شده</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 هزار میلیارد تومان (۷۷.۶۰٪)</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 محصولی تفصیلی، نرخ سود مؤثر، پوشش وثیقه، توزیع اندازه</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اعطا</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۲۰۵.۷ هزار میلیارد تومان</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تجمعی مبالغ اعطاشده</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اندازه‌ی تسهیلات، نرخ سود مؤثر، پوشش وثیقه</w:t>
            </w:r>
          </w:p>
        </w:tc>
      </w:tr>
    </w:tbl>
    <w:p>
      <w:pPr>
        <w:spacing w:after="200"/>
      </w:pPr>
    </w:p>
    <w:p>
      <w:pPr>
        <w:bidi/>
        <w:spacing w:after="160" w:line="312"/>
        <w:jc w:val="left"/>
      </w:pPr>
      <w:r>
        <w:rPr>
          <w:rFonts w:ascii="Tahoma" w:cs="Tahoma" w:eastAsia="Tahoma" w:hAnsi="Tahoma"/>
          <w:b/>
          <w:bCs/>
          <w:sz w:val="21"/>
          <w:szCs w:val="21"/>
          <w:rtl/>
        </w:rPr>
        <w:t xml:space="preserve">تذکر روش‌شناختی درباره‌ی مبنای سوم.</w:t>
      </w:r>
      <w:r>
        <w:rPr>
          <w:rFonts w:ascii="Tahoma" w:cs="Tahoma" w:eastAsia="Tahoma" w:hAnsi="Tahoma"/>
          <w:sz w:val="21"/>
          <w:szCs w:val="21"/>
          <w:rtl/>
        </w:rPr>
        <w:t xml:space="preserve"> رقم ۲۰۵.۷ هزار میلیارد تومان مجموع </w:t>
      </w:r>
      <w:r>
        <w:rPr>
          <w:rFonts w:ascii="Tahoma" w:cs="Tahoma" w:eastAsia="Tahoma" w:hAnsi="Tahoma"/>
          <w:b/>
          <w:bCs/>
          <w:sz w:val="21"/>
          <w:szCs w:val="21"/>
          <w:rtl/>
        </w:rPr>
        <w:t xml:space="preserve">مبالغ اعطاشده در طول تمام دوره</w:t>
      </w:r>
      <w:r>
        <w:rPr>
          <w:rFonts w:ascii="Tahoma" w:cs="Tahoma" w:eastAsia="Tahoma" w:hAnsi="Tahoma"/>
          <w:sz w:val="21"/>
          <w:szCs w:val="21"/>
          <w:rtl/>
        </w:rPr>
        <w:t xml:space="preserve"> است و نه مانده‌ی فعلی. این دو مفهوم را نباید با یکدیگر خلط کرد: نخستی جریان تجمعی اعطای تسهیلات را نشان می‌دهد و دومی موجودی باقی‌مانده در یک مقطع را. فاصله‌ی میان ۲,۰۵۷.۰ و ۹۹۴.۵ عمدتاً ناشی از بازپرداخت اقساط در طول دوره است و به‌هیچ‌وجه نشانه‌ی ناسازگاری داده نیست.</w:t>
      </w:r>
    </w:p>
    <w:p>
      <w:pPr>
        <w:bidi/>
        <w:spacing w:after="160" w:line="312"/>
        <w:jc w:val="left"/>
      </w:pPr>
      <w:r>
        <w:rPr>
          <w:rFonts w:ascii="Tahoma" w:cs="Tahoma" w:eastAsia="Tahoma" w:hAnsi="Tahoma"/>
          <w:sz w:val="21"/>
          <w:szCs w:val="21"/>
          <w:rtl/>
        </w:rPr>
        <w:t xml:space="preserve">هر جدول در ادامه‌ی این فصل، مبنای خود را صریحاً در عنوان یا زیرنویس ذکر می‌کند.</w:t>
      </w:r>
    </w:p>
    <w:p>
      <w:pPr>
        <w:pBdr>
          <w:bottom w:val="single" w:color="BBBBBB" w:sz="6"/>
        </w:pBdr>
        <w:spacing w:after="100" w:before="100"/>
      </w:pPr>
    </w:p>
    <w:p>
      <w:pPr>
        <w:pStyle w:val="Heading2"/>
        <w:keepNext/>
        <w:bidi/>
        <w:spacing w:after="160" w:before="300"/>
        <w:jc w:val="left"/>
      </w:pPr>
      <w:bookmarkStart w:name="_Toc41" w:id="41"/>
      <w:r>
        <w:rPr>
          <w:rFonts w:ascii="Tahoma" w:cs="Tahoma" w:eastAsia="Tahoma" w:hAnsi="Tahoma"/>
          <w:b/>
          <w:bCs/>
          <w:color w:val="1F4E79"/>
          <w:sz w:val="28"/>
          <w:szCs w:val="28"/>
          <w:rtl/>
        </w:rPr>
        <w:t xml:space="preserve">۵.۱ روند مانده و رشد پرتفوی</w:t>
      </w:r>
      <w:bookmarkEnd w:id="41"/>
    </w:p>
    <w:p>
      <w:pPr>
        <w:pStyle w:val="Heading3"/>
        <w:keepNext/>
        <w:bidi/>
        <w:spacing w:after="160" w:before="300"/>
        <w:jc w:val="left"/>
      </w:pPr>
      <w:r>
        <w:rPr>
          <w:rFonts w:ascii="Tahoma" w:cs="Tahoma" w:eastAsia="Tahoma" w:hAnsi="Tahoma"/>
          <w:b/>
          <w:bCs/>
          <w:color w:val="1F4E79"/>
          <w:sz w:val="24"/>
          <w:szCs w:val="24"/>
          <w:rtl/>
        </w:rPr>
        <w:t xml:space="preserve">۵.۱.۱ تصویر کلان</w:t>
      </w:r>
    </w:p>
    <w:p>
      <w:pPr>
        <w:keepNext/>
        <w:bidi/>
        <w:spacing w:after="100" w:before="200"/>
        <w:jc w:val="left"/>
      </w:pPr>
      <w:r>
        <w:rPr>
          <w:rFonts w:ascii="Tahoma" w:cs="Tahoma" w:eastAsia="Tahoma" w:hAnsi="Tahoma"/>
          <w:b/>
          <w:bCs/>
          <w:sz w:val="21"/>
          <w:szCs w:val="21"/>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39"/>
        <w:gridCol w:w="3564"/>
        <w:gridCol w:w="3147"/>
      </w:tblGrid>
      <w:tr>
        <w:trPr>
          <w:cantSplit/>
          <w:tblHeader/>
        </w:trPr>
        <w:tc>
          <w:tcPr>
            <w:tcW w:type="dxa" w:w="26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31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به ابتدای دوره</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مبنا</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 برابر</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 برابر</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۶.۱۰ برابر</w:t>
            </w:r>
          </w:p>
        </w:tc>
      </w:tr>
    </w:tbl>
    <w:p>
      <w:pPr>
        <w:spacing w:after="200"/>
      </w:pPr>
    </w:p>
    <w:p>
      <w:pPr>
        <w:bidi/>
        <w:spacing w:after="160" w:line="312"/>
        <w:jc w:val="left"/>
      </w:pPr>
      <w:r>
        <w:rPr>
          <w:rFonts w:ascii="Tahoma" w:cs="Tahoma" w:eastAsia="Tahoma" w:hAnsi="Tahoma"/>
          <w:sz w:val="21"/>
          <w:szCs w:val="21"/>
          <w:rtl/>
        </w:rPr>
        <w:t xml:space="preserve">پرتفوی تسهیلات در بازه‌ی شصت‌ماهه‌ی رسمی گزارش به‌صورت اسمی </w:t>
      </w:r>
      <w:r>
        <w:rPr>
          <w:rFonts w:ascii="Tahoma" w:cs="Tahoma" w:eastAsia="Tahoma" w:hAnsi="Tahoma"/>
          <w:b/>
          <w:bCs/>
          <w:sz w:val="21"/>
          <w:szCs w:val="21"/>
          <w:rtl/>
        </w:rPr>
        <w:t xml:space="preserve">۶.۱۰ برابر</w:t>
      </w:r>
      <w:r>
        <w:rPr>
          <w:rFonts w:ascii="Tahoma" w:cs="Tahoma" w:eastAsia="Tahoma" w:hAnsi="Tahoma"/>
          <w:sz w:val="21"/>
          <w:szCs w:val="21"/>
          <w:rtl/>
        </w:rPr>
        <w:t xml:space="preserve"> شده است (با احتساب تورم، این معادل </w:t>
      </w:r>
      <w:r>
        <w:rPr>
          <w:rFonts w:ascii="Tahoma" w:cs="Tahoma" w:eastAsia="Tahoma" w:hAnsi="Tahoma"/>
          <w:b/>
          <w:bCs/>
          <w:sz w:val="21"/>
          <w:szCs w:val="21"/>
          <w:rtl/>
        </w:rPr>
        <w:t xml:space="preserve">۱.۴۶ برابر</w:t>
      </w:r>
      <w:r>
        <w:rPr>
          <w:rFonts w:ascii="Tahoma" w:cs="Tahoma" w:eastAsia="Tahoma" w:hAnsi="Tahoma"/>
          <w:sz w:val="21"/>
          <w:szCs w:val="21"/>
          <w:rtl/>
        </w:rPr>
        <w:t xml:space="preserve"> یا </w:t>
      </w:r>
      <w:r>
        <w:rPr>
          <w:rFonts w:ascii="Tahoma" w:cs="Tahoma" w:eastAsia="Tahoma" w:hAnsi="Tahoma"/>
          <w:b/>
          <w:bCs/>
          <w:sz w:val="21"/>
          <w:szCs w:val="21"/>
          <w:rtl/>
        </w:rPr>
        <w:t xml:space="preserve">+۴۶.۱٪</w:t>
      </w:r>
      <w:r>
        <w:rPr>
          <w:rFonts w:ascii="Tahoma" w:cs="Tahoma" w:eastAsia="Tahoma" w:hAnsi="Tahoma"/>
          <w:sz w:val="21"/>
          <w:szCs w:val="21"/>
          <w:rtl/>
        </w:rPr>
        <w:t xml:space="preserve"> رشد واقعی است). این رقم را باید در کنار رشد </w:t>
      </w:r>
      <w:r>
        <w:rPr>
          <w:rFonts w:ascii="Tahoma" w:cs="Tahoma" w:eastAsia="Tahoma" w:hAnsi="Tahoma"/>
          <w:b/>
          <w:bCs/>
          <w:sz w:val="21"/>
          <w:szCs w:val="21"/>
          <w:rtl/>
        </w:rPr>
        <w:t xml:space="preserve">۴.۵۸ برابری</w:t>
      </w:r>
      <w:r>
        <w:rPr>
          <w:rFonts w:ascii="Tahoma" w:cs="Tahoma" w:eastAsia="Tahoma" w:hAnsi="Tahoma"/>
          <w:sz w:val="21"/>
          <w:szCs w:val="21"/>
          <w:rtl/>
        </w:rPr>
        <w:t xml:space="preserve"> منابع در همان بازه (بخش ۴.۱.۱) قرائت کرد؛ تفاوت این دو ضریب، موضوع اصلی بخش ۵.۲ است.</w:t>
      </w:r>
    </w:p>
    <w:p>
      <w:pPr>
        <w:pStyle w:val="Heading3"/>
        <w:keepNext/>
        <w:bidi/>
        <w:spacing w:after="160" w:before="300"/>
        <w:jc w:val="left"/>
      </w:pPr>
      <w:r>
        <w:rPr>
          <w:rFonts w:ascii="Tahoma" w:cs="Tahoma" w:eastAsia="Tahoma" w:hAnsi="Tahoma"/>
          <w:b/>
          <w:bCs/>
          <w:color w:val="1F4E79"/>
          <w:sz w:val="24"/>
          <w:szCs w:val="24"/>
          <w:rtl/>
        </w:rPr>
        <w:t xml:space="preserve">۵.۱.۲ رشد سالانه و مقایسه‌ی آن با رشد منابع</w:t>
      </w:r>
    </w:p>
    <w:p>
      <w:pPr>
        <w:bidi/>
        <w:spacing w:after="160" w:line="312"/>
        <w:jc w:val="left"/>
      </w:pPr>
      <w:r>
        <w:rPr>
          <w:rFonts w:ascii="Tahoma" w:cs="Tahoma" w:eastAsia="Tahoma" w:hAnsi="Tahoma"/>
          <w:sz w:val="21"/>
          <w:szCs w:val="21"/>
          <w:rtl/>
        </w:rPr>
        <w:t xml:space="preserve">جدول ۵-۳ نرخ رشد سالانه‌ی دو سمت ترازنامه را در کنار یکدیگر قرار می‌دهد. ستون آخر، شکاف میان این دو را برحسب واحد درصد نشان می‌دهد.</w:t>
      </w:r>
    </w:p>
    <w:p>
      <w:pPr>
        <w:keepNext/>
        <w:bidi/>
        <w:spacing w:after="100" w:before="200"/>
        <w:jc w:val="left"/>
      </w:pPr>
      <w:r>
        <w:rPr>
          <w:rFonts w:ascii="Tahoma" w:cs="Tahoma" w:eastAsia="Tahoma" w:hAnsi="Tahoma"/>
          <w:b/>
          <w:bCs/>
          <w:sz w:val="21"/>
          <w:szCs w:val="21"/>
          <w:rtl/>
        </w:rPr>
        <w:t xml:space="preserve">جدول ۵-۳: مقایسه‌ی رشد سالانه‌ی تسهیلات و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8"/>
        <w:gridCol w:w="2632"/>
        <w:gridCol w:w="1690"/>
        <w:gridCol w:w="1572"/>
        <w:gridCol w:w="1948"/>
      </w:tblGrid>
      <w:tr>
        <w:trPr>
          <w:cantSplit/>
          <w:tblHeader/>
        </w:trPr>
        <w:tc>
          <w:tcPr>
            <w:tcW w:type="dxa" w:w="15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26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 (هزار میلیارد تومان)</w:t>
            </w:r>
          </w:p>
        </w:tc>
        <w:tc>
          <w:tcPr>
            <w:tcW w:type="dxa" w:w="16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w:t>
            </w:r>
          </w:p>
        </w:tc>
        <w:tc>
          <w:tcPr>
            <w:tcW w:type="dxa" w:w="15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سپرده</w:t>
            </w:r>
          </w:p>
        </w:tc>
        <w:tc>
          <w:tcPr>
            <w:tcW w:type="dxa" w:w="19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شکاف (واحد درصد)</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۳۱.۷</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۳۳.۵٪</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۶۰.۹</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۴۴.۰٪</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۱۰.۶+</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۱۱.۸+</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الگوی این جدول در سه مرحله قابل تفکیک است.</w:t>
      </w:r>
    </w:p>
    <w:p>
      <w:pPr>
        <w:bidi/>
        <w:spacing w:after="160" w:line="312"/>
        <w:jc w:val="left"/>
      </w:pPr>
      <w:r>
        <w:rPr>
          <w:rFonts w:ascii="Tahoma" w:cs="Tahoma" w:eastAsia="Tahoma" w:hAnsi="Tahoma"/>
          <w:sz w:val="21"/>
          <w:szCs w:val="21"/>
          <w:rtl/>
        </w:rPr>
        <w:t xml:space="preserve">در سال‌های ۱۴۰۱ و ۱۴۰۲، دو سمت ترازنامه تقریباً هم‌گام رشد کرده‌اند؛ شکاف در هر دو سال کمتر از دو واحد درصد و در سال ۱۴۰۲ حتی اندکی منفی است. در این مرحله، گسترش تسهیلات عمدتاً از محل رشد منابع تأمین می‌شده است.</w:t>
      </w:r>
    </w:p>
    <w:p>
      <w:pPr>
        <w:bidi/>
        <w:spacing w:after="160" w:line="312"/>
        <w:jc w:val="left"/>
      </w:pPr>
      <w:r>
        <w:rPr>
          <w:rFonts w:ascii="Tahoma" w:cs="Tahoma" w:eastAsia="Tahoma" w:hAnsi="Tahoma"/>
          <w:sz w:val="21"/>
          <w:szCs w:val="21"/>
          <w:rtl/>
        </w:rPr>
        <w:t xml:space="preserve">از سال ۱۴۰۳ الگو تغییر می‌کند. در دو سال اخیر، نرخ رشد تسهیلات به‌طور پیوسته بیش از ده واحد درصد بالاتر از نرخ رشد منابع بوده است. نکته‌ی حائز اهمیت آن است که این شکاف نه از شتاب‌گیری تسهیلات، بلکه عمدتاً از </w:t>
      </w:r>
      <w:r>
        <w:rPr>
          <w:rFonts w:ascii="Tahoma" w:cs="Tahoma" w:eastAsia="Tahoma" w:hAnsi="Tahoma"/>
          <w:b/>
          <w:bCs/>
          <w:sz w:val="21"/>
          <w:szCs w:val="21"/>
          <w:rtl/>
        </w:rPr>
        <w:t xml:space="preserve">کندشدن رشد منابع</w:t>
      </w:r>
      <w:r>
        <w:rPr>
          <w:rFonts w:ascii="Tahoma" w:cs="Tahoma" w:eastAsia="Tahoma" w:hAnsi="Tahoma"/>
          <w:sz w:val="21"/>
          <w:szCs w:val="21"/>
          <w:rtl/>
        </w:rPr>
        <w:t xml:space="preserve"> ناشی شده است: نرخ رشد تسهیلات در محدوده‌ی ۴۴ تا ۴۶ درصد تثبیت شده، در حالی که رشد سپرده از اوج ۴۴.۳ درصد در سال ۱۴۰۲ به ۳۲.۵ درصد در سال ۱۴۰۴ نزول کرده است.</w:t>
      </w:r>
    </w:p>
    <w:p>
      <w:pPr>
        <w:bidi/>
        <w:spacing w:after="160" w:line="312"/>
        <w:jc w:val="left"/>
      </w:pPr>
      <w:r>
        <w:rPr>
          <w:rFonts w:ascii="Tahoma" w:cs="Tahoma" w:eastAsia="Tahoma" w:hAnsi="Tahoma"/>
          <w:sz w:val="21"/>
          <w:szCs w:val="21"/>
          <w:rtl/>
        </w:rPr>
        <w:t xml:space="preserve">این تشخیص از منظر سیاست‌گذاری اهمیت دارد، زیرا راهکار آن را تغییر می‌دهد: مسئله‌ی بانک در دو سال اخیر، اعطای بیش از حد تسهیلات نبوده، بلکه ناتوانی در حفظ آهنگ تجهیز منابع بوده است.</w:t>
      </w:r>
    </w:p>
    <w:p>
      <w:pPr>
        <w:pStyle w:val="Heading3"/>
        <w:keepNext/>
        <w:bidi/>
        <w:spacing w:after="160" w:before="300"/>
        <w:jc w:val="left"/>
      </w:pPr>
      <w:r>
        <w:rPr>
          <w:rFonts w:ascii="Tahoma" w:cs="Tahoma" w:eastAsia="Tahoma" w:hAnsi="Tahoma"/>
          <w:b/>
          <w:bCs/>
          <w:color w:val="1F4E79"/>
          <w:sz w:val="24"/>
          <w:szCs w:val="24"/>
          <w:rtl/>
        </w:rPr>
        <w:t xml:space="preserve">۵.۱.۳ الگوی فصلی پایان سال</w:t>
      </w:r>
    </w:p>
    <w:p>
      <w:pPr>
        <w:bidi/>
        <w:spacing w:after="160" w:line="312"/>
        <w:jc w:val="left"/>
      </w:pPr>
      <w:r>
        <w:rPr>
          <w:rFonts w:ascii="Tahoma" w:cs="Tahoma" w:eastAsia="Tahoma" w:hAnsi="Tahoma"/>
          <w:sz w:val="21"/>
          <w:szCs w:val="21"/>
          <w:rtl/>
        </w:rPr>
        <w:t xml:space="preserve">بررسی سری ماهانه، یک الگوی تکرارشونده و نظام‌مند را آشکار کرد که در تحلیل‌های پیشین این پروژه مستند نشده بود.</w:t>
      </w:r>
    </w:p>
    <w:p>
      <w:pPr>
        <w:keepNext/>
        <w:bidi/>
        <w:spacing w:after="100" w:before="200"/>
        <w:jc w:val="left"/>
      </w:pPr>
      <w:r>
        <w:rPr>
          <w:rFonts w:ascii="Tahoma" w:cs="Tahoma" w:eastAsia="Tahoma" w:hAnsi="Tahoma"/>
          <w:b/>
          <w:bCs/>
          <w:sz w:val="21"/>
          <w:szCs w:val="21"/>
          <w:rtl/>
        </w:rPr>
        <w:t xml:space="preserve">جدول ۵-۴: رشد مانده‌ی تسهیلات در ماه اسفند هر سال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26"/>
        <w:gridCol w:w="3478"/>
        <w:gridCol w:w="3346"/>
      </w:tblGrid>
      <w:tr>
        <w:trPr>
          <w:cantSplit/>
          <w:tblHeader/>
        </w:trPr>
        <w:tc>
          <w:tcPr>
            <w:tcW w:type="dxa" w:w="25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سال</w:t>
            </w:r>
          </w:p>
        </w:tc>
        <w:tc>
          <w:tcPr>
            <w:tcW w:type="dxa" w:w="34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تسهیلات</w:t>
            </w:r>
          </w:p>
        </w:tc>
        <w:tc>
          <w:tcPr>
            <w:tcW w:type="dxa" w:w="33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سپرده</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۷.۴٪</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در تمام پنج سال بازه، ماه اسفند رشدی به‌مراتب بالاتر از میانگین ماهانه‌ی سال (حدود ۲.۵ تا ۳ درصد) ثبت کرده است. این الگو با پدیده‌ی شناخته‌شده‌ی تسریع اعطای تسهیلات در ماه پایانی سال مالی — به‌منظور تحقق اهداف کمّی سالانه — سازگار است.</w:t>
      </w:r>
    </w:p>
    <w:p>
      <w:pPr>
        <w:bidi/>
        <w:spacing w:after="160" w:line="312"/>
        <w:jc w:val="left"/>
      </w:pPr>
      <w:r>
        <w:rPr>
          <w:rFonts w:ascii="Tahoma" w:cs="Tahoma" w:eastAsia="Tahoma" w:hAnsi="Tahoma"/>
          <w:sz w:val="21"/>
          <w:szCs w:val="21"/>
          <w:rtl/>
        </w:rPr>
        <w:t xml:space="preserve">پیامد این یافته برای گزارش حاضر مستقیم و مهم است: </w:t>
      </w:r>
      <w:r>
        <w:rPr>
          <w:rFonts w:ascii="Tahoma" w:cs="Tahoma" w:eastAsia="Tahoma" w:hAnsi="Tahoma"/>
          <w:b/>
          <w:bCs/>
          <w:sz w:val="21"/>
          <w:szCs w:val="21"/>
          <w:rtl/>
        </w:rPr>
        <w:t xml:space="preserve">آخرین مقطع داده (اسفند ۱۴۰۴) اتفاقاً همان مقطعی است که پرتفوی تسهیلات در اوج فصلی خود قرار دارد.</w:t>
      </w:r>
      <w:r>
        <w:rPr>
          <w:rFonts w:ascii="Tahoma" w:cs="Tahoma" w:eastAsia="Tahoma" w:hAnsi="Tahoma"/>
          <w:sz w:val="21"/>
          <w:szCs w:val="21"/>
          <w:rtl/>
        </w:rPr>
        <w:t xml:space="preserve"> بنابراین هر نسبتی که تسهیلات را در صورت کسر قرار دهد، در این مقطع بالاتر از میانگین سال ظاهر می‌شود. این ملاحظه در بخش ۵.۲.۳ به‌صورت کمّی لحاظ شده است.</w:t>
      </w:r>
    </w:p>
    <w:p>
      <w:pPr>
        <w:pBdr>
          <w:bottom w:val="single" w:color="BBBBBB" w:sz="6"/>
        </w:pBdr>
        <w:spacing w:after="100" w:before="100"/>
      </w:pPr>
    </w:p>
    <w:p>
      <w:pPr>
        <w:pStyle w:val="Heading2"/>
        <w:keepNext/>
        <w:bidi/>
        <w:spacing w:after="160" w:before="300"/>
        <w:jc w:val="left"/>
      </w:pPr>
      <w:bookmarkStart w:name="_Toc42" w:id="42"/>
      <w:r>
        <w:rPr>
          <w:rFonts w:ascii="Tahoma" w:cs="Tahoma" w:eastAsia="Tahoma" w:hAnsi="Tahoma"/>
          <w:b/>
          <w:bCs/>
          <w:color w:val="1F4E79"/>
          <w:sz w:val="28"/>
          <w:szCs w:val="28"/>
          <w:rtl/>
        </w:rPr>
        <w:t xml:space="preserve">۵.۲ نسبت تسهیلات به سپرده</w:t>
      </w:r>
      <w:bookmarkEnd w:id="42"/>
    </w:p>
    <w:p>
      <w:pPr>
        <w:pStyle w:val="Heading3"/>
        <w:keepNext/>
        <w:bidi/>
        <w:spacing w:after="160" w:before="300"/>
        <w:jc w:val="left"/>
      </w:pPr>
      <w:r>
        <w:rPr>
          <w:rFonts w:ascii="Tahoma" w:cs="Tahoma" w:eastAsia="Tahoma" w:hAnsi="Tahoma"/>
          <w:b/>
          <w:bCs/>
          <w:color w:val="1F4E79"/>
          <w:sz w:val="24"/>
          <w:szCs w:val="24"/>
          <w:rtl/>
        </w:rPr>
        <w:t xml:space="preserve">۵.۲.۱ روند</w:t>
      </w:r>
    </w:p>
    <w:p>
      <w:pPr>
        <w:bidi/>
        <w:spacing w:after="160" w:line="312"/>
        <w:jc w:val="left"/>
      </w:pPr>
      <w:r>
        <w:rPr>
          <w:rFonts w:ascii="Tahoma" w:cs="Tahoma" w:eastAsia="Tahoma" w:hAnsi="Tahoma"/>
          <w:sz w:val="21"/>
          <w:szCs w:val="21"/>
          <w:rtl/>
        </w:rPr>
        <w:t xml:space="preserve">نسبت تسهیلات به سپرده یکی از شاخص‌های متعارف سنجش کفایت منابع و ریسک نقدینگی است. این نسبت نشان می‌دهد بانک در ازای هر واحد منبع تجهیزشده، چه حجمی تسهیلات اعطا کرده است.</w:t>
      </w:r>
    </w:p>
    <w:p>
      <w:pPr>
        <w:keepNext/>
        <w:spacing w:after="60" w:before="160"/>
        <w:jc w:val="center"/>
      </w:pPr>
      <w:r>
        <w:drawing>
          <wp:inline distT="0" distB="0" distL="0" distR="0">
            <wp:extent cx="5715000" cy="23812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۵-۱: روند نسبت تسهیلات به سپرده، فروردین ۱۴۰۰ تا اسفند ۱۴۰۴</w:t>
      </w:r>
    </w:p>
    <w:p>
      <w:pPr>
        <w:keepNext/>
        <w:bidi/>
        <w:spacing w:after="100" w:before="200"/>
        <w:jc w:val="left"/>
      </w:pPr>
      <w:r>
        <w:rPr>
          <w:rFonts w:ascii="Tahoma" w:cs="Tahoma" w:eastAsia="Tahoma" w:hAnsi="Tahoma"/>
          <w:b/>
          <w:bCs/>
          <w:sz w:val="21"/>
          <w:szCs w:val="21"/>
          <w:rtl/>
        </w:rPr>
        <w:t xml:space="preserve">جدول ۵-۵: نسبت تسهیلات به سپرده در مقاطع منتخب (مبنای الف و 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97"/>
        <w:gridCol w:w="2607"/>
        <w:gridCol w:w="2469"/>
        <w:gridCol w:w="1877"/>
      </w:tblGrid>
      <w:tr>
        <w:trPr>
          <w:cantSplit/>
          <w:tblHeader/>
        </w:trPr>
        <w:tc>
          <w:tcPr>
            <w:tcW w:type="dxa" w:w="23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6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w:t>
            </w:r>
          </w:p>
        </w:tc>
        <w:tc>
          <w:tcPr>
            <w:tcW w:type="dxa" w:w="24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سپرده</w:t>
            </w:r>
          </w:p>
        </w:tc>
        <w:tc>
          <w:tcPr>
            <w:tcW w:type="dxa" w:w="18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۱۸۵.۱</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۱۱۳.۵٪</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۳۱۶.۸</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۲۴۸.۱</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۱۲۷.۷٪</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۳۲۷.۵</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۱۲۹.۲٪</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۶۰۸.۹</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۴۷۲.۷</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۱۲۸.۸٪</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۶۳۹.۶</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۱۳۸.۸٪</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بهمن ۱۴۰۴</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۱,۱۹۳.۱</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۸۲۱.۷</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۱۴۵.۲٪</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۱۴۰۴</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۱,۲۸۱.۶</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۸۴۷.۶</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۱۵۱.۲٪</w:t>
            </w:r>
          </w:p>
        </w:tc>
      </w:tr>
    </w:tbl>
    <w:p>
      <w:pPr>
        <w:spacing w:after="200"/>
      </w:pPr>
    </w:p>
    <w:p>
      <w:pPr>
        <w:bidi/>
        <w:spacing w:after="160" w:line="312"/>
        <w:jc w:val="left"/>
      </w:pPr>
      <w:r>
        <w:rPr>
          <w:rFonts w:ascii="Tahoma" w:cs="Tahoma" w:eastAsia="Tahoma" w:hAnsi="Tahoma"/>
          <w:sz w:val="21"/>
          <w:szCs w:val="21"/>
          <w:rtl/>
        </w:rPr>
        <w:t xml:space="preserve">نسبت مذکور در طول دوره حدود </w:t>
      </w:r>
      <w:r>
        <w:rPr>
          <w:rFonts w:ascii="Tahoma" w:cs="Tahoma" w:eastAsia="Tahoma" w:hAnsi="Tahoma"/>
          <w:b/>
          <w:bCs/>
          <w:sz w:val="21"/>
          <w:szCs w:val="21"/>
          <w:rtl/>
        </w:rPr>
        <w:t xml:space="preserve">۳۸ واحد درصد</w:t>
      </w:r>
      <w:r>
        <w:rPr>
          <w:rFonts w:ascii="Tahoma" w:cs="Tahoma" w:eastAsia="Tahoma" w:hAnsi="Tahoma"/>
          <w:sz w:val="21"/>
          <w:szCs w:val="21"/>
          <w:rtl/>
        </w:rPr>
        <w:t xml:space="preserve"> افزایش یافته است. روند آن یکنواخت نیست: در فاصله‌ی اسفند ۱۴۰۰ تا اسفند ۱۴۰۲ عملاً در محدوده‌ی ۱۲۸ تا ۱۲۹ درصد تثبیت بوده و رشد اصلی در دو سال پایانی رخ داده است — که با یافته‌ی بخش ۵.۱.۲ در خصوص کندشدن رشد منابع از سال ۱۴۰۳ کاملاً مطابقت دارد.</w:t>
      </w:r>
    </w:p>
    <w:p>
      <w:pPr>
        <w:pStyle w:val="Heading3"/>
        <w:keepNext/>
        <w:bidi/>
        <w:spacing w:after="160" w:before="300"/>
        <w:jc w:val="left"/>
      </w:pPr>
      <w:r>
        <w:rPr>
          <w:rFonts w:ascii="Tahoma" w:cs="Tahoma" w:eastAsia="Tahoma" w:hAnsi="Tahoma"/>
          <w:b/>
          <w:bCs/>
          <w:color w:val="1F4E79"/>
          <w:sz w:val="24"/>
          <w:szCs w:val="24"/>
          <w:rtl/>
        </w:rPr>
        <w:t xml:space="preserve">۵.۲.۲ تحلیل: سه تبیین رقیب</w:t>
      </w:r>
    </w:p>
    <w:p>
      <w:pPr>
        <w:bidi/>
        <w:spacing w:after="160" w:line="312"/>
        <w:jc w:val="left"/>
      </w:pPr>
      <w:r>
        <w:rPr>
          <w:rFonts w:ascii="Tahoma" w:cs="Tahoma" w:eastAsia="Tahoma" w:hAnsi="Tahoma"/>
          <w:sz w:val="21"/>
          <w:szCs w:val="21"/>
          <w:rtl/>
        </w:rPr>
        <w:t xml:space="preserve">رقم ۱۵۱.۲ درصد در مقایسه با محدوده‌ی متعارف ۸۵ تا ۱۰۵ درصد در نظام بانکی ایران، فاصله‌ی قابل توجهی دارد. صداقت روش‌شناختی ایجاب می‌کند که پیش از هرگونه نتیجه‌گیری، سه تبیین ممکن در کنار یکدیگر ارزیابی شوند.</w:t>
      </w:r>
    </w:p>
    <w:p>
      <w:pPr>
        <w:bidi/>
        <w:spacing w:after="160" w:line="312"/>
        <w:jc w:val="left"/>
      </w:pPr>
      <w:r>
        <w:rPr>
          <w:rFonts w:ascii="Tahoma" w:cs="Tahoma" w:eastAsia="Tahoma" w:hAnsi="Tahoma"/>
          <w:b/>
          <w:bCs/>
          <w:sz w:val="21"/>
          <w:szCs w:val="21"/>
          <w:rtl/>
        </w:rPr>
        <w:t xml:space="preserve">تبیین نخست — این یک واقعیت عملیاتی است.</w:t>
      </w:r>
      <w:r>
        <w:rPr>
          <w:rFonts w:ascii="Tahoma" w:cs="Tahoma" w:eastAsia="Tahoma" w:hAnsi="Tahoma"/>
          <w:sz w:val="21"/>
          <w:szCs w:val="21"/>
          <w:rtl/>
        </w:rPr>
        <w:t xml:space="preserve"> ممکن است بانک واقعاً بیش از منابع خود تسهیلات اعطا کرده و مابه‌التفاوت را از محل منابع بین‌بانکی، سرمایه، یا خطوط اعتباری تأمین کرده باشد. این تبیین با ماهیت بانک توسعه‌ای سازگاری دارد، زیرا چنین بانک‌هایی معمولاً بخشی از منابع خود را از مجاری غیرسپرده‌ای تأمین می‌کنند. تأیید یا رد این تبیین مستلزم دسترسی به ترازنامه‌ی رسمی بانک است که در اختیار تیم قرار نگرفته است.</w:t>
      </w:r>
    </w:p>
    <w:p>
      <w:pPr>
        <w:bidi/>
        <w:spacing w:after="160" w:line="312"/>
        <w:jc w:val="left"/>
      </w:pPr>
      <w:r>
        <w:rPr>
          <w:rFonts w:ascii="Tahoma" w:cs="Tahoma" w:eastAsia="Tahoma" w:hAnsi="Tahoma"/>
          <w:b/>
          <w:bCs/>
          <w:sz w:val="21"/>
          <w:szCs w:val="21"/>
          <w:rtl/>
        </w:rPr>
        <w:t xml:space="preserve">تبیین دوم — مخرج نسبت کم‌برآورد شده است.</w:t>
      </w:r>
      <w:r>
        <w:rPr>
          <w:rFonts w:ascii="Tahoma" w:cs="Tahoma" w:eastAsia="Tahoma" w:hAnsi="Tahoma"/>
          <w:sz w:val="21"/>
          <w:szCs w:val="21"/>
          <w:rtl/>
        </w:rPr>
        <w:t xml:space="preserve"> چنان‌که در بخش ۴.۶ به‌تفصیل تشریح شد، تعریف دقیق ستون مبنای محاسبه‌ی مانده‌ی سپرده نامعلوم است و دو نشانه‌ی مستقل حاکی از احتمال کم‌برآوردی آن است. چنانچه مانده‌ی واقعی سپرده بیش از رقم محاسبه‌شده باشد، نسبت حاضر به‌طور متناظر کاهش می‌یابد.</w:t>
      </w:r>
    </w:p>
    <w:p>
      <w:pPr>
        <w:bidi/>
        <w:spacing w:after="160" w:line="312"/>
        <w:jc w:val="left"/>
      </w:pPr>
      <w:r>
        <w:rPr>
          <w:rFonts w:ascii="Tahoma" w:cs="Tahoma" w:eastAsia="Tahoma" w:hAnsi="Tahoma"/>
          <w:b/>
          <w:bCs/>
          <w:sz w:val="21"/>
          <w:szCs w:val="21"/>
          <w:rtl/>
        </w:rPr>
        <w:t xml:space="preserve">تبیین سوم — دو سمت نسبت از دو جمعیت نامتقارن می‌آیند.</w:t>
      </w:r>
      <w:r>
        <w:rPr>
          <w:rFonts w:ascii="Tahoma" w:cs="Tahoma" w:eastAsia="Tahoma" w:hAnsi="Tahoma"/>
          <w:sz w:val="21"/>
          <w:szCs w:val="21"/>
          <w:rtl/>
        </w:rPr>
        <w:t xml:space="preserve"> این تبیین با مقایسه‌ی نمونه و آمار رسمی تأیید می‌شود (بخش ۲.۴.۴): پوشش نمونه‌ی تسهیلات (۸۶.۵ درصد) از پوشش سپرده (۶۳.۷ درصد) بیشتر است و نسبت رسمی بانک ۱۱۱.۳ درصد است. بنابراین بخش عمده‌ی اختلاف، ناشی از تفاوت پوشش دو سمت نسبت در نمونه است، بدون آن‌که هیچ‌یک از دو رقم فی‌نفسه نادرست باشد.</w:t>
      </w: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هیچ‌یک از سه تبیین با داده‌ی موجود قابل رد یا تأیید قطعی نیست و احتمال دارد هر سه عامل هم‌زمان در کار باشند. آنچه با اطمینان می‌توان گفت این است که </w:t>
      </w:r>
      <w:r>
        <w:rPr>
          <w:rFonts w:ascii="Tahoma" w:cs="Tahoma" w:eastAsia="Tahoma" w:hAnsi="Tahoma"/>
          <w:b/>
          <w:bCs/>
          <w:sz w:val="21"/>
          <w:szCs w:val="21"/>
          <w:rtl/>
        </w:rPr>
        <w:t xml:space="preserve">روند صعودی نسبت — افزایش ۳۸ واحدی در پنج سال — مستقل از سطح مطلق آن معتبر است.</w:t>
      </w:r>
      <w:r>
        <w:rPr>
          <w:rFonts w:ascii="Tahoma" w:cs="Tahoma" w:eastAsia="Tahoma" w:hAnsi="Tahoma"/>
          <w:sz w:val="21"/>
          <w:szCs w:val="21"/>
          <w:rtl/>
        </w:rPr>
        <w:t xml:space="preserve"> دلیل این اطمینان آن است که هر سه تبیین فوق، سوگیری‌هایی نسبتاً ثابت در طول زمان ایجاد می‌کنند و لذا بر شیب روند اثر چندانی ندارند.</w:t>
      </w:r>
    </w:p>
    <w:p>
      <w:pPr>
        <w:bidi/>
        <w:spacing w:after="160" w:line="312"/>
        <w:jc w:val="left"/>
      </w:pPr>
      <w:r>
        <w:rPr>
          <w:rFonts w:ascii="Tahoma" w:cs="Tahoma" w:eastAsia="Tahoma" w:hAnsi="Tahoma"/>
          <w:sz w:val="21"/>
          <w:szCs w:val="21"/>
          <w:rtl/>
        </w:rPr>
        <w:t xml:space="preserve">به بیان دیگر: سطح ۱۵۱.۲ درصد مشروط است، اما این گزاره که </w:t>
      </w:r>
      <w:r>
        <w:rPr>
          <w:rFonts w:ascii="Tahoma" w:cs="Tahoma" w:eastAsia="Tahoma" w:hAnsi="Tahoma"/>
          <w:b/>
          <w:bCs/>
          <w:sz w:val="21"/>
          <w:szCs w:val="21"/>
          <w:rtl/>
        </w:rPr>
        <w:t xml:space="preserve">فاصله‌ی میان مصارف و منابع بانک طی پنج سال گذشته به‌طور پیوسته گشوده شده</w:t>
      </w:r>
      <w:r>
        <w:rPr>
          <w:rFonts w:ascii="Tahoma" w:cs="Tahoma" w:eastAsia="Tahoma" w:hAnsi="Tahoma"/>
          <w:sz w:val="21"/>
          <w:szCs w:val="21"/>
          <w:rtl/>
        </w:rPr>
        <w:t xml:space="preserve">، یافته‌ای مستحکم است.</w:t>
      </w:r>
    </w:p>
    <w:p>
      <w:pPr>
        <w:pStyle w:val="Heading3"/>
        <w:keepNext/>
        <w:bidi/>
        <w:spacing w:after="160" w:before="300"/>
        <w:jc w:val="left"/>
      </w:pPr>
      <w:r>
        <w:rPr>
          <w:rFonts w:ascii="Tahoma" w:cs="Tahoma" w:eastAsia="Tahoma" w:hAnsi="Tahoma"/>
          <w:b/>
          <w:bCs/>
          <w:color w:val="1F4E79"/>
          <w:sz w:val="24"/>
          <w:szCs w:val="24"/>
          <w:rtl/>
        </w:rPr>
        <w:t xml:space="preserve">۵.۲.۳ اثر مقطع اندازه‌گیری</w:t>
      </w:r>
    </w:p>
    <w:p>
      <w:pPr>
        <w:bidi/>
        <w:spacing w:after="160" w:line="312"/>
        <w:jc w:val="left"/>
      </w:pPr>
      <w:r>
        <w:rPr>
          <w:rFonts w:ascii="Tahoma" w:cs="Tahoma" w:eastAsia="Tahoma" w:hAnsi="Tahoma"/>
          <w:sz w:val="21"/>
          <w:szCs w:val="21"/>
          <w:rtl/>
        </w:rPr>
        <w:t xml:space="preserve">یافته‌ی بخش ۵.۱.۳ ایجاب می‌کند که به رقم نقطه‌ای ۱۵۱.۲ درصد با احتیاط بیشتری نگریسته شود.</w:t>
      </w:r>
    </w:p>
    <w:p>
      <w:pPr>
        <w:bidi/>
        <w:spacing w:after="160" w:line="312"/>
        <w:jc w:val="left"/>
      </w:pPr>
      <w:r>
        <w:rPr>
          <w:rFonts w:ascii="Tahoma" w:cs="Tahoma" w:eastAsia="Tahoma" w:hAnsi="Tahoma"/>
          <w:sz w:val="21"/>
          <w:szCs w:val="21"/>
          <w:rtl/>
        </w:rPr>
        <w:t xml:space="preserve">از آنجا که اسفند هر سال اوج فصلی اعطای تسهیلات است، اندازه‌گیری نسبت در همین مقطع، بالاترین مقدار ممکن در سال را به دست می‌دهد. محاسبه‌ی میانگین دوازده مقطع ماهانه‌ی سال ۱۴۰۴ تصویر متعادل‌تری ارائه می‌کند:</w:t>
      </w:r>
    </w:p>
    <w:p>
      <w:pPr>
        <w:keepNext/>
        <w:bidi/>
        <w:spacing w:after="100" w:before="200"/>
        <w:jc w:val="left"/>
      </w:pPr>
      <w:r>
        <w:rPr>
          <w:rFonts w:ascii="Tahoma" w:cs="Tahoma" w:eastAsia="Tahoma" w:hAnsi="Tahoma"/>
          <w:b/>
          <w:bCs/>
          <w:sz w:val="21"/>
          <w:szCs w:val="21"/>
          <w:rtl/>
        </w:rPr>
        <w:t xml:space="preserve">جدول ۵-۶: نسبت تسهیلات به سپرده — نقطه‌ای در برابر میانگین سالانه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85"/>
        <w:gridCol w:w="3365"/>
      </w:tblGrid>
      <w:tr>
        <w:trPr>
          <w:cantSplit/>
          <w:tblHeader/>
        </w:trPr>
        <w:tc>
          <w:tcPr>
            <w:tcW w:type="dxa" w:w="59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در اسفند ۱۴۰۴ (نقطه‌ای)</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در بهمن ۱۴۰۴</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۱۴۵.۲٪</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دوازده ماه سال ۱۴۰۴</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۱۴۰.۱٪</w:t>
            </w:r>
          </w:p>
        </w:tc>
      </w:tr>
    </w:tbl>
    <w:p>
      <w:pPr>
        <w:spacing w:after="200"/>
      </w:pPr>
    </w:p>
    <w:p>
      <w:pPr>
        <w:bidi/>
        <w:spacing w:after="160" w:line="312"/>
        <w:jc w:val="left"/>
      </w:pPr>
      <w:r>
        <w:rPr>
          <w:rFonts w:ascii="Tahoma" w:cs="Tahoma" w:eastAsia="Tahoma" w:hAnsi="Tahoma"/>
          <w:sz w:val="21"/>
          <w:szCs w:val="21"/>
          <w:rtl/>
        </w:rPr>
        <w:t xml:space="preserve">اختلاف حدود یازده واحد درصدی میان رقم نقطه‌ای و میانگین سالانه، صرفاً ناشی از انتخاب مقطع اندازه‌گیری است. </w:t>
      </w:r>
      <w:r>
        <w:rPr>
          <w:rFonts w:ascii="Tahoma" w:cs="Tahoma" w:eastAsia="Tahoma" w:hAnsi="Tahoma"/>
          <w:b/>
          <w:bCs/>
          <w:sz w:val="21"/>
          <w:szCs w:val="21"/>
          <w:rtl/>
        </w:rPr>
        <w:t xml:space="preserve">توصیه‌ی این گزارش آن است که در ارائه به ارکان تصمیم‌گیر، هر دو رقم در کنار یکدیگر ذکر شود</w:t>
      </w:r>
      <w:r>
        <w:rPr>
          <w:rFonts w:ascii="Tahoma" w:cs="Tahoma" w:eastAsia="Tahoma" w:hAnsi="Tahoma"/>
          <w:sz w:val="21"/>
          <w:szCs w:val="21"/>
          <w:rtl/>
        </w:rPr>
        <w:t xml:space="preserve"> تا برداشت اغراق‌آمیز از وضعیت نقدینگی شکل نگیرد.</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مقایسه با LDR رسمی کل بانک:</w:t>
      </w:r>
      <w:r>
        <w:rPr>
          <w:rFonts w:ascii="Tahoma" w:cs="Tahoma" w:eastAsia="Tahoma" w:hAnsi="Tahoma"/>
          <w:sz w:val="21"/>
          <w:szCs w:val="21"/>
          <w:rtl/>
        </w:rPr>
        <w:t xml:space="preserve"> محاسبات انجام‌شده روی فایل گزارش رسمی ماهانه‌ی بانک (</w:t>
      </w:r>
      <w:r>
        <w:rPr>
          <w:rFonts w:ascii="Consolas" w:cs="Consolas" w:eastAsia="Consolas" w:hAnsi="Consolas"/>
          <w:b w:val="false"/>
          <w:bCs w:val="false"/>
          <w:sz w:val="18"/>
          <w:szCs w:val="18"/>
          <w:rtl w:val="false"/>
        </w:rPr>
        <w:t xml:space="preserve">bank_official_monthly.csv</w:t>
      </w:r>
      <w:r>
        <w:rPr>
          <w:rFonts w:ascii="Tahoma" w:cs="Tahoma" w:eastAsia="Tahoma" w:hAnsi="Tahoma"/>
          <w:sz w:val="21"/>
          <w:szCs w:val="21"/>
          <w:rtl/>
        </w:rPr>
        <w:t xml:space="preserve">) نشان می‌دهد که LDR کل بانک در اسفند ۱۴۰۴، معادل </w:t>
      </w:r>
      <w:r>
        <w:rPr>
          <w:rFonts w:ascii="Tahoma" w:cs="Tahoma" w:eastAsia="Tahoma" w:hAnsi="Tahoma"/>
          <w:b/>
          <w:bCs/>
          <w:sz w:val="21"/>
          <w:szCs w:val="21"/>
          <w:rtl/>
        </w:rPr>
        <w:t xml:space="preserve">۱۱۱.۳٪</w:t>
      </w:r>
      <w:r>
        <w:rPr>
          <w:rFonts w:ascii="Tahoma" w:cs="Tahoma" w:eastAsia="Tahoma" w:hAnsi="Tahoma"/>
          <w:sz w:val="21"/>
          <w:szCs w:val="21"/>
          <w:rtl/>
        </w:rPr>
        <w:t xml:space="preserve"> بوده است (نسبت مانده‌ی کل تسهیلات به مانده‌ی منابع ریالی). حضور این نسبتِ بالاتر از ۱۰۰٪ در آمار کل بانک تأیید می‌کند که رفتار پرفشار اعتباریِ مشاهده‌شده در نمونه، مستقیماً بازتاب سیاست کلان بانک است و خطای نمونه‌گیری نیست.</w:t>
      </w:r>
    </w:p>
    <w:p>
      <w:pPr>
        <w:pStyle w:val="Heading2"/>
        <w:keepNext/>
        <w:bidi/>
        <w:spacing w:after="160" w:before="300"/>
        <w:jc w:val="left"/>
      </w:pPr>
      <w:bookmarkStart w:name="_Toc43" w:id="43"/>
      <w:r>
        <w:rPr>
          <w:rFonts w:ascii="Tahoma" w:cs="Tahoma" w:eastAsia="Tahoma" w:hAnsi="Tahoma"/>
          <w:b/>
          <w:bCs/>
          <w:color w:val="1F4E79"/>
          <w:sz w:val="28"/>
          <w:szCs w:val="28"/>
          <w:rtl/>
        </w:rPr>
        <w:t xml:space="preserve">۵.۳ ترکیب محصولی پرتفوی</w:t>
      </w:r>
      <w:bookmarkEnd w:id="43"/>
    </w:p>
    <w:p>
      <w:pPr>
        <w:pStyle w:val="Heading3"/>
        <w:keepNext/>
        <w:bidi/>
        <w:spacing w:after="160" w:before="300"/>
        <w:jc w:val="left"/>
      </w:pPr>
      <w:r>
        <w:rPr>
          <w:rFonts w:ascii="Tahoma" w:cs="Tahoma" w:eastAsia="Tahoma" w:hAnsi="Tahoma"/>
          <w:b/>
          <w:bCs/>
          <w:color w:val="1F4E79"/>
          <w:sz w:val="24"/>
          <w:szCs w:val="24"/>
          <w:rtl/>
        </w:rPr>
        <w:t xml:space="preserve">۵.۳.۱ توزیع بر حسب نوع عقد</w:t>
      </w:r>
    </w:p>
    <w:p>
      <w:pPr>
        <w:keepNext/>
        <w:spacing w:after="60" w:before="160"/>
        <w:jc w:val="center"/>
      </w:pPr>
      <w:r>
        <w:drawing>
          <wp:inline distT="0" distB="0" distL="0" distR="0">
            <wp:extent cx="5715000" cy="2286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۵-۲: توزیع پرتفوی تسهیلات به تفکیک نوع عقد، اسفند ۱۴۰۴</w:t>
      </w:r>
    </w:p>
    <w:p>
      <w:pPr>
        <w:keepNext/>
        <w:bidi/>
        <w:spacing w:after="100" w:before="200"/>
        <w:jc w:val="left"/>
      </w:pPr>
      <w:r>
        <w:rPr>
          <w:rFonts w:ascii="Tahoma" w:cs="Tahoma" w:eastAsia="Tahoma" w:hAnsi="Tahoma"/>
          <w:b/>
          <w:bCs/>
          <w:sz w:val="21"/>
          <w:szCs w:val="21"/>
          <w:rtl/>
        </w:rPr>
        <w:t xml:space="preserve">جدول ۵-۷: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55"/>
        <w:gridCol w:w="2070"/>
        <w:gridCol w:w="2714"/>
        <w:gridCol w:w="1811"/>
      </w:tblGrid>
      <w:tr>
        <w:trPr>
          <w:cantSplit/>
          <w:tblHeader/>
        </w:trPr>
        <w:tc>
          <w:tcPr>
            <w:tcW w:type="dxa" w:w="27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0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۴۲۶,۲۳۵</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۵۰.۵</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۳۹.۳۷٪</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نامشخص (فاقد رکورد قرارداد)</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۶۳۷,۹۷۵</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۲۲.۴۰٪</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۱۴,۲۲۱</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۱۶.۰۹٪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۱۹۳,۱۷۴</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۳۴,۰۷۰</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۶.۸۷٪</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۷,۳۴۴</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۵,۶۰۷</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۰.۵۱٪</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۳,۶۷۷</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۵.۳.۲ تحلیل</w:t>
      </w:r>
    </w:p>
    <w:p>
      <w:pPr>
        <w:bidi/>
        <w:spacing w:after="160" w:line="312"/>
        <w:jc w:val="left"/>
      </w:pPr>
      <w:r>
        <w:rPr>
          <w:rFonts w:ascii="Tahoma" w:cs="Tahoma" w:eastAsia="Tahoma" w:hAnsi="Tahoma"/>
          <w:b/>
          <w:bCs/>
          <w:sz w:val="21"/>
          <w:szCs w:val="21"/>
          <w:rtl/>
        </w:rPr>
        <w:t xml:space="preserve">نکته‌ی نخست — حضور صریح سطل نامشخص.</w:t>
      </w:r>
      <w:r>
        <w:rPr>
          <w:rFonts w:ascii="Tahoma" w:cs="Tahoma" w:eastAsia="Tahoma" w:hAnsi="Tahoma"/>
          <w:sz w:val="21"/>
          <w:szCs w:val="21"/>
          <w:rtl/>
        </w:rPr>
        <w:t xml:space="preserve"> جدول حاضر کل پرتفوی را پوشش می‌دهد. سطل نامشخص با ۲۸.۷ هزار میلیارد تومان، </w:t>
      </w:r>
      <w:r>
        <w:rPr>
          <w:rFonts w:ascii="Tahoma" w:cs="Tahoma" w:eastAsia="Tahoma" w:hAnsi="Tahoma"/>
          <w:b/>
          <w:bCs/>
          <w:sz w:val="21"/>
          <w:szCs w:val="21"/>
          <w:rtl/>
        </w:rPr>
        <w:t xml:space="preserve">دومین قلم بزرگ این جدول</w:t>
      </w:r>
      <w:r>
        <w:rPr>
          <w:rFonts w:ascii="Tahoma" w:cs="Tahoma" w:eastAsia="Tahoma" w:hAnsi="Tahoma"/>
          <w:sz w:val="21"/>
          <w:szCs w:val="21"/>
          <w:rtl/>
        </w:rPr>
        <w:t xml:space="preserve"> است و از تمام عقود به‌جز مرابحه بزرگ‌تر است.</w:t>
      </w:r>
    </w:p>
    <w:p>
      <w:pPr>
        <w:bidi/>
        <w:spacing w:after="160" w:line="312"/>
        <w:jc w:val="left"/>
      </w:pPr>
      <w:r>
        <w:rPr>
          <w:rFonts w:ascii="Tahoma" w:cs="Tahoma" w:eastAsia="Tahoma" w:hAnsi="Tahoma"/>
          <w:sz w:val="21"/>
          <w:szCs w:val="21"/>
          <w:rtl/>
        </w:rPr>
        <w:t xml:space="preserve">این واقعیت محدودیت جدی‌ای بر تحلیل محصولی تحمیل می‌کند: هر گزاره‌ای درباره‌ی سهم نسبی عقود، عملاً بر ۷۷.۶ درصد پرتفوی استوار است. برای نمونه، سهم واقعی مرابحه می‌تواند از ۳۹.۳۷ درصد بیشتر یا کمتر باشد، بسته به آن‌که ترکیب محصولی بخش نامشخص چگونه باشد.</w:t>
      </w:r>
    </w:p>
    <w:p>
      <w:pPr>
        <w:bidi/>
        <w:spacing w:after="160" w:line="312"/>
        <w:jc w:val="left"/>
      </w:pPr>
      <w:r>
        <w:rPr>
          <w:rFonts w:ascii="Tahoma" w:cs="Tahoma" w:eastAsia="Tahoma" w:hAnsi="Tahoma"/>
          <w:b/>
          <w:bCs/>
          <w:sz w:val="21"/>
          <w:szCs w:val="21"/>
          <w:rtl/>
        </w:rPr>
        <w:t xml:space="preserve">نکته‌ی دوم — تمرکز شدید در یک عقد.</w:t>
      </w:r>
      <w:r>
        <w:rPr>
          <w:rFonts w:ascii="Tahoma" w:cs="Tahoma" w:eastAsia="Tahoma" w:hAnsi="Tahoma"/>
          <w:sz w:val="21"/>
          <w:szCs w:val="21"/>
          <w:rtl/>
        </w:rPr>
        <w:t xml:space="preserve"> مرابحه با ۳۹.۳۷ درصد مانده، محور اصلی پرتفوی است. چنانچه سطل نامشخص کنار گذاشته شود و محاسبه صرفاً بر مبنای الف-۱ انجام گیرد، سهم مرابحه به </w:t>
      </w:r>
      <w:r>
        <w:rPr>
          <w:rFonts w:ascii="Tahoma" w:cs="Tahoma" w:eastAsia="Tahoma" w:hAnsi="Tahoma"/>
          <w:b/>
          <w:bCs/>
          <w:sz w:val="21"/>
          <w:szCs w:val="21"/>
          <w:rtl/>
        </w:rPr>
        <w:t xml:space="preserve">۵۰.۷ درصد</w:t>
      </w:r>
      <w:r>
        <w:rPr>
          <w:rFonts w:ascii="Tahoma" w:cs="Tahoma" w:eastAsia="Tahoma" w:hAnsi="Tahoma"/>
          <w:sz w:val="21"/>
          <w:szCs w:val="21"/>
          <w:rtl/>
        </w:rPr>
        <w:t xml:space="preserve"> افزایش می‌یابد؛ یعنی بیش از نیمی از پرتفوی شناخته‌شده.</w:t>
      </w:r>
    </w:p>
    <w:p>
      <w:pPr>
        <w:bidi/>
        <w:spacing w:after="160" w:line="312"/>
        <w:jc w:val="left"/>
      </w:pPr>
      <w:r>
        <w:rPr>
          <w:rFonts w:ascii="Tahoma" w:cs="Tahoma" w:eastAsia="Tahoma" w:hAnsi="Tahoma"/>
          <w:b/>
          <w:bCs/>
          <w:sz w:val="21"/>
          <w:szCs w:val="21"/>
          <w:rtl/>
        </w:rPr>
        <w:t xml:space="preserve">نکته‌ی سوم — عدم تناسب تعداد و ارزش.</w:t>
      </w:r>
      <w:r>
        <w:rPr>
          <w:rFonts w:ascii="Tahoma" w:cs="Tahoma" w:eastAsia="Tahoma" w:hAnsi="Tahoma"/>
          <w:sz w:val="21"/>
          <w:szCs w:val="21"/>
          <w:rtl/>
        </w:rPr>
        <w:t xml:space="preserve"> دو عقد مرابحه و قرض‌الحسنه روی‌هم ۶۱۹,۴۰۹ قرارداد (۹۰.۵ درصد قراردادهای شناخته‌شده) را تشکیل می‌دهند اما تنها ۵۰.۹ درصد مانده را. در مقابل، فروش اقساطی با تنها ۱۴,۲۲۱ قرارداد (۲.۱ درصد) سهم ۱۶.۰۹ درصدی از مانده دارد — یعنی میانگین اندازه‌ی قرارداد در این عقد به‌مراتب بزرگ‌تر است. این عدم تناسب، مقدمه‌ی تحلیل بخش ۵.۵ است.</w:t>
      </w:r>
    </w:p>
    <w:p>
      <w:pPr>
        <w:bidi/>
        <w:spacing w:after="160" w:line="312"/>
        <w:jc w:val="left"/>
      </w:pPr>
      <w:r>
        <w:rPr>
          <w:rFonts w:ascii="Tahoma" w:cs="Tahoma" w:eastAsia="Tahoma" w:hAnsi="Tahoma"/>
          <w:b/>
          <w:bCs/>
          <w:sz w:val="21"/>
          <w:szCs w:val="21"/>
          <w:rtl/>
        </w:rPr>
        <w:t xml:space="preserve">نکته‌ی چهارم — سهم پایین عقود مشارکتی.</w:t>
      </w:r>
      <w:r>
        <w:rPr>
          <w:rFonts w:ascii="Tahoma" w:cs="Tahoma" w:eastAsia="Tahoma" w:hAnsi="Tahoma"/>
          <w:sz w:val="21"/>
          <w:szCs w:val="21"/>
          <w:rtl/>
        </w:rPr>
        <w:t xml:space="preserve"> مجموع مشارکت مدنی، مضاربه و جعاله کمتر از ۳.۷ درصد پرتفوی است. غلبه‌ی قاطع عقود مبادله‌ای بر عقود مشارکتی، ویژگی ساختاری این پرتفوی است و در تحلیل ریسک فصل ۶ اهمیت می‌یابد، زیرا این دو دسته پروفایل ریسک متفاوتی دارند.</w:t>
      </w:r>
    </w:p>
    <w:p>
      <w:pPr>
        <w:pBdr>
          <w:bottom w:val="single" w:color="BBBBBB" w:sz="6"/>
        </w:pBdr>
        <w:spacing w:after="100" w:before="100"/>
      </w:pPr>
    </w:p>
    <w:p>
      <w:pPr>
        <w:pStyle w:val="Heading2"/>
        <w:keepNext/>
        <w:bidi/>
        <w:spacing w:after="160" w:before="300"/>
        <w:jc w:val="left"/>
      </w:pPr>
      <w:bookmarkStart w:name="_Toc44" w:id="44"/>
      <w:r>
        <w:rPr>
          <w:rFonts w:ascii="Tahoma" w:cs="Tahoma" w:eastAsia="Tahoma" w:hAnsi="Tahoma"/>
          <w:b/>
          <w:bCs/>
          <w:color w:val="1F4E79"/>
          <w:sz w:val="28"/>
          <w:szCs w:val="28"/>
          <w:rtl/>
        </w:rPr>
        <w:t xml:space="preserve">۵.۴ ترکیب بخش اقتصادی</w:t>
      </w:r>
      <w:bookmarkEnd w:id="44"/>
    </w:p>
    <w:p>
      <w:pPr>
        <w:pStyle w:val="Heading3"/>
        <w:keepNext/>
        <w:bidi/>
        <w:spacing w:after="160" w:before="300"/>
        <w:jc w:val="left"/>
      </w:pPr>
      <w:r>
        <w:rPr>
          <w:rFonts w:ascii="Tahoma" w:cs="Tahoma" w:eastAsia="Tahoma" w:hAnsi="Tahoma"/>
          <w:b/>
          <w:bCs/>
          <w:color w:val="1F4E79"/>
          <w:sz w:val="24"/>
          <w:szCs w:val="24"/>
          <w:rtl/>
        </w:rPr>
        <w:t xml:space="preserve">۵.۴.۱ مزیت روش‌شناختی این تحلیل</w:t>
      </w:r>
    </w:p>
    <w:p>
      <w:pPr>
        <w:bidi/>
        <w:spacing w:after="160" w:line="312"/>
        <w:jc w:val="left"/>
      </w:pPr>
      <w:r>
        <w:rPr>
          <w:rFonts w:ascii="Tahoma" w:cs="Tahoma" w:eastAsia="Tahoma" w:hAnsi="Tahoma"/>
          <w:sz w:val="21"/>
          <w:szCs w:val="21"/>
          <w:rtl/>
        </w:rPr>
        <w:t xml:space="preserve">پیش از ارائه‌ی ارقام، ذکر یک نکته‌ی روش‌شناختی ضروری است که ارزش این بخش را از سایر بخش‌های فصل متمایز می‌کند.</w:t>
      </w:r>
    </w:p>
    <w:p>
      <w:pPr>
        <w:bidi/>
        <w:spacing w:after="160" w:line="312"/>
        <w:jc w:val="left"/>
      </w:pPr>
      <w:r>
        <w:rPr>
          <w:rFonts w:ascii="Tahoma" w:cs="Tahoma" w:eastAsia="Tahoma" w:hAnsi="Tahoma"/>
          <w:sz w:val="21"/>
          <w:szCs w:val="21"/>
          <w:rtl/>
        </w:rPr>
        <w:t xml:space="preserve">برخلاف نوع عقد که صرفاً در جدول قرارداد ثبت شده و لذا برای ۲۲.۴ درصد پرتفوی در دسترس نیست، </w:t>
      </w:r>
      <w:r>
        <w:rPr>
          <w:rFonts w:ascii="Tahoma" w:cs="Tahoma" w:eastAsia="Tahoma" w:hAnsi="Tahoma"/>
          <w:b/>
          <w:bCs/>
          <w:sz w:val="21"/>
          <w:szCs w:val="21"/>
          <w:rtl/>
        </w:rPr>
        <w:t xml:space="preserve">بخش اقتصادی مستقیماً در جدول مانده‌ی تسهیلات درج شده است</w:t>
      </w:r>
      <w:r>
        <w:rPr>
          <w:rFonts w:ascii="Tahoma" w:cs="Tahoma" w:eastAsia="Tahoma" w:hAnsi="Tahoma"/>
          <w:sz w:val="21"/>
          <w:szCs w:val="21"/>
          <w:rtl/>
        </w:rPr>
        <w:t xml:space="preserve">. نتیجه آن‌که این تحلیل، برخلاف بخش‌های ۵.۳، ۵.۵، ۵.۷ و ۵.۸، </w:t>
      </w:r>
      <w:r>
        <w:rPr>
          <w:rFonts w:ascii="Tahoma" w:cs="Tahoma" w:eastAsia="Tahoma" w:hAnsi="Tahoma"/>
          <w:b/>
          <w:bCs/>
          <w:sz w:val="21"/>
          <w:szCs w:val="21"/>
          <w:rtl/>
        </w:rPr>
        <w:t xml:space="preserve">تمام ۱۰۰ درصد پرتفوی را پوشش می‌دهد</w:t>
      </w:r>
      <w:r>
        <w:rPr>
          <w:rFonts w:ascii="Tahoma" w:cs="Tahoma" w:eastAsia="Tahoma" w:hAnsi="Tahoma"/>
          <w:sz w:val="21"/>
          <w:szCs w:val="21"/>
          <w:rtl/>
        </w:rPr>
        <w:t xml:space="preserve">.</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بخش اقتصادی تنها زاویه‌ای است که از آن می‌توان کل پرتفوی تسهیلات بانک را — بدون نقطه‌ی کور — مشاهده کرد. به همین دلیل، هرگاه میان یافته‌های این بخش و سایر بخش‌های فصل تعارضی مشاهده شود، ارقام این بخش ارجح‌اند.</w:t>
      </w:r>
    </w:p>
    <w:p>
      <w:pPr>
        <w:pStyle w:val="Heading3"/>
        <w:keepNext/>
        <w:bidi/>
        <w:spacing w:after="160" w:before="300"/>
        <w:jc w:val="left"/>
      </w:pPr>
      <w:r>
        <w:rPr>
          <w:rFonts w:ascii="Tahoma" w:cs="Tahoma" w:eastAsia="Tahoma" w:hAnsi="Tahoma"/>
          <w:b/>
          <w:bCs/>
          <w:color w:val="1F4E79"/>
          <w:sz w:val="24"/>
          <w:szCs w:val="24"/>
          <w:rtl/>
        </w:rPr>
        <w:t xml:space="preserve">۵.۴.۲ توزیع</w:t>
      </w:r>
    </w:p>
    <w:p>
      <w:pPr>
        <w:keepNext/>
        <w:spacing w:after="60" w:before="160"/>
        <w:jc w:val="center"/>
      </w:pPr>
      <w:r>
        <w:drawing>
          <wp:inline distT="0" distB="0" distL="0" distR="0">
            <wp:extent cx="5715000" cy="3429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۵-۳: توزیع مانده و مطالبات غیرجاری به تفکیک بخش اقتصادی، اسفند ۱۴۰۴</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قرار گیرد (فایل: </w:t>
      </w:r>
      <w:r>
        <w:rPr>
          <w:rFonts w:ascii="Consolas" w:cs="Consolas" w:eastAsia="Consolas" w:hAnsi="Consolas"/>
          <w:b w:val="false"/>
          <w:bCs w:val="false"/>
          <w:sz w:val="17"/>
          <w:szCs w:val="17"/>
          <w:rtl w:val="false"/>
        </w:rPr>
        <w:t xml:space="preserve">receivables_by_sector_latest.png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۵-۸: ترکیب پرتفوی به تفکیک بخش اقتصادی (مبنای الف —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۵.۴.۳ تحلیل</w:t>
      </w:r>
    </w:p>
    <w:p>
      <w:pPr>
        <w:bidi/>
        <w:spacing w:after="160" w:line="312"/>
        <w:jc w:val="left"/>
      </w:pPr>
      <w:r>
        <w:rPr>
          <w:rFonts w:ascii="Tahoma" w:cs="Tahoma" w:eastAsia="Tahoma" w:hAnsi="Tahoma"/>
          <w:b/>
          <w:bCs/>
          <w:sz w:val="21"/>
          <w:szCs w:val="21"/>
          <w:rtl/>
        </w:rPr>
        <w:t xml:space="preserve">ساختار تمرکز بخشی.</w:t>
      </w:r>
      <w:r>
        <w:rPr>
          <w:rFonts w:ascii="Tahoma" w:cs="Tahoma" w:eastAsia="Tahoma" w:hAnsi="Tahoma"/>
          <w:sz w:val="21"/>
          <w:szCs w:val="21"/>
          <w:rtl/>
        </w:rPr>
        <w:t xml:space="preserve"> دو بخش خدمات و صنعتی روی‌هم </w:t>
      </w:r>
      <w:r>
        <w:rPr>
          <w:rFonts w:ascii="Tahoma" w:cs="Tahoma" w:eastAsia="Tahoma" w:hAnsi="Tahoma"/>
          <w:b/>
          <w:bCs/>
          <w:sz w:val="21"/>
          <w:szCs w:val="21"/>
          <w:rtl/>
        </w:rPr>
        <w:t xml:space="preserve">۶۹.۰۲ درصد</w:t>
      </w:r>
      <w:r>
        <w:rPr>
          <w:rFonts w:ascii="Tahoma" w:cs="Tahoma" w:eastAsia="Tahoma" w:hAnsi="Tahoma"/>
          <w:sz w:val="21"/>
          <w:szCs w:val="21"/>
          <w:rtl/>
        </w:rPr>
        <w:t xml:space="preserve"> پرتفوی را تشکیل می‌دهند. افزودن مسکن و ساختمان این رقم را به </w:t>
      </w:r>
      <w:r>
        <w:rPr>
          <w:rFonts w:ascii="Tahoma" w:cs="Tahoma" w:eastAsia="Tahoma" w:hAnsi="Tahoma"/>
          <w:b/>
          <w:bCs/>
          <w:sz w:val="21"/>
          <w:szCs w:val="21"/>
          <w:rtl/>
        </w:rPr>
        <w:t xml:space="preserve">۸۳.۸۹ درصد</w:t>
      </w:r>
      <w:r>
        <w:rPr>
          <w:rFonts w:ascii="Tahoma" w:cs="Tahoma" w:eastAsia="Tahoma" w:hAnsi="Tahoma"/>
          <w:sz w:val="21"/>
          <w:szCs w:val="21"/>
          <w:rtl/>
        </w:rPr>
        <w:t xml:space="preserve"> می‌رساند. بنابراین پرتفوی بانک، علی‌رغم تنوع ظاهری هفت بخش، عملاً بر سه بخش استوار است.</w:t>
      </w:r>
    </w:p>
    <w:p>
      <w:pPr>
        <w:bidi/>
        <w:spacing w:after="160" w:line="312"/>
        <w:jc w:val="left"/>
      </w:pPr>
      <w:r>
        <w:rPr>
          <w:rFonts w:ascii="Tahoma" w:cs="Tahoma" w:eastAsia="Tahoma" w:hAnsi="Tahoma"/>
          <w:b/>
          <w:bCs/>
          <w:sz w:val="21"/>
          <w:szCs w:val="21"/>
          <w:rtl/>
        </w:rPr>
        <w:t xml:space="preserve">جایگاه بخش کشاورزی.</w:t>
      </w:r>
      <w:r>
        <w:rPr>
          <w:rFonts w:ascii="Tahoma" w:cs="Tahoma" w:eastAsia="Tahoma" w:hAnsi="Tahoma"/>
          <w:sz w:val="21"/>
          <w:szCs w:val="21"/>
          <w:rtl/>
        </w:rPr>
        <w:t xml:space="preserve"> با توجه به ماهیت تخصصی بانک توسعه تعاون، سهم ۵.۸۵ درصدی بخش کشاورزی — و ۷.۰۴ درصد با احتساب صنایع تبدیلی — شایان توجه است. نکته‌ی قابل تأمل آن است که این بخش </w:t>
      </w:r>
      <w:r>
        <w:rPr>
          <w:rFonts w:ascii="Tahoma" w:cs="Tahoma" w:eastAsia="Tahoma" w:hAnsi="Tahoma"/>
          <w:b/>
          <w:bCs/>
          <w:sz w:val="21"/>
          <w:szCs w:val="21"/>
          <w:rtl/>
        </w:rPr>
        <w:t xml:space="preserve">۱۷۰,۸۵۶ قرارداد</w:t>
      </w:r>
      <w:r>
        <w:rPr>
          <w:rFonts w:ascii="Tahoma" w:cs="Tahoma" w:eastAsia="Tahoma" w:hAnsi="Tahoma"/>
          <w:sz w:val="21"/>
          <w:szCs w:val="21"/>
          <w:rtl/>
        </w:rPr>
        <w:t xml:space="preserve"> یعنی ۱۲.۹ درصد کل قراردادها را در بر می‌گیرد، اما تنها ۵.۸۵ درصد مانده را. به بیان دیگر، تسهیلات کشاورزی از نظر تعداد پرشمار و از نظر مبلغ خُرد هستند. این الگو با ماهیت تسهیلات خرد کشاورزی سازگار است، اما از منظر بهره‌وری عملیاتی — نسبت هزینه‌ی پردازش به درآمد هر قرارداد — موضوعی است که ارزش بررسی در فاز ۲ را دارد.</w:t>
      </w:r>
    </w:p>
    <w:p>
      <w:pPr>
        <w:bidi/>
        <w:spacing w:after="160" w:line="312"/>
        <w:jc w:val="left"/>
      </w:pPr>
      <w:r>
        <w:rPr>
          <w:rFonts w:ascii="Tahoma" w:cs="Tahoma" w:eastAsia="Tahoma" w:hAnsi="Tahoma"/>
          <w:b/>
          <w:bCs/>
          <w:sz w:val="21"/>
          <w:szCs w:val="21"/>
          <w:rtl/>
        </w:rPr>
        <w:t xml:space="preserve">پیش‌درآمد یافته‌ی محوری فصل ۶.</w:t>
      </w:r>
      <w:r>
        <w:rPr>
          <w:rFonts w:ascii="Tahoma" w:cs="Tahoma" w:eastAsia="Tahoma" w:hAnsi="Tahoma"/>
          <w:sz w:val="21"/>
          <w:szCs w:val="21"/>
          <w:rtl/>
        </w:rPr>
        <w:t xml:space="preserve"> ستون آخر جدول ۵-۸ یک ناهمگونی چشمگیر را آشکار می‌کند. شش بخش از هفت بخش، نسبت مطالبات غیرجاری میان ۱.۳۰ تا ۹.۸۳ درصد دارند؛ یعنی در محدوده‌ای که برای یک بانک توسعه‌ای قابل توجیه است. اما بخش اعتبارات اسنادی با </w:t>
      </w:r>
      <w:r>
        <w:rPr>
          <w:rFonts w:ascii="Tahoma" w:cs="Tahoma" w:eastAsia="Tahoma" w:hAnsi="Tahoma"/>
          <w:b/>
          <w:bCs/>
          <w:sz w:val="21"/>
          <w:szCs w:val="21"/>
          <w:rtl/>
        </w:rPr>
        <w:t xml:space="preserve">۸۴.۰۱ درصد</w:t>
      </w:r>
      <w:r>
        <w:rPr>
          <w:rFonts w:ascii="Tahoma" w:cs="Tahoma" w:eastAsia="Tahoma" w:hAnsi="Tahoma"/>
          <w:sz w:val="21"/>
          <w:szCs w:val="21"/>
          <w:rtl/>
        </w:rPr>
        <w:t xml:space="preserve">، کاملاً از این طیف خارج است.</w:t>
      </w:r>
    </w:p>
    <w:p>
      <w:pPr>
        <w:bidi/>
        <w:spacing w:after="160" w:line="312"/>
        <w:jc w:val="left"/>
      </w:pPr>
      <w:r>
        <w:rPr>
          <w:rFonts w:ascii="Tahoma" w:cs="Tahoma" w:eastAsia="Tahoma" w:hAnsi="Tahoma"/>
          <w:sz w:val="21"/>
          <w:szCs w:val="21"/>
          <w:rtl/>
        </w:rPr>
        <w:t xml:space="preserve">اهمیت کمّی این موضوع از سهم ۴.۲۲ درصدی آن در پرتفوی به‌هیچ‌وجه پیدا نیست. محاسبه‌ی سهم هر بخش از </w:t>
      </w:r>
      <w:r>
        <w:rPr>
          <w:rFonts w:ascii="Tahoma" w:cs="Tahoma" w:eastAsia="Tahoma" w:hAnsi="Tahoma"/>
          <w:b/>
          <w:bCs/>
          <w:sz w:val="21"/>
          <w:szCs w:val="21"/>
          <w:rtl/>
        </w:rPr>
        <w:t xml:space="preserve">کل مطالبات غیرجاری بانک</w:t>
      </w:r>
      <w:r>
        <w:rPr>
          <w:rFonts w:ascii="Tahoma" w:cs="Tahoma" w:eastAsia="Tahoma" w:hAnsi="Tahoma"/>
          <w:sz w:val="21"/>
          <w:szCs w:val="21"/>
          <w:rtl/>
        </w:rPr>
        <w:t xml:space="preserve"> تصویر متفاوتی می‌دهد:</w:t>
      </w:r>
    </w:p>
    <w:p>
      <w:pPr>
        <w:keepNext/>
        <w:bidi/>
        <w:spacing w:after="100" w:before="200"/>
        <w:jc w:val="left"/>
      </w:pPr>
      <w:r>
        <w:rPr>
          <w:rFonts w:ascii="Tahoma" w:cs="Tahoma" w:eastAsia="Tahoma" w:hAnsi="Tahoma"/>
          <w:b/>
          <w:bCs/>
          <w:sz w:val="21"/>
          <w:szCs w:val="21"/>
          <w:rtl/>
        </w:rPr>
        <w:t xml:space="preserve">جدول ۵-۹: سهم هر بخش اقتصادی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۰.۸۱٪</w:t>
            </w:r>
          </w:p>
        </w:tc>
      </w:tr>
    </w:tbl>
    <w:p>
      <w:pPr>
        <w:spacing w:after="200"/>
      </w:pPr>
    </w:p>
    <w:p>
      <w:pPr>
        <w:bidi/>
        <w:spacing w:after="160" w:line="312"/>
        <w:jc w:val="left"/>
      </w:pPr>
      <w:r>
        <w:rPr>
          <w:rFonts w:ascii="Tahoma" w:cs="Tahoma" w:eastAsia="Tahoma" w:hAnsi="Tahoma"/>
          <w:sz w:val="21"/>
          <w:szCs w:val="21"/>
          <w:rtl/>
        </w:rPr>
        <w:t xml:space="preserve">مقایسه‌ی دو ستون این جدول گویاست. بخش خدمات با بزرگ‌ترین سهم از پرتفوی (۴۰.۸۴ درصد)، تنها ۱۵.۴۳ درصد مطالبات غیرجاری را تولید می‌کند. بخش مسکن و ساختمان با ۱۴.۸۷ درصد پرتفوی، تنها ۲.۲۱ درصد. در مقابل، اعتبارات اسنادی با ۴.۲۲ درصد پرتفوی، </w:t>
      </w:r>
      <w:r>
        <w:rPr>
          <w:rFonts w:ascii="Tahoma" w:cs="Tahoma" w:eastAsia="Tahoma" w:hAnsi="Tahoma"/>
          <w:b/>
          <w:bCs/>
          <w:sz w:val="21"/>
          <w:szCs w:val="21"/>
          <w:rtl/>
        </w:rPr>
        <w:t xml:space="preserve">۴۰.۴۴ درصد کل مطالبات غیرجاری بانک</w:t>
      </w:r>
      <w:r>
        <w:rPr>
          <w:rFonts w:ascii="Tahoma" w:cs="Tahoma" w:eastAsia="Tahoma" w:hAnsi="Tahoma"/>
          <w:sz w:val="21"/>
          <w:szCs w:val="21"/>
          <w:rtl/>
        </w:rPr>
        <w:t xml:space="preserve"> را به خود اختصاص داده است.</w:t>
      </w:r>
    </w:p>
    <w:p>
      <w:pPr>
        <w:bidi/>
        <w:spacing w:after="160" w:line="312"/>
        <w:jc w:val="left"/>
      </w:pPr>
      <w:r>
        <w:rPr>
          <w:rFonts w:ascii="Tahoma" w:cs="Tahoma" w:eastAsia="Tahoma" w:hAnsi="Tahoma"/>
          <w:sz w:val="21"/>
          <w:szCs w:val="21"/>
          <w:rtl/>
        </w:rPr>
        <w:t xml:space="preserve">این یافته در فصل ۶ به‌عنوان موضوع یک بخش مستقل تحلیل شده است.</w:t>
      </w:r>
    </w:p>
    <w:p>
      <w:pPr>
        <w:pBdr>
          <w:bottom w:val="single" w:color="BBBBBB" w:sz="6"/>
        </w:pBdr>
        <w:spacing w:after="100" w:before="100"/>
      </w:pPr>
    </w:p>
    <w:p>
      <w:pPr>
        <w:pStyle w:val="Heading2"/>
        <w:keepNext/>
        <w:bidi/>
        <w:spacing w:after="160" w:before="300"/>
        <w:jc w:val="left"/>
      </w:pPr>
      <w:bookmarkStart w:name="_Toc45" w:id="45"/>
      <w:r>
        <w:rPr>
          <w:rFonts w:ascii="Tahoma" w:cs="Tahoma" w:eastAsia="Tahoma" w:hAnsi="Tahoma"/>
          <w:b/>
          <w:bCs/>
          <w:color w:val="1F4E79"/>
          <w:sz w:val="28"/>
          <w:szCs w:val="28"/>
          <w:rtl/>
        </w:rPr>
        <w:t xml:space="preserve">۵.۵ توزیع اندازه‌ی تسهیلات</w:t>
      </w:r>
      <w:bookmarkEnd w:id="45"/>
    </w:p>
    <w:p>
      <w:pPr>
        <w:pStyle w:val="Heading3"/>
        <w:keepNext/>
        <w:bidi/>
        <w:spacing w:after="160" w:before="300"/>
        <w:jc w:val="left"/>
      </w:pPr>
      <w:r>
        <w:rPr>
          <w:rFonts w:ascii="Tahoma" w:cs="Tahoma" w:eastAsia="Tahoma" w:hAnsi="Tahoma"/>
          <w:b/>
          <w:bCs/>
          <w:color w:val="1F4E79"/>
          <w:sz w:val="24"/>
          <w:szCs w:val="24"/>
          <w:rtl/>
        </w:rPr>
        <w:t xml:space="preserve">۵.۵.۱ توزیع</w:t>
      </w:r>
    </w:p>
    <w:p>
      <w:pPr>
        <w:keepNext/>
        <w:spacing w:after="60" w:before="160"/>
        <w:jc w:val="center"/>
      </w:pPr>
      <w:r>
        <w:drawing>
          <wp:inline distT="0" distB="0" distL="0" distR="0">
            <wp:extent cx="5715000" cy="3429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۵-۴: توزیع تسهیلات بر اساس مبلغ اعطاشده</w:t>
      </w:r>
    </w:p>
    <w:p>
      <w:pPr>
        <w:keepNext/>
        <w:bidi/>
        <w:spacing w:after="100" w:before="200"/>
        <w:jc w:val="left"/>
      </w:pPr>
      <w:r>
        <w:rPr>
          <w:rFonts w:ascii="Tahoma" w:cs="Tahoma" w:eastAsia="Tahoma" w:hAnsi="Tahoma"/>
          <w:b/>
          <w:bCs/>
          <w:sz w:val="21"/>
          <w:szCs w:val="21"/>
          <w:rtl/>
        </w:rPr>
        <w:t xml:space="preserve">جدول ۵-۱۰: توزیع قراردادها بر حسب مبلغ اعطاشده (مبنای اعطا —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۵.۵.۲ تحلیل: تقارن ساختاری با سمت منابع</w:t>
      </w:r>
    </w:p>
    <w:p>
      <w:pPr>
        <w:bidi/>
        <w:spacing w:after="160" w:line="312"/>
        <w:jc w:val="left"/>
      </w:pPr>
      <w:r>
        <w:rPr>
          <w:rFonts w:ascii="Tahoma" w:cs="Tahoma" w:eastAsia="Tahoma" w:hAnsi="Tahoma"/>
          <w:b/>
          <w:bCs/>
          <w:sz w:val="21"/>
          <w:szCs w:val="21"/>
          <w:rtl/>
        </w:rPr>
        <w:t xml:space="preserve">یافته‌ی اصلی.</w:t>
      </w:r>
      <w:r>
        <w:rPr>
          <w:rFonts w:ascii="Tahoma" w:cs="Tahoma" w:eastAsia="Tahoma" w:hAnsi="Tahoma"/>
          <w:sz w:val="21"/>
          <w:szCs w:val="21"/>
          <w:rtl/>
        </w:rPr>
        <w:t xml:space="preserve"> توزیع اندازه‌ی تسهیلات همان عدم تقارن حادی را نشان می‌دهد که در پلکان مانده‌ی سپرده (بخش ۴.۳) مشاهده شد: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۷,۱۹۶ قرارداد، معادل ۱.۱ درصد کل قراردادها، ۴۰.۵۵ درصد مبلغ اعطاشده را در بر می‌گیرند.</w:t>
      </w:r>
      <w:r>
        <w:rPr>
          <w:rFonts w:ascii="Tahoma" w:cs="Tahoma" w:eastAsia="Tahoma" w:hAnsi="Tahoma"/>
          <w:i/>
          <w:iCs/>
          <w:sz w:val="20"/>
          <w:szCs w:val="20"/>
          <w:rtl/>
        </w:rPr>
        <w:t xml:space="preserve"> در مقابل، ۵۲۸,۱۳۲ قرارداد معادل </w:t>
      </w:r>
      <w:r>
        <w:rPr>
          <w:rFonts w:ascii="Tahoma" w:cs="Tahoma" w:eastAsia="Tahoma" w:hAnsi="Tahoma"/>
          <w:b/>
          <w:bCs/>
          <w:i/>
          <w:iCs/>
          <w:sz w:val="20"/>
          <w:szCs w:val="20"/>
          <w:rtl/>
        </w:rPr>
        <w:t xml:space="preserve">۷۷.۲ درصد</w:t>
      </w:r>
      <w:r>
        <w:rPr>
          <w:rFonts w:ascii="Tahoma" w:cs="Tahoma" w:eastAsia="Tahoma" w:hAnsi="Tahoma"/>
          <w:i/>
          <w:iCs/>
          <w:sz w:val="20"/>
          <w:szCs w:val="20"/>
          <w:rtl/>
        </w:rPr>
        <w:t xml:space="preserve">، روی‌هم تنها </w:t>
      </w:r>
      <w:r>
        <w:rPr>
          <w:rFonts w:ascii="Tahoma" w:cs="Tahoma" w:eastAsia="Tahoma" w:hAnsi="Tahoma"/>
          <w:b/>
          <w:bCs/>
          <w:i/>
          <w:iCs/>
          <w:sz w:val="20"/>
          <w:szCs w:val="20"/>
          <w:rtl/>
        </w:rPr>
        <w:t xml:space="preserve">۱۹.۸۵ درصد</w:t>
      </w:r>
      <w:r>
        <w:rPr>
          <w:rFonts w:ascii="Tahoma" w:cs="Tahoma" w:eastAsia="Tahoma" w:hAnsi="Tahoma"/>
          <w:i/>
          <w:iCs/>
          <w:sz w:val="20"/>
          <w:szCs w:val="20"/>
          <w:rtl/>
        </w:rPr>
        <w:t xml:space="preserve"> مبلغ را تشکیل می‌دهند.</w:t>
      </w:r>
    </w:p>
    <w:p>
      <w:pPr>
        <w:bidi/>
        <w:spacing w:after="160" w:line="312"/>
        <w:jc w:val="left"/>
      </w:pPr>
      <w:r>
        <w:rPr>
          <w:rFonts w:ascii="Tahoma" w:cs="Tahoma" w:eastAsia="Tahoma" w:hAnsi="Tahoma"/>
          <w:sz w:val="21"/>
          <w:szCs w:val="21"/>
          <w:rtl/>
        </w:rPr>
        <w:t xml:space="preserve">میانگین اندازه‌ی قرارداد در بالاترین بازه (۱۱.۶ میلیارد تومان) حدود </w:t>
      </w:r>
      <w:r>
        <w:rPr>
          <w:rFonts w:ascii="Tahoma" w:cs="Tahoma" w:eastAsia="Tahoma" w:hAnsi="Tahoma"/>
          <w:b/>
          <w:bCs/>
          <w:sz w:val="21"/>
          <w:szCs w:val="21"/>
          <w:rtl/>
        </w:rPr>
        <w:t xml:space="preserve">۴۵۳ برابر</w:t>
      </w:r>
      <w:r>
        <w:rPr>
          <w:rFonts w:ascii="Tahoma" w:cs="Tahoma" w:eastAsia="Tahoma" w:hAnsi="Tahoma"/>
          <w:sz w:val="21"/>
          <w:szCs w:val="21"/>
          <w:rtl/>
        </w:rPr>
        <w:t xml:space="preserve"> میانگین پایین‌ترین بازه (۲۵.۶ میلیون تومان) است.</w:t>
      </w:r>
    </w:p>
    <w:p>
      <w:pPr>
        <w:bidi/>
        <w:spacing w:after="160" w:line="312"/>
        <w:jc w:val="left"/>
      </w:pPr>
      <w:r>
        <w:rPr>
          <w:rFonts w:ascii="Tahoma" w:cs="Tahoma" w:eastAsia="Tahoma" w:hAnsi="Tahoma"/>
          <w:b/>
          <w:bCs/>
          <w:sz w:val="21"/>
          <w:szCs w:val="21"/>
          <w:rtl/>
        </w:rPr>
        <w:t xml:space="preserve">تقارن با سمت بدهی.</w:t>
      </w:r>
      <w:r>
        <w:rPr>
          <w:rFonts w:ascii="Tahoma" w:cs="Tahoma" w:eastAsia="Tahoma" w:hAnsi="Tahoma"/>
          <w:sz w:val="21"/>
          <w:szCs w:val="21"/>
          <w:rtl/>
        </w:rPr>
        <w:t xml:space="preserve"> قرار دادن این یافته در کنار یافته‌ی بخش ۴.۳ تصویر یکپارچه‌ای از مدل کسب‌وکار بانک ارائه می‌دهد:</w:t>
      </w:r>
    </w:p>
    <w:p>
      <w:pPr>
        <w:keepNext/>
        <w:bidi/>
        <w:spacing w:after="100" w:before="200"/>
        <w:jc w:val="left"/>
      </w:pPr>
      <w:r>
        <w:rPr>
          <w:rFonts w:ascii="Tahoma" w:cs="Tahoma" w:eastAsia="Tahoma" w:hAnsi="Tahoma"/>
          <w:b/>
          <w:bCs/>
          <w:sz w:val="21"/>
          <w:szCs w:val="21"/>
          <w:rtl/>
        </w:rPr>
        <w:t xml:space="preserve">جدول ۵-۱۱: مقایسه‌ی عدم تقارن در دو سمت ترازنامه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65"/>
        <w:gridCol w:w="3142"/>
        <w:gridCol w:w="3143"/>
      </w:tblGrid>
      <w:tr>
        <w:trPr>
          <w:cantSplit/>
          <w:tblHeader/>
        </w:trPr>
        <w:tc>
          <w:tcPr>
            <w:tcW w:type="dxa" w:w="30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سمت ترازنامه</w:t>
            </w:r>
          </w:p>
        </w:tc>
        <w:tc>
          <w:tcPr>
            <w:tcW w:type="dxa" w:w="31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 کوچک بالایی</w:t>
            </w:r>
          </w:p>
        </w:tc>
        <w:tc>
          <w:tcPr>
            <w:tcW w:type="dxa" w:w="31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ارزش</w:t>
            </w:r>
          </w:p>
        </w:tc>
      </w:tr>
      <w:tr>
        <w:trPr>
          <w:cantSplit/>
        </w:trPr>
        <w:tc>
          <w:tcPr>
            <w:tcW w:type="dxa" w:w="30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(سپرده)</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۱.۲۳٪ مشتریان</w:t>
            </w:r>
          </w:p>
        </w:tc>
        <w:tc>
          <w:tcPr>
            <w:tcW w:type="dxa" w:w="31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۸۰.۱۵٪ مانده</w:t>
            </w:r>
          </w:p>
        </w:tc>
      </w:tr>
      <w:tr>
        <w:trPr>
          <w:cantSplit/>
        </w:trPr>
        <w:tc>
          <w:tcPr>
            <w:tcW w:type="dxa" w:w="30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مصارف (تسهیلات)</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 قراردادها</w:t>
            </w:r>
          </w:p>
        </w:tc>
        <w:tc>
          <w:tcPr>
            <w:tcW w:type="dxa" w:w="31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۴۰.۵۵٪ مبلغ اعطا</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هر دو سمت ترازنامه بر گروه کوچکی از روابط بزرگ استوارند، اما شدت این اتکا در سمت منابع به‌مراتب بیشتر است. به بیان دیگر، بانک در تجهیز منابع متمرکزتر از تخصیص آن‌ها عمل می‌کند.</w:t>
      </w:r>
    </w:p>
    <w:p>
      <w:pPr>
        <w:bidi/>
        <w:spacing w:after="160" w:line="312"/>
        <w:jc w:val="left"/>
      </w:pPr>
      <w:r>
        <w:rPr>
          <w:rFonts w:ascii="Tahoma" w:cs="Tahoma" w:eastAsia="Tahoma" w:hAnsi="Tahoma"/>
          <w:sz w:val="21"/>
          <w:szCs w:val="21"/>
          <w:rtl/>
        </w:rPr>
        <w:t xml:space="preserve">این عدم تقارن دوگانه، مدل کسب‌وکار بانک را در معرض یک آسیب‌پذیری مشخص قرار می‌دهد: منابع از گروه بسیار کوچکی تأمین می‌شود، در حالی که این منابع در پرتفوی وسیع‌تری از تسهیلات — با سررسیدهای بلندتر (بخش ۵.۶) — به کار گرفته شده‌اند. ارزیابی کمّی این ریسک مستلزم داده‌ی سررسید سپرده است که در پایگاه‌داده موجود نیست و در فصل ۹ درخواست شده است.</w:t>
      </w:r>
    </w:p>
    <w:p>
      <w:pPr>
        <w:bidi/>
        <w:spacing w:after="160" w:line="312"/>
        <w:jc w:val="left"/>
      </w:pPr>
      <w:r>
        <w:rPr>
          <w:rFonts w:ascii="Tahoma" w:cs="Tahoma" w:eastAsia="Tahoma" w:hAnsi="Tahoma"/>
          <w:b/>
          <w:bCs/>
          <w:sz w:val="21"/>
          <w:szCs w:val="21"/>
          <w:rtl/>
        </w:rPr>
        <w:t xml:space="preserve">تذکر روش‌شناختی.</w:t>
      </w:r>
      <w:r>
        <w:rPr>
          <w:rFonts w:ascii="Tahoma" w:cs="Tahoma" w:eastAsia="Tahoma" w:hAnsi="Tahoma"/>
          <w:sz w:val="21"/>
          <w:szCs w:val="21"/>
          <w:rtl/>
        </w:rPr>
        <w:t xml:space="preserve"> ارقام این جدول بر مبنای </w:t>
      </w:r>
      <w:r>
        <w:rPr>
          <w:rFonts w:ascii="Tahoma" w:cs="Tahoma" w:eastAsia="Tahoma" w:hAnsi="Tahoma"/>
          <w:b/>
          <w:bCs/>
          <w:sz w:val="21"/>
          <w:szCs w:val="21"/>
          <w:rtl/>
        </w:rPr>
        <w:t xml:space="preserve">مبلغ اعطا</w:t>
      </w:r>
      <w:r>
        <w:rPr>
          <w:rFonts w:ascii="Tahoma" w:cs="Tahoma" w:eastAsia="Tahoma" w:hAnsi="Tahoma"/>
          <w:sz w:val="21"/>
          <w:szCs w:val="21"/>
          <w:rtl/>
        </w:rPr>
        <w:t xml:space="preserve"> محاسبه شده‌اند و نه مانده‌ی فعلی. قراردادهای بزرگ‌تر معمولاً سررسید بلندتری دارند و لذا سهم آن‌ها از مانده‌ی فعلی می‌تواند متفاوت باشد. تحلیل مطالبات غیرجاری به تفکیک اندازه در فصل ۶، همین تفکیک را بر مبنای مانده ارائه می‌کند.</w:t>
      </w:r>
    </w:p>
    <w:p>
      <w:pPr>
        <w:pBdr>
          <w:bottom w:val="single" w:color="BBBBBB" w:sz="6"/>
        </w:pBdr>
        <w:spacing w:after="100" w:before="100"/>
      </w:pPr>
    </w:p>
    <w:p>
      <w:pPr>
        <w:pStyle w:val="Heading2"/>
        <w:keepNext/>
        <w:bidi/>
        <w:spacing w:after="160" w:before="300"/>
        <w:jc w:val="left"/>
      </w:pPr>
      <w:bookmarkStart w:name="_Toc46" w:id="46"/>
      <w:r>
        <w:rPr>
          <w:rFonts w:ascii="Tahoma" w:cs="Tahoma" w:eastAsia="Tahoma" w:hAnsi="Tahoma"/>
          <w:b/>
          <w:bCs/>
          <w:color w:val="1F4E79"/>
          <w:sz w:val="28"/>
          <w:szCs w:val="28"/>
          <w:rtl/>
        </w:rPr>
        <w:t xml:space="preserve">۵.۶ پروفایل سررسید</w:t>
      </w:r>
      <w:bookmarkEnd w:id="46"/>
    </w:p>
    <w:p>
      <w:pPr>
        <w:pStyle w:val="Heading3"/>
        <w:keepNext/>
        <w:bidi/>
        <w:spacing w:after="160" w:before="300"/>
        <w:jc w:val="left"/>
      </w:pPr>
      <w:r>
        <w:rPr>
          <w:rFonts w:ascii="Tahoma" w:cs="Tahoma" w:eastAsia="Tahoma" w:hAnsi="Tahoma"/>
          <w:b/>
          <w:bCs/>
          <w:color w:val="1F4E79"/>
          <w:sz w:val="24"/>
          <w:szCs w:val="24"/>
          <w:rtl/>
        </w:rPr>
        <w:t xml:space="preserve">۵.۶.۱ دامنه‌ی محاسبه</w:t>
      </w:r>
    </w:p>
    <w:p>
      <w:pPr>
        <w:bidi/>
        <w:spacing w:after="160" w:line="312"/>
        <w:jc w:val="left"/>
      </w:pPr>
      <w:r>
        <w:rPr>
          <w:rFonts w:ascii="Tahoma" w:cs="Tahoma" w:eastAsia="Tahoma" w:hAnsi="Tahoma"/>
          <w:sz w:val="21"/>
          <w:szCs w:val="21"/>
          <w:rtl/>
        </w:rPr>
        <w:t xml:space="preserve">این تحلیل مستلزم دو قلم داده است که تنها برای بخشی از پرتفوی موجودند: تاریخ اعطا و مدت قرارداد. دامنه‌ی پوشش آن به شرح زیر است:</w:t>
      </w:r>
    </w:p>
    <w:p>
      <w:pPr>
        <w:keepNext/>
        <w:bidi/>
        <w:spacing w:after="100" w:before="200"/>
        <w:jc w:val="left"/>
      </w:pPr>
      <w:r>
        <w:rPr>
          <w:rFonts w:ascii="Tahoma" w:cs="Tahoma" w:eastAsia="Tahoma" w:hAnsi="Tahoma"/>
          <w:b/>
          <w:bCs/>
          <w:sz w:val="21"/>
          <w:szCs w:val="21"/>
          <w:rtl/>
        </w:rPr>
        <w:t xml:space="preserve">جدول ۵-۱۲: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۷۶.۸۴٪ از الف</w:t>
            </w:r>
          </w:p>
        </w:tc>
      </w:tr>
    </w:tbl>
    <w:p>
      <w:pPr>
        <w:spacing w:after="200"/>
      </w:pPr>
    </w:p>
    <w:p>
      <w:pPr>
        <w:bidi/>
        <w:spacing w:after="160" w:line="312"/>
        <w:jc w:val="left"/>
      </w:pPr>
      <w:r>
        <w:rPr>
          <w:rFonts w:ascii="Tahoma" w:cs="Tahoma" w:eastAsia="Tahoma" w:hAnsi="Tahoma"/>
          <w:sz w:val="21"/>
          <w:szCs w:val="21"/>
          <w:rtl/>
        </w:rPr>
        <w:t xml:space="preserve">نکته‌ی مثبت آن است که با وجود پوشش تعدادی ۶۷.۴ درصدی، پوشش </w:t>
      </w:r>
      <w:r>
        <w:rPr>
          <w:rFonts w:ascii="Tahoma" w:cs="Tahoma" w:eastAsia="Tahoma" w:hAnsi="Tahoma"/>
          <w:b/>
          <w:bCs/>
          <w:sz w:val="21"/>
          <w:szCs w:val="21"/>
          <w:rtl/>
        </w:rPr>
        <w:t xml:space="preserve">ارزشی</w:t>
      </w:r>
      <w:r>
        <w:rPr>
          <w:rFonts w:ascii="Tahoma" w:cs="Tahoma" w:eastAsia="Tahoma" w:hAnsi="Tahoma"/>
          <w:sz w:val="21"/>
          <w:szCs w:val="21"/>
          <w:rtl/>
        </w:rPr>
        <w:t xml:space="preserve"> این تحلیل ۹۹.۰۲ درصد پرتفوی شناخته‌شده است. یعنی قراردادهای فاقد داده‌ی سررسید عمدتاً قراردادهای خُرد هستند و حذف آن‌ها تصویر ارزشی را به‌طور محسوس تغییر نمی‌دهد.</w:t>
      </w:r>
    </w:p>
    <w:p>
      <w:pPr>
        <w:pStyle w:val="Heading3"/>
        <w:keepNext/>
        <w:bidi/>
        <w:spacing w:after="160" w:before="300"/>
        <w:jc w:val="left"/>
      </w:pPr>
      <w:r>
        <w:rPr>
          <w:rFonts w:ascii="Tahoma" w:cs="Tahoma" w:eastAsia="Tahoma" w:hAnsi="Tahoma"/>
          <w:b/>
          <w:bCs/>
          <w:color w:val="1F4E79"/>
          <w:sz w:val="24"/>
          <w:szCs w:val="24"/>
          <w:rtl/>
        </w:rPr>
        <w:t xml:space="preserve">۵.۶.۲ توزیع</w:t>
      </w:r>
    </w:p>
    <w:p>
      <w:pPr>
        <w:keepNext/>
        <w:spacing w:after="60" w:before="160"/>
        <w:jc w:val="center"/>
      </w:pPr>
      <w:r>
        <w:drawing>
          <wp:inline distT="0" distB="0" distL="0" distR="0">
            <wp:extent cx="5715000" cy="3429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۵-۵: پروفایل سررسید پرتفوی تسهیلات بر حسب عمر باقی‌مانده</w:t>
      </w:r>
    </w:p>
    <w:p>
      <w:pPr>
        <w:keepNext/>
        <w:bidi/>
        <w:spacing w:after="100" w:before="200"/>
        <w:jc w:val="left"/>
      </w:pPr>
      <w:r>
        <w:rPr>
          <w:rFonts w:ascii="Tahoma" w:cs="Tahoma" w:eastAsia="Tahoma" w:hAnsi="Tahoma"/>
          <w:b/>
          <w:bCs/>
          <w:sz w:val="21"/>
          <w:szCs w:val="21"/>
          <w:rtl/>
        </w:rPr>
        <w:t xml:space="preserve">جدول ۵-۱۳: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۵.۶.۳ تحلیل</w:t>
      </w:r>
    </w:p>
    <w:p>
      <w:pPr>
        <w:bidi/>
        <w:spacing w:after="160" w:line="312"/>
        <w:jc w:val="left"/>
      </w:pPr>
      <w:r>
        <w:rPr>
          <w:rFonts w:ascii="Tahoma" w:cs="Tahoma" w:eastAsia="Tahoma" w:hAnsi="Tahoma"/>
          <w:b/>
          <w:bCs/>
          <w:sz w:val="21"/>
          <w:szCs w:val="21"/>
          <w:rtl/>
        </w:rPr>
        <w:t xml:space="preserve">ساختار سررسید.</w:t>
      </w:r>
      <w:r>
        <w:rPr>
          <w:rFonts w:ascii="Tahoma" w:cs="Tahoma" w:eastAsia="Tahoma" w:hAnsi="Tahoma"/>
          <w:sz w:val="21"/>
          <w:szCs w:val="21"/>
          <w:rtl/>
        </w:rPr>
        <w:t xml:space="preserve"> جمع‌بندی بازه‌ها تصویر زیر را به دست می‌دهد: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۴۲.۸۵ درصد</w:t>
      </w:r>
      <w:r>
        <w:rPr>
          <w:rFonts w:ascii="Tahoma" w:cs="Tahoma" w:eastAsia="Tahoma" w:hAnsi="Tahoma"/>
          <w:sz w:val="21"/>
          <w:szCs w:val="21"/>
          <w:rtl/>
        </w:rPr>
        <w:t xml:space="preserve"> پرتفوی ظرف یک سال سررسید می‌شود یا سررسید آن گذشته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۲۵.۷۶ درصد</w:t>
      </w:r>
      <w:r>
        <w:rPr>
          <w:rFonts w:ascii="Tahoma" w:cs="Tahoma" w:eastAsia="Tahoma" w:hAnsi="Tahoma"/>
          <w:sz w:val="21"/>
          <w:szCs w:val="21"/>
          <w:rtl/>
        </w:rPr>
        <w:t xml:space="preserve"> در بازه‌ی یک تا سه سال</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۳۱.۴۰ درصد</w:t>
      </w:r>
      <w:r>
        <w:rPr>
          <w:rFonts w:ascii="Tahoma" w:cs="Tahoma" w:eastAsia="Tahoma" w:hAnsi="Tahoma"/>
          <w:sz w:val="21"/>
          <w:szCs w:val="21"/>
          <w:rtl/>
        </w:rPr>
        <w:t xml:space="preserve"> بیش از سه سال</w:t>
      </w:r>
    </w:p>
    <w:p>
      <w:pPr>
        <w:bidi/>
        <w:spacing w:after="160" w:line="312"/>
        <w:jc w:val="left"/>
      </w:pPr>
      <w:r>
        <w:rPr>
          <w:rFonts w:ascii="Tahoma" w:cs="Tahoma" w:eastAsia="Tahoma" w:hAnsi="Tahoma"/>
          <w:sz w:val="21"/>
          <w:szCs w:val="21"/>
          <w:rtl/>
        </w:rPr>
        <w:t xml:space="preserve">این ساختار نسبتاً متوازن است و تمرکز افراطی در هیچ بازه‌ای مشاهده نمی‌شود. بزرگ‌ترین قلم منفرد، بازه‌ی ۹۱ تا ۳۶۵ روز با ۳۴.۵۰ درصد است که بازگشت نقدینگی قابل توجهی را در افق یک‌ساله نوید می‌دهد.</w:t>
      </w:r>
    </w:p>
    <w:p>
      <w:pPr>
        <w:bidi/>
        <w:spacing w:after="160" w:line="312"/>
        <w:jc w:val="left"/>
      </w:pPr>
      <w:r>
        <w:rPr>
          <w:rFonts w:ascii="Tahoma" w:cs="Tahoma" w:eastAsia="Tahoma" w:hAnsi="Tahoma"/>
          <w:b/>
          <w:bCs/>
          <w:sz w:val="21"/>
          <w:szCs w:val="21"/>
          <w:rtl/>
        </w:rPr>
        <w:t xml:space="preserve">ملاحظه‌ی مدیریت نقدینگی.</w:t>
      </w:r>
      <w:r>
        <w:rPr>
          <w:rFonts w:ascii="Tahoma" w:cs="Tahoma" w:eastAsia="Tahoma" w:hAnsi="Tahoma"/>
          <w:sz w:val="21"/>
          <w:szCs w:val="21"/>
          <w:rtl/>
        </w:rPr>
        <w:t xml:space="preserve"> با این حال، این ساختار باید در کنار یافته‌ی بخش ۴.۵ خوانده شود. در آنجا نشان داده شد که بخش قابل توجهی از منابع بانک نوسان بالایی دارند و لذا از ثبات کافی برخوردار نیستند. تخصیص ۳۱.۴۰ درصد پرتفوی به سررسیدهای بیش از سه سال، در حالی که پایداری منابع تأمین‌کننده‌ی آن محل تردید است، یک </w:t>
      </w:r>
      <w:r>
        <w:rPr>
          <w:rFonts w:ascii="Tahoma" w:cs="Tahoma" w:eastAsia="Tahoma" w:hAnsi="Tahoma"/>
          <w:b/>
          <w:bCs/>
          <w:sz w:val="21"/>
          <w:szCs w:val="21"/>
          <w:rtl/>
        </w:rPr>
        <w:t xml:space="preserve">عدم تطابق سررسید</w:t>
      </w:r>
      <w:r>
        <w:rPr>
          <w:rFonts w:ascii="Tahoma" w:cs="Tahoma" w:eastAsia="Tahoma" w:hAnsi="Tahoma"/>
          <w:sz w:val="21"/>
          <w:szCs w:val="21"/>
          <w:rtl/>
        </w:rPr>
        <w:t xml:space="preserve"> بالقوه ایجاد می‌کند.</w:t>
      </w:r>
    </w:p>
    <w:p>
      <w:pPr>
        <w:bidi/>
        <w:spacing w:after="160" w:line="312"/>
        <w:jc w:val="left"/>
      </w:pPr>
      <w:r>
        <w:rPr>
          <w:rFonts w:ascii="Tahoma" w:cs="Tahoma" w:eastAsia="Tahoma" w:hAnsi="Tahoma"/>
          <w:sz w:val="21"/>
          <w:szCs w:val="21"/>
          <w:rtl/>
        </w:rPr>
        <w:t xml:space="preserve">ارزیابی دقیق این عدم تطابق در فاز ۱ ممکن نیست، زیرا داده‌ی سررسید سپرده در پایگاه‌داده موجود نیست. این موضوع در فصل ۹ به‌عنوان یکی از اقلام درخواستی ثبت شده است.</w:t>
      </w:r>
    </w:p>
    <w:p>
      <w:pPr>
        <w:bidi/>
        <w:spacing w:after="160" w:line="312"/>
        <w:jc w:val="left"/>
      </w:pPr>
      <w:r>
        <w:rPr>
          <w:rFonts w:ascii="Tahoma" w:cs="Tahoma" w:eastAsia="Tahoma" w:hAnsi="Tahoma"/>
          <w:b/>
          <w:bCs/>
          <w:sz w:val="21"/>
          <w:szCs w:val="21"/>
          <w:rtl/>
        </w:rPr>
        <w:t xml:space="preserve">تذکر روش‌شناختی درباره‌ی سطل سررسیدگذشته.</w:t>
      </w:r>
      <w:r>
        <w:rPr>
          <w:rFonts w:ascii="Tahoma" w:cs="Tahoma" w:eastAsia="Tahoma" w:hAnsi="Tahoma"/>
          <w:sz w:val="21"/>
          <w:szCs w:val="21"/>
          <w:rtl/>
        </w:rPr>
        <w:t xml:space="preserve"> رقم ۴.۰۴ درصد </w:t>
      </w:r>
      <w:r>
        <w:rPr>
          <w:rFonts w:ascii="Tahoma" w:cs="Tahoma" w:eastAsia="Tahoma" w:hAnsi="Tahoma"/>
          <w:b/>
          <w:bCs/>
          <w:sz w:val="21"/>
          <w:szCs w:val="21"/>
          <w:rtl/>
        </w:rPr>
        <w:t xml:space="preserve">معادل مطالبات غیرجاری نیست</w:t>
      </w:r>
      <w:r>
        <w:rPr>
          <w:rFonts w:ascii="Tahoma" w:cs="Tahoma" w:eastAsia="Tahoma" w:hAnsi="Tahoma"/>
          <w:sz w:val="21"/>
          <w:szCs w:val="21"/>
          <w:rtl/>
        </w:rPr>
        <w:t xml:space="preserve"> و نباید با نسبت ۸.۷۶ درصدی جدول ۵-۸ مقایسه یا خلط شود. یک قرارداد می‌تواند تاریخ سررسید اولیه‌ی خود را پشت سر گذاشته باشد اما به‌موجب تمدید یا استمهال، همچنان در طبقه‌ی جاری قرار داشته باشد. این دو سنجه دو پدیده‌ی متفاوت را اندازه می‌گیرند.</w:t>
      </w:r>
    </w:p>
    <w:p>
      <w:pPr>
        <w:pBdr>
          <w:bottom w:val="single" w:color="BBBBBB" w:sz="6"/>
        </w:pBdr>
        <w:spacing w:after="100" w:before="100"/>
      </w:pPr>
    </w:p>
    <w:p>
      <w:pPr>
        <w:pStyle w:val="Heading2"/>
        <w:keepNext/>
        <w:bidi/>
        <w:spacing w:after="160" w:before="300"/>
        <w:jc w:val="left"/>
      </w:pPr>
      <w:bookmarkStart w:name="_Toc47" w:id="47"/>
      <w:r>
        <w:rPr>
          <w:rFonts w:ascii="Tahoma" w:cs="Tahoma" w:eastAsia="Tahoma" w:hAnsi="Tahoma"/>
          <w:b/>
          <w:bCs/>
          <w:color w:val="1F4E79"/>
          <w:sz w:val="28"/>
          <w:szCs w:val="28"/>
          <w:rtl/>
        </w:rPr>
        <w:t xml:space="preserve">۵.۷ نرخ سود مؤثر قراردادی</w:t>
      </w:r>
      <w:bookmarkEnd w:id="47"/>
    </w:p>
    <w:p>
      <w:pPr>
        <w:pStyle w:val="Heading3"/>
        <w:keepNext/>
        <w:bidi/>
        <w:spacing w:after="160" w:before="300"/>
        <w:jc w:val="left"/>
      </w:pPr>
      <w:r>
        <w:rPr>
          <w:rFonts w:ascii="Tahoma" w:cs="Tahoma" w:eastAsia="Tahoma" w:hAnsi="Tahoma"/>
          <w:b/>
          <w:bCs/>
          <w:color w:val="1F4E79"/>
          <w:sz w:val="24"/>
          <w:szCs w:val="24"/>
          <w:rtl/>
        </w:rPr>
        <w:t xml:space="preserve">۵.۷.۱ تعریف و دامنه</w:t>
      </w:r>
    </w:p>
    <w:p>
      <w:pPr>
        <w:bidi/>
        <w:spacing w:after="160" w:line="312"/>
        <w:jc w:val="left"/>
      </w:pPr>
      <w:r>
        <w:rPr>
          <w:rFonts w:ascii="Tahoma" w:cs="Tahoma" w:eastAsia="Tahoma" w:hAnsi="Tahoma"/>
          <w:sz w:val="21"/>
          <w:szCs w:val="21"/>
          <w:rtl/>
        </w:rPr>
        <w:t xml:space="preserve">نرخ‌های ارائه‌شده در این بخش </w:t>
      </w:r>
      <w:r>
        <w:rPr>
          <w:rFonts w:ascii="Tahoma" w:cs="Tahoma" w:eastAsia="Tahoma" w:hAnsi="Tahoma"/>
          <w:b/>
          <w:bCs/>
          <w:sz w:val="21"/>
          <w:szCs w:val="21"/>
          <w:rtl/>
        </w:rPr>
        <w:t xml:space="preserve">نرخ قراردادی</w:t>
      </w:r>
      <w:r>
        <w:rPr>
          <w:rFonts w:ascii="Tahoma" w:cs="Tahoma" w:eastAsia="Tahoma" w:hAnsi="Tahoma"/>
          <w:sz w:val="21"/>
          <w:szCs w:val="21"/>
          <w:rtl/>
        </w:rPr>
        <w:t xml:space="preserve"> هستند و نه نرخ محقق‌شده. این تمایز اهمیت دارد: نرخ قراردادی بازدهی است که در متن قرارداد درج شده، در حالی که بازده واقعی تابع نکول، تمدید و بخشودگی نیز هست. محاسبه بر مبنای </w:t>
      </w:r>
      <w:r>
        <w:rPr>
          <w:rFonts w:ascii="Tahoma" w:cs="Tahoma" w:eastAsia="Tahoma" w:hAnsi="Tahoma"/>
          <w:b/>
          <w:bCs/>
          <w:sz w:val="21"/>
          <w:szCs w:val="21"/>
          <w:rtl/>
        </w:rPr>
        <w:t xml:space="preserve">میانگین وزنی با وزن مبلغ اعطا</w:t>
      </w:r>
      <w:r>
        <w:rPr>
          <w:rFonts w:ascii="Tahoma" w:cs="Tahoma" w:eastAsia="Tahoma" w:hAnsi="Tahoma"/>
          <w:sz w:val="21"/>
          <w:szCs w:val="21"/>
          <w:rtl/>
        </w:rPr>
        <w:t xml:space="preserve"> انجام شده است.</w:t>
      </w:r>
    </w:p>
    <w:p>
      <w:pPr>
        <w:keepNext/>
        <w:spacing w:after="60" w:before="160"/>
        <w:jc w:val="center"/>
      </w:pPr>
      <w:r>
        <w:drawing>
          <wp:inline distT="0" distB="0" distL="0" distR="0">
            <wp:extent cx="5715000" cy="2286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۵-۶: نرخ سود مؤثر قراردادی تسهیلات به تفکیک نوع عقد</w:t>
      </w:r>
    </w:p>
    <w:p>
      <w:pPr>
        <w:keepNext/>
        <w:bidi/>
        <w:spacing w:after="100" w:before="200"/>
        <w:jc w:val="left"/>
      </w:pPr>
      <w:r>
        <w:rPr>
          <w:rFonts w:ascii="Tahoma" w:cs="Tahoma" w:eastAsia="Tahoma" w:hAnsi="Tahoma"/>
          <w:b/>
          <w:bCs/>
          <w:sz w:val="21"/>
          <w:szCs w:val="21"/>
          <w:rtl/>
        </w:rPr>
        <w:t xml:space="preserve">جدول ۵-۱۴: نرخ سود مؤثر قراردادی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70"/>
        <w:gridCol w:w="2970"/>
        <w:gridCol w:w="1932"/>
        <w:gridCol w:w="2278"/>
      </w:tblGrid>
      <w:tr>
        <w:trPr>
          <w:cantSplit/>
          <w:tblHeader/>
        </w:trPr>
        <w:tc>
          <w:tcPr>
            <w:tcW w:type="dxa" w:w="21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9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9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اعطا</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قراردادی</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۲۱.۵۴٪</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۶۱.۶٪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۲۰.۵۰٪</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۱۹.۸۹٪</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۱۷.۶۴٪</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۱۶.۲۷٪</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۱۲.۴۶٪</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۳.۹۷٪</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۱۸.۰۸٪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۵.۷.۲ تحلیل</w:t>
      </w:r>
    </w:p>
    <w:p>
      <w:pPr>
        <w:bidi/>
        <w:spacing w:after="160" w:line="312"/>
        <w:jc w:val="left"/>
      </w:pPr>
      <w:r>
        <w:rPr>
          <w:rFonts w:ascii="Tahoma" w:cs="Tahoma" w:eastAsia="Tahoma" w:hAnsi="Tahoma"/>
          <w:b/>
          <w:bCs/>
          <w:sz w:val="21"/>
          <w:szCs w:val="21"/>
          <w:rtl/>
        </w:rPr>
        <w:t xml:space="preserve">اثر قرض‌الحسنه بر بازده کل.</w:t>
      </w:r>
      <w:r>
        <w:rPr>
          <w:rFonts w:ascii="Tahoma" w:cs="Tahoma" w:eastAsia="Tahoma" w:hAnsi="Tahoma"/>
          <w:sz w:val="21"/>
          <w:szCs w:val="21"/>
          <w:rtl/>
        </w:rPr>
        <w:t xml:space="preserve"> تسهیلات قرض‌الحسنه با ۱۰.۴ درصد سهم از مبلغ اعطاشده و نرخ ۳.۹۷ درصد، میانگین وزنی کل را به‌طور محسوس کاهش می‌دهد. محاسبه‌ی مجدد با کنار گذاشتن این عقد، نرخ را به </w:t>
      </w:r>
      <w:r>
        <w:rPr>
          <w:rFonts w:ascii="Tahoma" w:cs="Tahoma" w:eastAsia="Tahoma" w:hAnsi="Tahoma"/>
          <w:b/>
          <w:bCs/>
          <w:sz w:val="21"/>
          <w:szCs w:val="21"/>
          <w:rtl/>
        </w:rPr>
        <w:t xml:space="preserve">۱۹.۷۲ درصد</w:t>
      </w:r>
      <w:r>
        <w:rPr>
          <w:rFonts w:ascii="Tahoma" w:cs="Tahoma" w:eastAsia="Tahoma" w:hAnsi="Tahoma"/>
          <w:sz w:val="21"/>
          <w:szCs w:val="21"/>
          <w:rtl/>
        </w:rPr>
        <w:t xml:space="preserve"> می‌رساند؛ یعنی حدود </w:t>
      </w:r>
      <w:r>
        <w:rPr>
          <w:rFonts w:ascii="Tahoma" w:cs="Tahoma" w:eastAsia="Tahoma" w:hAnsi="Tahoma"/>
          <w:b/>
          <w:bCs/>
          <w:sz w:val="21"/>
          <w:szCs w:val="21"/>
          <w:rtl/>
        </w:rPr>
        <w:t xml:space="preserve">۱.۶۴ واحد درصد</w:t>
      </w:r>
      <w:r>
        <w:rPr>
          <w:rFonts w:ascii="Tahoma" w:cs="Tahoma" w:eastAsia="Tahoma" w:hAnsi="Tahoma"/>
          <w:sz w:val="21"/>
          <w:szCs w:val="21"/>
          <w:rtl/>
        </w:rPr>
        <w:t xml:space="preserve"> بالاتر.</w:t>
      </w:r>
    </w:p>
    <w:p>
      <w:pPr>
        <w:bidi/>
        <w:spacing w:after="160" w:line="312"/>
        <w:jc w:val="left"/>
      </w:pPr>
      <w:r>
        <w:rPr>
          <w:rFonts w:ascii="Tahoma" w:cs="Tahoma" w:eastAsia="Tahoma" w:hAnsi="Tahoma"/>
          <w:sz w:val="21"/>
          <w:szCs w:val="21"/>
          <w:rtl/>
        </w:rPr>
        <w:t xml:space="preserve">این تفکیک از منظر تحلیل عملکرد اهمیت دارد. تسهیلات قرض‌الحسنه ماهیتاً بخشی از مأموریت اجتماعی بانک است و نه یک محصول سودآور. بنابراین:</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در ارزیابی عملکرد تجاری بانک، نرخ </w:t>
      </w:r>
      <w:r>
        <w:rPr>
          <w:rFonts w:ascii="Tahoma" w:cs="Tahoma" w:eastAsia="Tahoma" w:hAnsi="Tahoma"/>
          <w:b/>
          <w:bCs/>
          <w:i/>
          <w:iCs/>
          <w:sz w:val="20"/>
          <w:szCs w:val="20"/>
          <w:rtl/>
        </w:rPr>
        <w:t xml:space="preserve">۱۹.۷۲ درصد</w:t>
      </w:r>
      <w:r>
        <w:rPr>
          <w:rFonts w:ascii="Tahoma" w:cs="Tahoma" w:eastAsia="Tahoma" w:hAnsi="Tahoma"/>
          <w:i/>
          <w:iCs/>
          <w:sz w:val="20"/>
          <w:szCs w:val="20"/>
          <w:rtl/>
        </w:rPr>
        <w:t xml:space="preserve"> (بازده پرتفوی تجاری) سنجه‌ی مناسب‌تری از نرخ ۱۸.۰۸ درصد (بازده کل پرتفوی) است. رقم نخست عملکرد را می‌سنجد و رقم دوم، اثر توأمان عملکرد و مأموریت اجتماعی را.</w:t>
      </w:r>
    </w:p>
    <w:p>
      <w:pPr>
        <w:bidi/>
        <w:spacing w:after="160" w:line="312"/>
        <w:jc w:val="left"/>
      </w:pPr>
      <w:r>
        <w:rPr>
          <w:rFonts w:ascii="Tahoma" w:cs="Tahoma" w:eastAsia="Tahoma" w:hAnsi="Tahoma"/>
          <w:sz w:val="21"/>
          <w:szCs w:val="21"/>
          <w:rtl/>
        </w:rPr>
        <w:t xml:space="preserve">هر دو رقم در فصل ۸ در محاسبه‌ی حاشیه به کار رفته‌اند و تفاوت آن‌ها صریحاً نشان داده شده است.</w:t>
      </w:r>
    </w:p>
    <w:p>
      <w:pPr>
        <w:bidi/>
        <w:spacing w:after="160" w:line="312"/>
        <w:jc w:val="left"/>
      </w:pPr>
      <w:r>
        <w:rPr>
          <w:rFonts w:ascii="Tahoma" w:cs="Tahoma" w:eastAsia="Tahoma" w:hAnsi="Tahoma"/>
          <w:b/>
          <w:bCs/>
          <w:sz w:val="21"/>
          <w:szCs w:val="21"/>
          <w:rtl/>
        </w:rPr>
        <w:t xml:space="preserve">دامنه‌ی نرخ‌ها.</w:t>
      </w:r>
      <w:r>
        <w:rPr>
          <w:rFonts w:ascii="Tahoma" w:cs="Tahoma" w:eastAsia="Tahoma" w:hAnsi="Tahoma"/>
          <w:sz w:val="21"/>
          <w:szCs w:val="21"/>
          <w:rtl/>
        </w:rPr>
        <w:t xml:space="preserve"> به‌استثنای قرض‌الحسنه و جعاله، نرخ سایر عقود در بازه‌ی نسبتاً باریک ۱۶.۲۷ تا ۲۱.۵۴ درصد قرار دارد. این همگرایی نشان می‌دهد که تفاوت نرخ میان عقود، عامل تعیین‌کننده‌ای در ترکیب پرتفوی نبوده است.</w:t>
      </w:r>
    </w:p>
    <w:p>
      <w:pPr>
        <w:bidi/>
        <w:spacing w:after="160" w:line="312"/>
        <w:jc w:val="left"/>
      </w:pPr>
      <w:r>
        <w:rPr>
          <w:rFonts w:ascii="Tahoma" w:cs="Tahoma" w:eastAsia="Tahoma" w:hAnsi="Tahoma"/>
          <w:b/>
          <w:bCs/>
          <w:sz w:val="21"/>
          <w:szCs w:val="21"/>
          <w:rtl/>
        </w:rPr>
        <w:t xml:space="preserve">رابطه‌ی نرخ و ریسک.</w:t>
      </w:r>
      <w:r>
        <w:rPr>
          <w:rFonts w:ascii="Tahoma" w:cs="Tahoma" w:eastAsia="Tahoma" w:hAnsi="Tahoma"/>
          <w:sz w:val="21"/>
          <w:szCs w:val="21"/>
          <w:rtl/>
        </w:rPr>
        <w:t xml:space="preserve"> مشارکت مدنی بالاترین نرخ قراردادی (۲۱.۵۴ درصد) را دارد که با ماهیت مشارکتی و ریسک بالاتر آن سازگار است. با این حال، چنان‌که در بخش بعد نشان داده می‌شود، همین عقد پایین‌ترین پوشش وثیقه را نیز دارد — ترکیبی که نیازمند توجه است.</w:t>
      </w:r>
    </w:p>
    <w:p>
      <w:pPr>
        <w:bidi/>
        <w:spacing w:after="160" w:line="312"/>
        <w:jc w:val="left"/>
      </w:pPr>
      <w:r>
        <w:rPr>
          <w:rFonts w:ascii="Tahoma" w:cs="Tahoma" w:eastAsia="Tahoma" w:hAnsi="Tahoma"/>
          <w:b/>
          <w:bCs/>
          <w:sz w:val="21"/>
          <w:szCs w:val="21"/>
          <w:rtl/>
        </w:rPr>
        <w:t xml:space="preserve">محدودیت.</w:t>
      </w:r>
      <w:r>
        <w:rPr>
          <w:rFonts w:ascii="Tahoma" w:cs="Tahoma" w:eastAsia="Tahoma" w:hAnsi="Tahoma"/>
          <w:sz w:val="21"/>
          <w:szCs w:val="21"/>
          <w:rtl/>
        </w:rPr>
        <w:t xml:space="preserve"> تمام ارقام این جدول بر مبنای الف-۱ محاسبه شده‌اند. برای ۲۲.۴ درصد پرتفوی که رکورد قرارداد ندارد، نرخ سود قراردادی در دسترس نیست. بنابراین بازده واقعی کل پرتفوی می‌تواند از ۱۸.۰۸ درصد متفاوت باشد، هرچند جهت این انحراف نامعلوم است.</w:t>
      </w:r>
    </w:p>
    <w:p>
      <w:pPr>
        <w:pBdr>
          <w:bottom w:val="single" w:color="BBBBBB" w:sz="6"/>
        </w:pBdr>
        <w:spacing w:after="100" w:before="100"/>
      </w:pPr>
    </w:p>
    <w:p>
      <w:pPr>
        <w:pStyle w:val="Heading2"/>
        <w:keepNext/>
        <w:bidi/>
        <w:spacing w:after="160" w:before="300"/>
        <w:jc w:val="left"/>
      </w:pPr>
      <w:bookmarkStart w:name="_Toc48" w:id="48"/>
      <w:r>
        <w:rPr>
          <w:rFonts w:ascii="Tahoma" w:cs="Tahoma" w:eastAsia="Tahoma" w:hAnsi="Tahoma"/>
          <w:b/>
          <w:bCs/>
          <w:color w:val="1F4E79"/>
          <w:sz w:val="28"/>
          <w:szCs w:val="28"/>
          <w:rtl/>
        </w:rPr>
        <w:t xml:space="preserve">۵.۸ پوشش وثیقه</w:t>
      </w:r>
      <w:bookmarkEnd w:id="48"/>
    </w:p>
    <w:p>
      <w:pPr>
        <w:pStyle w:val="Heading3"/>
        <w:keepNext/>
        <w:bidi/>
        <w:spacing w:after="160" w:before="300"/>
        <w:jc w:val="left"/>
      </w:pPr>
      <w:r>
        <w:rPr>
          <w:rFonts w:ascii="Tahoma" w:cs="Tahoma" w:eastAsia="Tahoma" w:hAnsi="Tahoma"/>
          <w:b/>
          <w:bCs/>
          <w:color w:val="1F4E79"/>
          <w:sz w:val="24"/>
          <w:szCs w:val="24"/>
          <w:rtl/>
        </w:rPr>
        <w:t xml:space="preserve">۵.۸.۱ به تفکیک نوع عقد</w:t>
      </w:r>
    </w:p>
    <w:p>
      <w:pPr>
        <w:bidi/>
        <w:spacing w:after="160" w:line="312"/>
        <w:jc w:val="left"/>
      </w:pPr>
      <w:r>
        <w:rPr>
          <w:rFonts w:ascii="Tahoma" w:cs="Tahoma" w:eastAsia="Tahoma" w:hAnsi="Tahoma"/>
          <w:sz w:val="21"/>
          <w:szCs w:val="21"/>
          <w:rtl/>
        </w:rPr>
        <w:t xml:space="preserve">نسبت پوشش وثیقه از تقسیم ارزش وثایق اخذشده بر مبلغ اعطاشده حاصل می‌شود. مقادیر بالاتر از ۱۰۰ درصد به معنای اخذ وثیقه‌ای بیش از اصل تسهیلات است که در رویه‌ی بانکی متعارف محسوب می‌شود.</w:t>
      </w:r>
    </w:p>
    <w:p>
      <w:pPr>
        <w:keepNext/>
        <w:spacing w:after="60" w:before="160"/>
        <w:jc w:val="center"/>
      </w:pPr>
      <w:r>
        <w:drawing>
          <wp:inline distT="0" distB="0" distL="0" distR="0">
            <wp:extent cx="5715000" cy="2286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۵-۷: نسبت پوشش وثیقه به تفکیک نوع عقد</w:t>
      </w:r>
    </w:p>
    <w:p>
      <w:pPr>
        <w:keepNext/>
        <w:bidi/>
        <w:spacing w:after="100" w:before="200"/>
        <w:jc w:val="left"/>
      </w:pPr>
      <w:r>
        <w:rPr>
          <w:rFonts w:ascii="Tahoma" w:cs="Tahoma" w:eastAsia="Tahoma" w:hAnsi="Tahoma"/>
          <w:b/>
          <w:bCs/>
          <w:sz w:val="21"/>
          <w:szCs w:val="21"/>
          <w:rtl/>
        </w:rPr>
        <w:t xml:space="preserve">جدول ۵-۱۵: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4"/>
        <w:gridCol w:w="3155"/>
        <w:gridCol w:w="1981"/>
        <w:gridCol w:w="1910"/>
      </w:tblGrid>
      <w:tr>
        <w:trPr>
          <w:cantSplit/>
          <w:tblHeader/>
        </w:trPr>
        <w:tc>
          <w:tcPr>
            <w:tcW w:type="dxa" w:w="23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3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ارزش وثیقه</w:t>
            </w:r>
          </w:p>
        </w:tc>
        <w:tc>
          <w:tcPr>
            <w:tcW w:type="dxa" w:w="1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۱۶۱.۱۹٪</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۱,۵۲۱.۵</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۱۲۰.۱۴٪</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۲۵۴.۰</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۱۱۸.۴۱٪</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۳۲۳.۷</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۱۱۷.۴۷٪</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۱۳۵.۰</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۱۰۴.۹۰٪</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۱۰۲.۹۵٪</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۱۲۴.۳</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۸۰.۸۷٪</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۲,۳۸۰.۹</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۱۱۵.۷۵٪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۵.۸.۲ به تفکیک بخش اقتصادی</w:t>
      </w:r>
    </w:p>
    <w:p>
      <w:pPr>
        <w:keepNext/>
        <w:spacing w:after="60" w:before="160"/>
        <w:jc w:val="center"/>
      </w:pPr>
      <w:r>
        <w:drawing>
          <wp:inline distT="0" distB="0" distL="0" distR="0">
            <wp:extent cx="5715000" cy="2286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۵-۸: نسبت پوشش وثیقه به تفکیک بخش اقتصادی</w:t>
      </w:r>
    </w:p>
    <w:p>
      <w:pPr>
        <w:keepNext/>
        <w:bidi/>
        <w:spacing w:after="100" w:before="200"/>
        <w:jc w:val="left"/>
      </w:pPr>
      <w:r>
        <w:rPr>
          <w:rFonts w:ascii="Tahoma" w:cs="Tahoma" w:eastAsia="Tahoma" w:hAnsi="Tahoma"/>
          <w:b/>
          <w:bCs/>
          <w:sz w:val="21"/>
          <w:szCs w:val="21"/>
          <w:rtl/>
        </w:rPr>
        <w:t xml:space="preserve">جدول ۵-۱۶: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۷۹.۳۰٪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۵.۸.۳ تحلیل</w:t>
      </w:r>
    </w:p>
    <w:p>
      <w:pPr>
        <w:bidi/>
        <w:spacing w:after="160" w:line="312"/>
        <w:jc w:val="left"/>
      </w:pPr>
      <w:r>
        <w:rPr>
          <w:rFonts w:ascii="Tahoma" w:cs="Tahoma" w:eastAsia="Tahoma" w:hAnsi="Tahoma"/>
          <w:b/>
          <w:bCs/>
          <w:sz w:val="21"/>
          <w:szCs w:val="21"/>
          <w:rtl/>
        </w:rPr>
        <w:t xml:space="preserve">وضعیت کلی مطلوب است.</w:t>
      </w:r>
      <w:r>
        <w:rPr>
          <w:rFonts w:ascii="Tahoma" w:cs="Tahoma" w:eastAsia="Tahoma" w:hAnsi="Tahoma"/>
          <w:sz w:val="21"/>
          <w:szCs w:val="21"/>
          <w:rtl/>
        </w:rPr>
        <w:t xml:space="preserve"> میانگین وزنی پوشش وثیقه ۱۱۵.۷۵ درصد است و پنج عقد از هفت عقد بالای ۱۰۰ درصد قرار دارند. از این منظر، رویه‌ی اخذ وثیقه در بانک متعارف و محافظه‌کارانه ارزیابی می‌شود.</w:t>
      </w:r>
    </w:p>
    <w:p>
      <w:pPr>
        <w:bidi/>
        <w:spacing w:after="160" w:line="312"/>
        <w:jc w:val="left"/>
      </w:pPr>
      <w:r>
        <w:rPr>
          <w:rFonts w:ascii="Tahoma" w:cs="Tahoma" w:eastAsia="Tahoma" w:hAnsi="Tahoma"/>
          <w:b/>
          <w:bCs/>
          <w:sz w:val="21"/>
          <w:szCs w:val="21"/>
          <w:rtl/>
        </w:rPr>
        <w:t xml:space="preserve">سه استثنای نیازمند توجه.</w:t>
      </w:r>
      <w:r>
        <w:rPr>
          <w:rFonts w:ascii="Tahoma" w:cs="Tahoma" w:eastAsia="Tahoma" w:hAnsi="Tahoma"/>
          <w:sz w:val="21"/>
          <w:szCs w:val="21"/>
          <w:rtl/>
        </w:rPr>
        <w:t xml:space="preserve"> سه گروه پوشش کمتر از ۱۰۰ درصد دارند و هر سه ویژگی مشترکی دارند: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مشارکت مدنی (۸۰.۸۷ درصد)</w:t>
      </w:r>
      <w:r>
        <w:rPr>
          <w:rFonts w:ascii="Tahoma" w:cs="Tahoma" w:eastAsia="Tahoma" w:hAnsi="Tahoma"/>
          <w:sz w:val="21"/>
          <w:szCs w:val="21"/>
          <w:rtl/>
        </w:rPr>
        <w:t xml:space="preserve"> — این عقد هم‌زمان بالاترین نرخ قراردادی (بخش ۵.۷) و پایین‌ترین</w:t>
      </w:r>
    </w:p>
    <w:p>
      <w:pPr>
        <w:bidi/>
        <w:spacing w:after="160" w:line="312"/>
        <w:jc w:val="left"/>
      </w:pPr>
      <w:r>
        <w:rPr>
          <w:rFonts w:ascii="Tahoma" w:cs="Tahoma" w:eastAsia="Tahoma" w:hAnsi="Tahoma"/>
          <w:sz w:val="21"/>
          <w:szCs w:val="21"/>
          <w:rtl/>
        </w:rPr>
        <w:t xml:space="preserve">پوشش وثیقه را دارد. ترکیب «نرخ بالا و وثیقه‌ی ناکافی» معمولاً نشانه‌ی پذیرش آگاهانه‌ی ریسک بیشتر است، اما در صورت نکول، بازیافت را دشوار می‌کند. مبلغ درگیر ۱۵.۴ هزار میلیارد تومان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صنایع تبدیلی کشاورزی (۸۸.۷۶ درصد)</w:t>
      </w:r>
      <w:r>
        <w:rPr>
          <w:rFonts w:ascii="Tahoma" w:cs="Tahoma" w:eastAsia="Tahoma" w:hAnsi="Tahoma"/>
          <w:sz w:val="21"/>
          <w:szCs w:val="21"/>
          <w:rtl/>
        </w:rPr>
        <w:t xml:space="preserve"> — مبلغ درگیر نسبتاً کوچک (۴.۳ هزار میلیارد تومان) و</w:t>
      </w:r>
    </w:p>
    <w:p>
      <w:pPr>
        <w:bidi/>
        <w:spacing w:after="160" w:line="312"/>
        <w:jc w:val="left"/>
      </w:pPr>
      <w:r>
        <w:rPr>
          <w:rFonts w:ascii="Tahoma" w:cs="Tahoma" w:eastAsia="Tahoma" w:hAnsi="Tahoma"/>
          <w:sz w:val="21"/>
          <w:szCs w:val="21"/>
          <w:rtl/>
        </w:rPr>
        <w:t xml:space="preserve">نسبت مطالبات غیرجاری آن (۵.۹۲ درصد) نیز پایین‌تر از میانگین است. اولویت پایین‌تری دارد.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اعتبارات اسنادی (۷۹.۳۰ درصد)</w:t>
      </w:r>
      <w:r>
        <w:rPr>
          <w:rFonts w:ascii="Tahoma" w:cs="Tahoma" w:eastAsia="Tahoma" w:hAnsi="Tahoma"/>
          <w:sz w:val="21"/>
          <w:szCs w:val="21"/>
          <w:rtl/>
        </w:rPr>
        <w:t xml:space="preserve"> — پایین‌ترین پوشش وثیقه در کل پرتفوی، آن هم در بخشی که</w:t>
      </w:r>
    </w:p>
    <w:p>
      <w:pPr>
        <w:bidi/>
        <w:spacing w:after="160" w:line="312"/>
        <w:jc w:val="left"/>
      </w:pPr>
      <w:r>
        <w:rPr>
          <w:rFonts w:ascii="Tahoma" w:cs="Tahoma" w:eastAsia="Tahoma" w:hAnsi="Tahoma"/>
          <w:sz w:val="21"/>
          <w:szCs w:val="21"/>
          <w:rtl/>
        </w:rPr>
        <w:t xml:space="preserve">۸۴.۰۱ درصد مانده‌ی آن غیرجاری است.</w:t>
      </w:r>
    </w:p>
    <w:p>
      <w:pPr>
        <w:bidi/>
        <w:spacing w:after="160" w:line="312"/>
        <w:jc w:val="left"/>
      </w:pPr>
      <w:r>
        <w:rPr>
          <w:rFonts w:ascii="Tahoma" w:cs="Tahoma" w:eastAsia="Tahoma" w:hAnsi="Tahoma"/>
          <w:b/>
          <w:bCs/>
          <w:sz w:val="21"/>
          <w:szCs w:val="21"/>
          <w:rtl/>
        </w:rPr>
        <w:t xml:space="preserve">تذکر روش‌شناختی حائز اهمیت درباره‌ی اعتبارات اسنادی.</w:t>
      </w:r>
      <w:r>
        <w:rPr>
          <w:rFonts w:ascii="Tahoma" w:cs="Tahoma" w:eastAsia="Tahoma" w:hAnsi="Tahoma"/>
          <w:sz w:val="21"/>
          <w:szCs w:val="21"/>
          <w:rtl/>
        </w:rPr>
        <w:t xml:space="preserve"> رقم ۷۹.۳۰ درصد بر مبنای تنها </w:t>
      </w:r>
      <w:r>
        <w:rPr>
          <w:rFonts w:ascii="Tahoma" w:cs="Tahoma" w:eastAsia="Tahoma" w:hAnsi="Tahoma"/>
          <w:b/>
          <w:bCs/>
          <w:sz w:val="21"/>
          <w:szCs w:val="21"/>
          <w:rtl/>
        </w:rPr>
        <w:t xml:space="preserve">۲۱۱ قرارداد</w:t>
      </w:r>
      <w:r>
        <w:rPr>
          <w:rFonts w:ascii="Tahoma" w:cs="Tahoma" w:eastAsia="Tahoma" w:hAnsi="Tahoma"/>
          <w:sz w:val="21"/>
          <w:szCs w:val="21"/>
          <w:rtl/>
        </w:rPr>
        <w:t xml:space="preserve"> محاسبه شده است، در حالی که این بخش در مجموع </w:t>
      </w:r>
      <w:r>
        <w:rPr>
          <w:rFonts w:ascii="Tahoma" w:cs="Tahoma" w:eastAsia="Tahoma" w:hAnsi="Tahoma"/>
          <w:b/>
          <w:bCs/>
          <w:sz w:val="21"/>
          <w:szCs w:val="21"/>
          <w:rtl/>
        </w:rPr>
        <w:t xml:space="preserve">۲۰,۷۳۳ قرارداد</w:t>
      </w:r>
      <w:r>
        <w:rPr>
          <w:rFonts w:ascii="Tahoma" w:cs="Tahoma" w:eastAsia="Tahoma" w:hAnsi="Tahoma"/>
          <w:sz w:val="21"/>
          <w:szCs w:val="21"/>
          <w:rtl/>
        </w:rPr>
        <w:t xml:space="preserve"> دارد (جدول ۵-۸). یعنی پوشش تعدادی این محاسبه حدود </w:t>
      </w:r>
      <w:r>
        <w:rPr>
          <w:rFonts w:ascii="Tahoma" w:cs="Tahoma" w:eastAsia="Tahoma" w:hAnsi="Tahoma"/>
          <w:b/>
          <w:bCs/>
          <w:sz w:val="21"/>
          <w:szCs w:val="21"/>
          <w:rtl/>
        </w:rPr>
        <w:t xml:space="preserve">یک درصد</w:t>
      </w:r>
      <w:r>
        <w:rPr>
          <w:rFonts w:ascii="Tahoma" w:cs="Tahoma" w:eastAsia="Tahoma" w:hAnsi="Tahoma"/>
          <w:sz w:val="21"/>
          <w:szCs w:val="21"/>
          <w:rtl/>
        </w:rPr>
        <w:t xml:space="preserve"> است.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این رقم را نباید نماینده‌ی کل بخش اعتبارات اسنادی دانست. با این حال، جهت آن — پایین‌ترین پوشش در میان تمام بخش‌ها — با سایر شواهد مربوط به این بخش هم‌جهت است و در فصل ۶ به‌عنوان یکی از قرائن تحلیل به کار رفته است.</w:t>
      </w:r>
    </w:p>
    <w:p>
      <w:pPr>
        <w:bidi/>
        <w:spacing w:after="160" w:line="312"/>
        <w:jc w:val="left"/>
      </w:pPr>
      <w:r>
        <w:rPr>
          <w:rFonts w:ascii="Tahoma" w:cs="Tahoma" w:eastAsia="Tahoma" w:hAnsi="Tahoma"/>
          <w:b/>
          <w:bCs/>
          <w:sz w:val="21"/>
          <w:szCs w:val="21"/>
          <w:rtl/>
        </w:rPr>
        <w:t xml:space="preserve">یک ناسازگاری جزئی در داده.</w:t>
      </w:r>
      <w:r>
        <w:rPr>
          <w:rFonts w:ascii="Tahoma" w:cs="Tahoma" w:eastAsia="Tahoma" w:hAnsi="Tahoma"/>
          <w:sz w:val="21"/>
          <w:szCs w:val="21"/>
          <w:rtl/>
        </w:rPr>
        <w:t xml:space="preserve"> مجموع ارزش وثیقه در تفکیک بر حسب نوع عقد (۲۳۸.۱ هزار میلیارد تومان) با مجموع همان قلم در تفکیک بر حسب بخش اقتصادی (۲۳۸.۷ هزار میلیارد تومان) به میزان </w:t>
      </w:r>
      <w:r>
        <w:rPr>
          <w:rFonts w:ascii="Tahoma" w:cs="Tahoma" w:eastAsia="Tahoma" w:hAnsi="Tahoma"/>
          <w:b/>
          <w:bCs/>
          <w:sz w:val="21"/>
          <w:szCs w:val="21"/>
          <w:rtl/>
        </w:rPr>
        <w:t xml:space="preserve">۰.۶ هزار میلیارد تومان معادل ۰.۲۶ درصد</w:t>
      </w:r>
      <w:r>
        <w:rPr>
          <w:rFonts w:ascii="Tahoma" w:cs="Tahoma" w:eastAsia="Tahoma" w:hAnsi="Tahoma"/>
          <w:sz w:val="21"/>
          <w:szCs w:val="21"/>
          <w:rtl/>
        </w:rPr>
        <w:t xml:space="preserve"> اختلاف دارد؛ این در حالی است که مبلغ اعطاشده در هر دو تفکیک </w:t>
      </w:r>
      <w:r>
        <w:rPr>
          <w:rFonts w:ascii="Tahoma" w:cs="Tahoma" w:eastAsia="Tahoma" w:hAnsi="Tahoma"/>
          <w:b/>
          <w:bCs/>
          <w:sz w:val="21"/>
          <w:szCs w:val="21"/>
          <w:rtl/>
        </w:rPr>
        <w:t xml:space="preserve">دقیقاً</w:t>
      </w:r>
      <w:r>
        <w:rPr>
          <w:rFonts w:ascii="Tahoma" w:cs="Tahoma" w:eastAsia="Tahoma" w:hAnsi="Tahoma"/>
          <w:sz w:val="21"/>
          <w:szCs w:val="21"/>
          <w:rtl/>
        </w:rPr>
        <w:t xml:space="preserve"> برابر است.</w:t>
      </w:r>
    </w:p>
    <w:p>
      <w:pPr>
        <w:bidi/>
        <w:spacing w:after="160" w:line="312"/>
        <w:jc w:val="left"/>
      </w:pPr>
      <w:r>
        <w:rPr>
          <w:rFonts w:ascii="Tahoma" w:cs="Tahoma" w:eastAsia="Tahoma" w:hAnsi="Tahoma"/>
          <w:sz w:val="21"/>
          <w:szCs w:val="21"/>
          <w:rtl/>
        </w:rPr>
        <w:t xml:space="preserve">اختلاف مذکور از نظر کمّی ناچیز است و بر هیچ‌یک از نتایج این بخش اثر ندارد. با این حال، از آنجا که منشأ آن — احتمالاً تفاوت در نحوه‌ی برخورد با مقادیر تهی در دو مسیر محاسباتی — ریشه‌یابی نشده، مطابق رویه‌ی شفافیت این گزارش ثبت می‌شود.</w:t>
      </w:r>
    </w:p>
    <w:p>
      <w:pPr>
        <w:pBdr>
          <w:bottom w:val="single" w:color="BBBBBB" w:sz="6"/>
        </w:pBdr>
        <w:spacing w:after="100" w:before="100"/>
      </w:pPr>
    </w:p>
    <w:p>
      <w:pPr>
        <w:pStyle w:val="Heading2"/>
        <w:keepNext/>
        <w:bidi/>
        <w:spacing w:after="160" w:before="300"/>
        <w:jc w:val="left"/>
      </w:pPr>
      <w:bookmarkStart w:name="_Toc49" w:id="49"/>
      <w:r>
        <w:rPr>
          <w:rFonts w:ascii="Tahoma" w:cs="Tahoma" w:eastAsia="Tahoma" w:hAnsi="Tahoma"/>
          <w:b/>
          <w:bCs/>
          <w:color w:val="1F4E79"/>
          <w:sz w:val="28"/>
          <w:szCs w:val="28"/>
          <w:rtl/>
        </w:rPr>
        <w:t xml:space="preserve">۵.۹ جمع‌بندی فصل</w:t>
      </w:r>
      <w:bookmarkEnd w:id="49"/>
    </w:p>
    <w:p>
      <w:pPr>
        <w:pStyle w:val="Heading3"/>
        <w:keepNext/>
        <w:bidi/>
        <w:spacing w:after="160" w:before="300"/>
        <w:jc w:val="left"/>
      </w:pPr>
      <w:r>
        <w:rPr>
          <w:rFonts w:ascii="Tahoma" w:cs="Tahoma" w:eastAsia="Tahoma" w:hAnsi="Tahoma"/>
          <w:b/>
          <w:bCs/>
          <w:color w:val="1F4E79"/>
          <w:sz w:val="24"/>
          <w:szCs w:val="24"/>
          <w:rtl/>
        </w:rPr>
        <w:t xml:space="preserve">۵.۹.۱ ساختار و روند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پرتفوی تسهیلات در بازه‌ی رسمی به‌صورت اسمی </w:t>
      </w:r>
      <w:r>
        <w:rPr>
          <w:rFonts w:ascii="Tahoma" w:cs="Tahoma" w:eastAsia="Tahoma" w:hAnsi="Tahoma"/>
          <w:b/>
          <w:bCs/>
          <w:sz w:val="21"/>
          <w:szCs w:val="21"/>
          <w:rtl/>
        </w:rPr>
        <w:t xml:space="preserve">۶.۱۰ برابر</w:t>
      </w:r>
      <w:r>
        <w:rPr>
          <w:rFonts w:ascii="Tahoma" w:cs="Tahoma" w:eastAsia="Tahoma" w:hAnsi="Tahoma"/>
          <w:sz w:val="21"/>
          <w:szCs w:val="21"/>
          <w:rtl/>
        </w:rPr>
        <w:t xml:space="preserve"> شده (رشد واقعی: </w:t>
      </w:r>
      <w:r>
        <w:rPr>
          <w:rFonts w:ascii="Tahoma" w:cs="Tahoma" w:eastAsia="Tahoma" w:hAnsi="Tahoma"/>
          <w:b/>
          <w:bCs/>
          <w:sz w:val="21"/>
          <w:szCs w:val="21"/>
          <w:rtl/>
        </w:rPr>
        <w:t xml:space="preserve">۱.۴۶ برابر</w:t>
      </w:r>
      <w:r>
        <w:rPr>
          <w:rFonts w:ascii="Tahoma" w:cs="Tahoma" w:eastAsia="Tahoma" w:hAnsi="Tahoma"/>
          <w:sz w:val="21"/>
          <w:szCs w:val="21"/>
          <w:rtl/>
        </w:rPr>
        <w:t xml:space="preserve">) و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رسیده</w:t>
      </w:r>
    </w:p>
    <w:p>
      <w:pPr>
        <w:bidi/>
        <w:spacing w:after="160" w:line="312"/>
        <w:jc w:val="left"/>
      </w:pPr>
      <w:r>
        <w:rPr>
          <w:rFonts w:ascii="Tahoma" w:cs="Tahoma" w:eastAsia="Tahoma" w:hAnsi="Tahoma"/>
          <w:sz w:val="21"/>
          <w:szCs w:val="21"/>
          <w:rtl/>
        </w:rPr>
        <w:t xml:space="preserve">است؛ در برابر رشد ۴.۵۸ برابری منابع در همان دوره.</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شکاف رشد دو سمت ترازنامه از سال ۱۴۰۳ به بیش از </w:t>
      </w:r>
      <w:r>
        <w:rPr>
          <w:rFonts w:ascii="Tahoma" w:cs="Tahoma" w:eastAsia="Tahoma" w:hAnsi="Tahoma"/>
          <w:b/>
          <w:bCs/>
          <w:sz w:val="21"/>
          <w:szCs w:val="21"/>
          <w:rtl/>
        </w:rPr>
        <w:t xml:space="preserve">ده واحد درصد</w:t>
      </w:r>
      <w:r>
        <w:rPr>
          <w:rFonts w:ascii="Tahoma" w:cs="Tahoma" w:eastAsia="Tahoma" w:hAnsi="Tahoma"/>
          <w:sz w:val="21"/>
          <w:szCs w:val="21"/>
          <w:rtl/>
        </w:rPr>
        <w:t xml:space="preserve"> رسیده است. تحلیل نشان داد</w:t>
      </w:r>
    </w:p>
    <w:p>
      <w:pPr>
        <w:bidi/>
        <w:spacing w:after="160" w:line="312"/>
        <w:jc w:val="left"/>
      </w:pPr>
      <w:r>
        <w:rPr>
          <w:rFonts w:ascii="Tahoma" w:cs="Tahoma" w:eastAsia="Tahoma" w:hAnsi="Tahoma"/>
          <w:sz w:val="21"/>
          <w:szCs w:val="21"/>
          <w:rtl/>
        </w:rPr>
        <w:t xml:space="preserve">منشأ این شکاف عمدتاً </w:t>
      </w:r>
      <w:r>
        <w:rPr>
          <w:rFonts w:ascii="Tahoma" w:cs="Tahoma" w:eastAsia="Tahoma" w:hAnsi="Tahoma"/>
          <w:b/>
          <w:bCs/>
          <w:sz w:val="21"/>
          <w:szCs w:val="21"/>
          <w:rtl/>
        </w:rPr>
        <w:t xml:space="preserve">کندشدن رشد منابع</w:t>
      </w:r>
      <w:r>
        <w:rPr>
          <w:rFonts w:ascii="Tahoma" w:cs="Tahoma" w:eastAsia="Tahoma" w:hAnsi="Tahoma"/>
          <w:sz w:val="21"/>
          <w:szCs w:val="21"/>
          <w:rtl/>
        </w:rPr>
        <w:t xml:space="preserve"> است و نه شتاب‌گیری تسهیلات.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 تسهیلات به سپرده از </w:t>
      </w:r>
      <w:r>
        <w:rPr>
          <w:rFonts w:ascii="Tahoma" w:cs="Tahoma" w:eastAsia="Tahoma" w:hAnsi="Tahoma"/>
          <w:b/>
          <w:bCs/>
          <w:sz w:val="21"/>
          <w:szCs w:val="21"/>
          <w:rtl/>
        </w:rPr>
        <w:t xml:space="preserve">۱۱۳.۵ به ۱۵۱.۲ درصد</w:t>
      </w:r>
      <w:r>
        <w:rPr>
          <w:rFonts w:ascii="Tahoma" w:cs="Tahoma" w:eastAsia="Tahoma" w:hAnsi="Tahoma"/>
          <w:sz w:val="21"/>
          <w:szCs w:val="21"/>
          <w:rtl/>
        </w:rPr>
        <w:t xml:space="preserve"> افزایش یافته است. سطح مطلق این رقم مشروط</w:t>
      </w:r>
    </w:p>
    <w:p>
      <w:pPr>
        <w:bidi/>
        <w:spacing w:after="160" w:line="312"/>
        <w:jc w:val="left"/>
      </w:pPr>
      <w:r>
        <w:rPr>
          <w:rFonts w:ascii="Tahoma" w:cs="Tahoma" w:eastAsia="Tahoma" w:hAnsi="Tahoma"/>
          <w:sz w:val="21"/>
          <w:szCs w:val="21"/>
          <w:rtl/>
        </w:rPr>
        <w:t xml:space="preserve">به سه ابهام است (بخش ۵.۲.۲)، اما </w:t>
      </w:r>
      <w:r>
        <w:rPr>
          <w:rFonts w:ascii="Tahoma" w:cs="Tahoma" w:eastAsia="Tahoma" w:hAnsi="Tahoma"/>
          <w:b/>
          <w:bCs/>
          <w:sz w:val="21"/>
          <w:szCs w:val="21"/>
          <w:rtl/>
        </w:rPr>
        <w:t xml:space="preserve">روند صعودی آن مستحکم و قابل استناد است</w:t>
      </w:r>
      <w:r>
        <w:rPr>
          <w:rFonts w:ascii="Tahoma" w:cs="Tahoma" w:eastAsia="Tahoma" w:hAnsi="Tahoma"/>
          <w:sz w:val="21"/>
          <w:szCs w:val="21"/>
          <w:rtl/>
        </w:rPr>
        <w:t xml:space="preserve">.</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یافته‌ی تازه: در هر پنج سال بازه، ماه اسفند رشد تسهیلاتی به‌مراتب بالاتر از میانگین ثبت</w:t>
      </w:r>
    </w:p>
    <w:p>
      <w:pPr>
        <w:bidi/>
        <w:spacing w:after="160" w:line="312"/>
        <w:jc w:val="left"/>
      </w:pPr>
      <w:r>
        <w:rPr>
          <w:rFonts w:ascii="Tahoma" w:cs="Tahoma" w:eastAsia="Tahoma" w:hAnsi="Tahoma"/>
          <w:sz w:val="21"/>
          <w:szCs w:val="21"/>
          <w:rtl/>
        </w:rPr>
        <w:t xml:space="preserve">کرده است. لذا رقم نقطه‌ای ۱۵۱.۲ درصد در اوج فصلی اندازه‌گیری شده و </w:t>
      </w:r>
      <w:r>
        <w:rPr>
          <w:rFonts w:ascii="Tahoma" w:cs="Tahoma" w:eastAsia="Tahoma" w:hAnsi="Tahoma"/>
          <w:b/>
          <w:bCs/>
          <w:sz w:val="21"/>
          <w:szCs w:val="21"/>
          <w:rtl/>
        </w:rPr>
        <w:t xml:space="preserve">میانگین سالانه‌ی ۱۴۰.۱ درصد</w:t>
      </w:r>
      <w:r>
        <w:rPr>
          <w:rFonts w:ascii="Tahoma" w:cs="Tahoma" w:eastAsia="Tahoma" w:hAnsi="Tahoma"/>
          <w:sz w:val="21"/>
          <w:szCs w:val="21"/>
          <w:rtl/>
        </w:rPr>
        <w:t xml:space="preserve"> سنجه‌ی متعادل‌تری است.</w:t>
      </w:r>
    </w:p>
    <w:p>
      <w:pPr>
        <w:pStyle w:val="Heading3"/>
        <w:keepNext/>
        <w:bidi/>
        <w:spacing w:after="160" w:before="300"/>
        <w:jc w:val="left"/>
      </w:pPr>
      <w:r>
        <w:rPr>
          <w:rFonts w:ascii="Tahoma" w:cs="Tahoma" w:eastAsia="Tahoma" w:hAnsi="Tahoma"/>
          <w:b/>
          <w:bCs/>
          <w:color w:val="1F4E79"/>
          <w:sz w:val="24"/>
          <w:szCs w:val="24"/>
          <w:rtl/>
        </w:rPr>
        <w:t xml:space="preserve">۵.۹.۲ ترکیب پرتفوی</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مرابحه</w:t>
      </w:r>
      <w:r>
        <w:rPr>
          <w:rFonts w:ascii="Tahoma" w:cs="Tahoma" w:eastAsia="Tahoma" w:hAnsi="Tahoma"/>
          <w:sz w:val="21"/>
          <w:szCs w:val="21"/>
          <w:rtl/>
        </w:rPr>
        <w:t xml:space="preserve"> با ۳۹.۳۷ درصد کل پرتفوی — و ۵۰.۷ درصد پرتفوی شناخته‌شده — محور اصلی است. سهم</w:t>
      </w:r>
    </w:p>
    <w:p>
      <w:pPr>
        <w:bidi/>
        <w:spacing w:after="160" w:line="312"/>
        <w:jc w:val="left"/>
      </w:pPr>
      <w:r>
        <w:rPr>
          <w:rFonts w:ascii="Tahoma" w:cs="Tahoma" w:eastAsia="Tahoma" w:hAnsi="Tahoma"/>
          <w:sz w:val="21"/>
          <w:szCs w:val="21"/>
          <w:rtl/>
        </w:rPr>
        <w:t xml:space="preserve">عقود مشارکتی کمتر از ۳.۷ درصد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سه بخش </w:t>
      </w:r>
      <w:r>
        <w:rPr>
          <w:rFonts w:ascii="Tahoma" w:cs="Tahoma" w:eastAsia="Tahoma" w:hAnsi="Tahoma"/>
          <w:b/>
          <w:bCs/>
          <w:sz w:val="21"/>
          <w:szCs w:val="21"/>
          <w:rtl/>
        </w:rPr>
        <w:t xml:space="preserve">خدمات، صنعتی، و مسکن و ساختمان</w:t>
      </w:r>
      <w:r>
        <w:rPr>
          <w:rFonts w:ascii="Tahoma" w:cs="Tahoma" w:eastAsia="Tahoma" w:hAnsi="Tahoma"/>
          <w:sz w:val="21"/>
          <w:szCs w:val="21"/>
          <w:rtl/>
        </w:rPr>
        <w:t xml:space="preserve"> روی‌هم ۸۳.۸۹ درصد پرتفوی را تشکیل می‌دهند.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توزیع اندازه به‌شدت نامتقارن است: </w:t>
      </w:r>
      <w:r>
        <w:rPr>
          <w:rFonts w:ascii="Tahoma" w:cs="Tahoma" w:eastAsia="Tahoma" w:hAnsi="Tahoma"/>
          <w:b/>
          <w:bCs/>
          <w:sz w:val="21"/>
          <w:szCs w:val="21"/>
          <w:rtl/>
        </w:rPr>
        <w:t xml:space="preserve">۱.۱ درصد قراردادها، ۴۰.۵۵ درصد مبلغ اعطا</w:t>
      </w:r>
      <w:r>
        <w:rPr>
          <w:rFonts w:ascii="Tahoma" w:cs="Tahoma" w:eastAsia="Tahoma" w:hAnsi="Tahoma"/>
          <w:sz w:val="21"/>
          <w:szCs w:val="21"/>
          <w:rtl/>
        </w:rPr>
        <w:t xml:space="preserve"> را در بر</w:t>
      </w:r>
    </w:p>
    <w:p>
      <w:pPr>
        <w:bidi/>
        <w:spacing w:after="160" w:line="312"/>
        <w:jc w:val="left"/>
      </w:pPr>
      <w:r>
        <w:rPr>
          <w:rFonts w:ascii="Tahoma" w:cs="Tahoma" w:eastAsia="Tahoma" w:hAnsi="Tahoma"/>
          <w:sz w:val="21"/>
          <w:szCs w:val="21"/>
          <w:rtl/>
        </w:rPr>
        <w:t xml:space="preserve">می‌گیرند. این الگو با عدم تقارن سمت منابع تقارن دارد، هرچند در سمت منابع شدیدتر است.</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ساختار سررسید متوازن است: ۴۲.۸۵ درصد ظرف یک سال، ۳۱.۴۰ درصد بیش از سه سال.</w:t>
      </w:r>
    </w:p>
    <w:p>
      <w:pPr>
        <w:pStyle w:val="Heading3"/>
        <w:keepNext/>
        <w:bidi/>
        <w:spacing w:after="160" w:before="300"/>
        <w:jc w:val="left"/>
      </w:pPr>
      <w:r>
        <w:rPr>
          <w:rFonts w:ascii="Tahoma" w:cs="Tahoma" w:eastAsia="Tahoma" w:hAnsi="Tahoma"/>
          <w:b/>
          <w:bCs/>
          <w:color w:val="1F4E79"/>
          <w:sz w:val="24"/>
          <w:szCs w:val="24"/>
          <w:rtl/>
        </w:rPr>
        <w:t xml:space="preserve">۵.۹.۳ بازده و پوشش</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بازده قراردادی کل پرتفوی </w:t>
      </w:r>
      <w:r>
        <w:rPr>
          <w:rFonts w:ascii="Tahoma" w:cs="Tahoma" w:eastAsia="Tahoma" w:hAnsi="Tahoma"/>
          <w:b/>
          <w:bCs/>
          <w:sz w:val="21"/>
          <w:szCs w:val="21"/>
          <w:rtl/>
        </w:rPr>
        <w:t xml:space="preserve">۱۸.۰۸ درصد</w:t>
      </w:r>
      <w:r>
        <w:rPr>
          <w:rFonts w:ascii="Tahoma" w:cs="Tahoma" w:eastAsia="Tahoma" w:hAnsi="Tahoma"/>
          <w:sz w:val="21"/>
          <w:szCs w:val="21"/>
          <w:rtl/>
        </w:rPr>
        <w:t xml:space="preserve"> و بازده پرتفوی تجاری (بدون قرض‌الحسنه) **۱۹.۷۲</w:t>
      </w:r>
    </w:p>
    <w:p>
      <w:pPr>
        <w:bidi/>
        <w:spacing w:after="160" w:line="312"/>
        <w:jc w:val="left"/>
      </w:pPr>
      <w:r>
        <w:rPr>
          <w:rFonts w:ascii="Tahoma" w:cs="Tahoma" w:eastAsia="Tahoma" w:hAnsi="Tahoma"/>
          <w:sz w:val="21"/>
          <w:szCs w:val="21"/>
          <w:rtl/>
        </w:rPr>
        <w:t xml:space="preserve">درصد** است.</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پوشش وثیقه در مجموع مطلوب است (</w:t>
      </w:r>
      <w:r>
        <w:rPr>
          <w:rFonts w:ascii="Tahoma" w:cs="Tahoma" w:eastAsia="Tahoma" w:hAnsi="Tahoma"/>
          <w:b/>
          <w:bCs/>
          <w:sz w:val="21"/>
          <w:szCs w:val="21"/>
          <w:rtl/>
        </w:rPr>
        <w:t xml:space="preserve">۱۱۵.۷۵ درصد</w:t>
      </w:r>
      <w:r>
        <w:rPr>
          <w:rFonts w:ascii="Tahoma" w:cs="Tahoma" w:eastAsia="Tahoma" w:hAnsi="Tahoma"/>
          <w:sz w:val="21"/>
          <w:szCs w:val="21"/>
          <w:rtl/>
        </w:rPr>
        <w:t xml:space="preserve">)، با سه استثنا: مشارکت مدنی، صنایع تبدیلی</w:t>
      </w:r>
    </w:p>
    <w:p>
      <w:pPr>
        <w:bidi/>
        <w:spacing w:after="160" w:line="312"/>
        <w:jc w:val="left"/>
      </w:pPr>
      <w:r>
        <w:rPr>
          <w:rFonts w:ascii="Tahoma" w:cs="Tahoma" w:eastAsia="Tahoma" w:hAnsi="Tahoma"/>
          <w:sz w:val="21"/>
          <w:szCs w:val="21"/>
          <w:rtl/>
        </w:rPr>
        <w:t xml:space="preserve">کشاورزی، و اعتبارات اسنادی.</w:t>
      </w:r>
    </w:p>
    <w:p>
      <w:pPr>
        <w:pStyle w:val="Heading3"/>
        <w:keepNext/>
        <w:bidi/>
        <w:spacing w:after="160" w:before="300"/>
        <w:jc w:val="left"/>
      </w:pPr>
      <w:r>
        <w:rPr>
          <w:rFonts w:ascii="Tahoma" w:cs="Tahoma" w:eastAsia="Tahoma" w:hAnsi="Tahoma"/>
          <w:b/>
          <w:bCs/>
          <w:color w:val="1F4E79"/>
          <w:sz w:val="24"/>
          <w:szCs w:val="24"/>
          <w:rtl/>
        </w:rPr>
        <w:t xml:space="preserve">۵.۹.۴ گذار به فصل ۶</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sz w:val="21"/>
          <w:szCs w:val="21"/>
          <w:rtl/>
        </w:rPr>
        <w:t xml:space="preserve">بخش </w:t>
      </w:r>
      <w:r>
        <w:rPr>
          <w:rFonts w:ascii="Tahoma" w:cs="Tahoma" w:eastAsia="Tahoma" w:hAnsi="Tahoma"/>
          <w:b/>
          <w:bCs/>
          <w:sz w:val="21"/>
          <w:szCs w:val="21"/>
          <w:rtl/>
        </w:rPr>
        <w:t xml:space="preserve">اعتبارات اسنادی</w:t>
      </w:r>
      <w:r>
        <w:rPr>
          <w:rFonts w:ascii="Tahoma" w:cs="Tahoma" w:eastAsia="Tahoma" w:hAnsi="Tahoma"/>
          <w:sz w:val="21"/>
          <w:szCs w:val="21"/>
          <w:rtl/>
        </w:rPr>
        <w:t xml:space="preserve"> با ۴.۲۲ درصد سهم از پرتفوی، </w:t>
      </w:r>
      <w:r>
        <w:rPr>
          <w:rFonts w:ascii="Tahoma" w:cs="Tahoma" w:eastAsia="Tahoma" w:hAnsi="Tahoma"/>
          <w:b/>
          <w:bCs/>
          <w:sz w:val="21"/>
          <w:szCs w:val="21"/>
          <w:rtl/>
        </w:rPr>
        <w:t xml:space="preserve">۴۰.۴۴ درصد کل مطالبات غیرجاری بانک</w:t>
      </w:r>
    </w:p>
    <w:p>
      <w:pPr>
        <w:bidi/>
        <w:spacing w:after="160" w:line="312"/>
        <w:jc w:val="left"/>
      </w:pPr>
      <w:r>
        <w:rPr>
          <w:rFonts w:ascii="Tahoma" w:cs="Tahoma" w:eastAsia="Tahoma" w:hAnsi="Tahoma"/>
          <w:sz w:val="21"/>
          <w:szCs w:val="21"/>
          <w:rtl/>
        </w:rPr>
        <w:t xml:space="preserve">را تولید می‌کند و هم‌زمان پایین‌ترین پوشش وثیقه را دارد. این بخش موضوع تحلیل مستقلی در فصل ۶ است.</w:t>
      </w:r>
    </w:p>
    <w:p>
      <w:pPr>
        <w:pStyle w:val="Heading3"/>
        <w:keepNext/>
        <w:bidi/>
        <w:spacing w:after="160" w:before="300"/>
        <w:jc w:val="left"/>
      </w:pPr>
      <w:r>
        <w:rPr>
          <w:rFonts w:ascii="Tahoma" w:cs="Tahoma" w:eastAsia="Tahoma" w:hAnsi="Tahoma"/>
          <w:b/>
          <w:bCs/>
          <w:color w:val="1F4E79"/>
          <w:sz w:val="24"/>
          <w:szCs w:val="24"/>
          <w:rtl/>
        </w:rPr>
        <w:t xml:space="preserve">۵.۹.۵ محدودیت‌های این فصل</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sz w:val="21"/>
          <w:szCs w:val="21"/>
          <w:rtl/>
        </w:rPr>
        <w:t xml:space="preserve">تحلیل‌های نوع عقد، اندازه، سررسید، نرخ و وثیقه همگی بر </w:t>
      </w:r>
      <w:r>
        <w:rPr>
          <w:rFonts w:ascii="Tahoma" w:cs="Tahoma" w:eastAsia="Tahoma" w:hAnsi="Tahoma"/>
          <w:b/>
          <w:bCs/>
          <w:sz w:val="21"/>
          <w:szCs w:val="21"/>
          <w:rtl/>
        </w:rPr>
        <w:t xml:space="preserve">۷۷.۶ درصد پرتفوی</w:t>
      </w:r>
      <w:r>
        <w:rPr>
          <w:rFonts w:ascii="Tahoma" w:cs="Tahoma" w:eastAsia="Tahoma" w:hAnsi="Tahoma"/>
          <w:sz w:val="21"/>
          <w:szCs w:val="21"/>
          <w:rtl/>
        </w:rPr>
        <w:t xml:space="preserve"> استوارند.</w:t>
      </w:r>
    </w:p>
    <w:p>
      <w:pPr>
        <w:bidi/>
        <w:spacing w:after="160" w:line="312"/>
        <w:jc w:val="left"/>
      </w:pPr>
      <w:r>
        <w:rPr>
          <w:rFonts w:ascii="Tahoma" w:cs="Tahoma" w:eastAsia="Tahoma" w:hAnsi="Tahoma"/>
          <w:sz w:val="21"/>
          <w:szCs w:val="21"/>
          <w:rtl/>
        </w:rPr>
        <w:t xml:space="preserve">تنها تحلیل بخش اقتصادی پوشش کامل دارد.</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sz w:val="21"/>
          <w:szCs w:val="21"/>
          <w:rtl/>
        </w:rPr>
        <w:t xml:space="preserve">پوشش وثیقه‌ی بخش اعتبارات اسنادی بر مبنای تنها یک درصد قراردادهای آن محاسبه شده است.</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sz w:val="21"/>
          <w:szCs w:val="21"/>
          <w:rtl/>
        </w:rPr>
        <w:t xml:space="preserve">ارزیابی عدم تطابق سررسید مستلزم داده‌ی سررسید سپرده است که در پایگاه‌داده موجود نیست.</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50" w:id="50"/>
      <w:r>
        <w:rPr>
          <w:rFonts w:ascii="Tahoma" w:cs="Tahoma" w:eastAsia="Tahoma" w:hAnsi="Tahoma"/>
          <w:b/>
          <w:bCs/>
          <w:color w:val="1F4E79"/>
          <w:sz w:val="34"/>
          <w:szCs w:val="34"/>
          <w:rtl/>
        </w:rPr>
        <w:t xml:space="preserve">فصل ۶ — کیفیت دارایی، ریسک اعتباری و تمرکز</w:t>
      </w:r>
      <w:bookmarkEnd w:id="50"/>
    </w:p>
    <w:p>
      <w:pPr>
        <w:pStyle w:val="Heading2"/>
        <w:keepNext/>
        <w:bidi/>
        <w:spacing w:after="160" w:before="300"/>
        <w:jc w:val="left"/>
      </w:pPr>
      <w:bookmarkStart w:name="_Toc51" w:id="51"/>
      <w:r>
        <w:rPr>
          <w:rFonts w:ascii="Tahoma" w:cs="Tahoma" w:eastAsia="Tahoma" w:hAnsi="Tahoma"/>
          <w:b/>
          <w:bCs/>
          <w:color w:val="1F4E79"/>
          <w:sz w:val="28"/>
          <w:szCs w:val="28"/>
          <w:rtl/>
        </w:rPr>
        <w:t xml:space="preserve">۶.۰ هدف و ساختار فصل</w:t>
      </w:r>
      <w:bookmarkEnd w:id="51"/>
    </w:p>
    <w:p>
      <w:pPr>
        <w:pStyle w:val="Heading3"/>
        <w:keepNext/>
        <w:bidi/>
        <w:spacing w:after="160" w:before="300"/>
        <w:jc w:val="left"/>
      </w:pPr>
      <w:r>
        <w:rPr>
          <w:rFonts w:ascii="Tahoma" w:cs="Tahoma" w:eastAsia="Tahoma" w:hAnsi="Tahoma"/>
          <w:b/>
          <w:bCs/>
          <w:color w:val="1F4E79"/>
          <w:sz w:val="24"/>
          <w:szCs w:val="24"/>
          <w:rtl/>
        </w:rPr>
        <w:t xml:space="preserve">۶.۰.۱ هدف</w:t>
      </w:r>
    </w:p>
    <w:p>
      <w:pPr>
        <w:bidi/>
        <w:spacing w:after="160" w:line="312"/>
        <w:jc w:val="left"/>
      </w:pPr>
      <w:r>
        <w:rPr>
          <w:rFonts w:ascii="Tahoma" w:cs="Tahoma" w:eastAsia="Tahoma" w:hAnsi="Tahoma"/>
          <w:sz w:val="21"/>
          <w:szCs w:val="21"/>
          <w:rtl/>
        </w:rPr>
        <w:t xml:space="preserve">فصل ۵ ساختار پرتفوی تسهیلات را توصیف کرد. فصل حاضر به سنجش </w:t>
      </w:r>
      <w:r>
        <w:rPr>
          <w:rFonts w:ascii="Tahoma" w:cs="Tahoma" w:eastAsia="Tahoma" w:hAnsi="Tahoma"/>
          <w:b/>
          <w:bCs/>
          <w:sz w:val="21"/>
          <w:szCs w:val="21"/>
          <w:rtl/>
        </w:rPr>
        <w:t xml:space="preserve">کیفیت</w:t>
      </w:r>
      <w:r>
        <w:rPr>
          <w:rFonts w:ascii="Tahoma" w:cs="Tahoma" w:eastAsia="Tahoma" w:hAnsi="Tahoma"/>
          <w:sz w:val="21"/>
          <w:szCs w:val="21"/>
          <w:rtl/>
        </w:rPr>
        <w:t xml:space="preserve"> آن پرتفوی و ریسک‌های مترتب بر آن می‌پردازد. پرسش‌های راهنمای این فصل عبارت‌اند از: کیفیت دارایی‌های بانک در طول پنج سال گذشته چه مسیری را طی کرده، این وخامت از کدام بخش‌ها نشأت می‌گیرد، شاخص‌های پیش‌نگر چه سیگنالی می‌دهند، و تمرکز ریسک در دست چه تعداد مشتری است.</w:t>
      </w:r>
    </w:p>
    <w:p>
      <w:pPr>
        <w:pStyle w:val="Heading3"/>
        <w:keepNext/>
        <w:bidi/>
        <w:spacing w:after="160" w:before="300"/>
        <w:jc w:val="left"/>
      </w:pPr>
      <w:r>
        <w:rPr>
          <w:rFonts w:ascii="Tahoma" w:cs="Tahoma" w:eastAsia="Tahoma" w:hAnsi="Tahoma"/>
          <w:b/>
          <w:bCs/>
          <w:color w:val="1F4E79"/>
          <w:sz w:val="24"/>
          <w:szCs w:val="24"/>
          <w:rtl/>
        </w:rPr>
        <w:t xml:space="preserve">۶.۰.۲ ساختار</w:t>
      </w:r>
    </w:p>
    <w:p>
      <w:pPr>
        <w:bidi/>
        <w:spacing w:after="160" w:line="312"/>
        <w:jc w:val="left"/>
      </w:pPr>
      <w:r>
        <w:rPr>
          <w:rFonts w:ascii="Tahoma" w:cs="Tahoma" w:eastAsia="Tahoma" w:hAnsi="Tahoma"/>
          <w:sz w:val="21"/>
          <w:szCs w:val="21"/>
          <w:rtl/>
        </w:rPr>
        <w:t xml:space="preserve">فصل در چهار بخش موضوعی سازمان یافته است:</w:t>
      </w:r>
    </w:p>
    <w:p>
      <w:pPr>
        <w:bidi/>
        <w:spacing w:after="160" w:line="312"/>
        <w:jc w:val="left"/>
      </w:pPr>
      <w:r>
        <w:rPr>
          <w:rFonts w:ascii="Tahoma" w:cs="Tahoma" w:eastAsia="Tahoma" w:hAnsi="Tahoma"/>
          <w:b/>
          <w:bCs/>
          <w:sz w:val="21"/>
          <w:szCs w:val="21"/>
          <w:rtl/>
        </w:rPr>
        <w:t xml:space="preserve">بخش نخست — تصویر کلان (۶.۱ و ۶.۲).</w:t>
      </w:r>
      <w:r>
        <w:rPr>
          <w:rFonts w:ascii="Tahoma" w:cs="Tahoma" w:eastAsia="Tahoma" w:hAnsi="Tahoma"/>
          <w:sz w:val="21"/>
          <w:szCs w:val="21"/>
          <w:rtl/>
        </w:rPr>
        <w:t xml:space="preserve"> روند طبقه‌بندی مطالبات و سپس تجزیه‌ی آن بر مبنای وضعیت پوشش داده، که به یافته‌ی محوری این فصل می‌انجامد.</w:t>
      </w:r>
    </w:p>
    <w:p>
      <w:pPr>
        <w:bidi/>
        <w:spacing w:after="160" w:line="312"/>
        <w:jc w:val="left"/>
      </w:pPr>
      <w:r>
        <w:rPr>
          <w:rFonts w:ascii="Tahoma" w:cs="Tahoma" w:eastAsia="Tahoma" w:hAnsi="Tahoma"/>
          <w:b/>
          <w:bCs/>
          <w:sz w:val="21"/>
          <w:szCs w:val="21"/>
          <w:rtl/>
        </w:rPr>
        <w:t xml:space="preserve">بخش دوم — منابع ریسک (۶.۳ تا ۶.۶).</w:t>
      </w:r>
      <w:r>
        <w:rPr>
          <w:rFonts w:ascii="Tahoma" w:cs="Tahoma" w:eastAsia="Tahoma" w:hAnsi="Tahoma"/>
          <w:sz w:val="21"/>
          <w:szCs w:val="21"/>
          <w:rtl/>
        </w:rPr>
        <w:t xml:space="preserve"> تحلیل مستقل اعتبارات اسنادی، و سپس بررسی کیفیت بر حسب اندازه، نسل اعطا، و ساختار ضمانت.</w:t>
      </w:r>
    </w:p>
    <w:p>
      <w:pPr>
        <w:bidi/>
        <w:spacing w:after="160" w:line="312"/>
        <w:jc w:val="left"/>
      </w:pPr>
      <w:r>
        <w:rPr>
          <w:rFonts w:ascii="Tahoma" w:cs="Tahoma" w:eastAsia="Tahoma" w:hAnsi="Tahoma"/>
          <w:b/>
          <w:bCs/>
          <w:sz w:val="21"/>
          <w:szCs w:val="21"/>
          <w:rtl/>
        </w:rPr>
        <w:t xml:space="preserve">بخش سوم — شاخص‌های پیش‌نگر (۶.۷ و ۶.۸).</w:t>
      </w:r>
      <w:r>
        <w:rPr>
          <w:rFonts w:ascii="Tahoma" w:cs="Tahoma" w:eastAsia="Tahoma" w:hAnsi="Tahoma"/>
          <w:sz w:val="21"/>
          <w:szCs w:val="21"/>
          <w:rtl/>
        </w:rPr>
        <w:t xml:space="preserve"> ماتریس انتقال وضعیت و الگوی دیرکرد اقساط، که برخلاف نسبت‌های ایستا، جهت حرکت آینده را نشان می‌دهند.</w:t>
      </w:r>
    </w:p>
    <w:p>
      <w:pPr>
        <w:bidi/>
        <w:spacing w:after="160" w:line="312"/>
        <w:jc w:val="left"/>
      </w:pPr>
      <w:r>
        <w:rPr>
          <w:rFonts w:ascii="Tahoma" w:cs="Tahoma" w:eastAsia="Tahoma" w:hAnsi="Tahoma"/>
          <w:b/>
          <w:bCs/>
          <w:sz w:val="21"/>
          <w:szCs w:val="21"/>
          <w:rtl/>
        </w:rPr>
        <w:t xml:space="preserve">بخش چهارم — تمرکز (۶.۹ و ۶.۱۰).</w:t>
      </w:r>
      <w:r>
        <w:rPr>
          <w:rFonts w:ascii="Tahoma" w:cs="Tahoma" w:eastAsia="Tahoma" w:hAnsi="Tahoma"/>
          <w:sz w:val="21"/>
          <w:szCs w:val="21"/>
          <w:rtl/>
        </w:rPr>
        <w:t xml:space="preserve"> تمرکز تک‌نامی و جمع‌بندی نیمرخ ریسک بانک.</w:t>
      </w:r>
    </w:p>
    <w:p>
      <w:pPr>
        <w:pStyle w:val="Heading3"/>
        <w:keepNext/>
        <w:bidi/>
        <w:spacing w:after="160" w:before="300"/>
        <w:jc w:val="left"/>
      </w:pPr>
      <w:r>
        <w:rPr>
          <w:rFonts w:ascii="Tahoma" w:cs="Tahoma" w:eastAsia="Tahoma" w:hAnsi="Tahoma"/>
          <w:b/>
          <w:bCs/>
          <w:color w:val="1F4E79"/>
          <w:sz w:val="24"/>
          <w:szCs w:val="24"/>
          <w:rtl/>
        </w:rPr>
        <w:t xml:space="preserve">۶.۰.۳ تعریف مطالبات غیرجاری در این گزارش</w:t>
      </w:r>
    </w:p>
    <w:p>
      <w:pPr>
        <w:bidi/>
        <w:spacing w:after="160" w:line="312"/>
        <w:jc w:val="left"/>
      </w:pPr>
      <w:r>
        <w:rPr>
          <w:rFonts w:ascii="Tahoma" w:cs="Tahoma" w:eastAsia="Tahoma" w:hAnsi="Tahoma"/>
          <w:sz w:val="21"/>
          <w:szCs w:val="21"/>
          <w:rtl/>
        </w:rPr>
        <w:t xml:space="preserve">در سراسر این فصل، «مطالبات غیرجاری» مجموع سه طبقه‌ی </w:t>
      </w:r>
      <w:r>
        <w:rPr>
          <w:rFonts w:ascii="Tahoma" w:cs="Tahoma" w:eastAsia="Tahoma" w:hAnsi="Tahoma"/>
          <w:b/>
          <w:bCs/>
          <w:sz w:val="21"/>
          <w:szCs w:val="21"/>
          <w:rtl/>
        </w:rPr>
        <w:t xml:space="preserve">سررسیدگذشته، معوق و مشکوک‌الوصول</w:t>
      </w:r>
      <w:r>
        <w:rPr>
          <w:rFonts w:ascii="Tahoma" w:cs="Tahoma" w:eastAsia="Tahoma" w:hAnsi="Tahoma"/>
          <w:sz w:val="21"/>
          <w:szCs w:val="21"/>
          <w:rtl/>
        </w:rPr>
        <w:t xml:space="preserve"> است. این تعریف معادل مابه‌التفاوت مانده‌ی کل و مانده‌ی جاری هر قرارداد است و در تمام محاسبات به‌طور یکسان به کار رفته است. نسبت حاصل، مطابق مبنای </w:t>
      </w:r>
      <w:r>
        <w:rPr>
          <w:rFonts w:ascii="Tahoma" w:cs="Tahoma" w:eastAsia="Tahoma" w:hAnsi="Tahoma"/>
          <w:b/>
          <w:bCs/>
          <w:sz w:val="21"/>
          <w:szCs w:val="21"/>
          <w:rtl/>
        </w:rPr>
        <w:t xml:space="preserve">پ</w:t>
      </w:r>
      <w:r>
        <w:rPr>
          <w:rFonts w:ascii="Tahoma" w:cs="Tahoma" w:eastAsia="Tahoma" w:hAnsi="Tahoma"/>
          <w:sz w:val="21"/>
          <w:szCs w:val="21"/>
          <w:rtl/>
        </w:rPr>
        <w:t xml:space="preserve"> جدول تطبیق، برابر </w:t>
      </w:r>
      <w:r>
        <w:rPr>
          <w:rFonts w:ascii="Tahoma" w:cs="Tahoma" w:eastAsia="Tahoma" w:hAnsi="Tahoma"/>
          <w:b/>
          <w:bCs/>
          <w:sz w:val="21"/>
          <w:szCs w:val="21"/>
          <w:rtl/>
        </w:rPr>
        <w:t xml:space="preserve">۱۱.۲ هزار میلیارد تومان معادل ۸.۷۶ درصد</w:t>
      </w:r>
      <w:r>
        <w:rPr>
          <w:rFonts w:ascii="Tahoma" w:cs="Tahoma" w:eastAsia="Tahoma" w:hAnsi="Tahoma"/>
          <w:sz w:val="21"/>
          <w:szCs w:val="21"/>
          <w:rtl/>
        </w:rPr>
        <w:t xml:space="preserve"> پرتفوی در اسفند ۱۴۰۴ است.</w:t>
      </w:r>
    </w:p>
    <w:p>
      <w:pPr>
        <w:pBdr>
          <w:bottom w:val="single" w:color="BBBBBB" w:sz="6"/>
        </w:pBdr>
        <w:spacing w:after="100" w:before="100"/>
      </w:pPr>
    </w:p>
    <w:p>
      <w:pPr>
        <w:pStyle w:val="Heading2"/>
        <w:keepNext/>
        <w:bidi/>
        <w:spacing w:after="160" w:before="300"/>
        <w:jc w:val="left"/>
      </w:pPr>
      <w:bookmarkStart w:name="_Toc52" w:id="52"/>
      <w:r>
        <w:rPr>
          <w:rFonts w:ascii="Tahoma" w:cs="Tahoma" w:eastAsia="Tahoma" w:hAnsi="Tahoma"/>
          <w:b/>
          <w:bCs/>
          <w:color w:val="1F4E79"/>
          <w:sz w:val="28"/>
          <w:szCs w:val="28"/>
          <w:rtl/>
        </w:rPr>
        <w:t xml:space="preserve">۶.۱ روند طبقه‌بندی مطالبات</w:t>
      </w:r>
      <w:bookmarkEnd w:id="52"/>
    </w:p>
    <w:p>
      <w:pPr>
        <w:pStyle w:val="Heading3"/>
        <w:keepNext/>
        <w:bidi/>
        <w:spacing w:after="160" w:before="300"/>
        <w:jc w:val="left"/>
      </w:pPr>
      <w:r>
        <w:rPr>
          <w:rFonts w:ascii="Tahoma" w:cs="Tahoma" w:eastAsia="Tahoma" w:hAnsi="Tahoma"/>
          <w:b/>
          <w:bCs/>
          <w:color w:val="1F4E79"/>
          <w:sz w:val="24"/>
          <w:szCs w:val="24"/>
          <w:rtl/>
        </w:rPr>
        <w:t xml:space="preserve">۶.۱.۱ سری زمانی</w:t>
      </w:r>
    </w:p>
    <w:p>
      <w:pPr>
        <w:keepNext/>
        <w:spacing w:after="60" w:before="160"/>
        <w:jc w:val="center"/>
      </w:pPr>
      <w:r>
        <w:drawing>
          <wp:inline distT="0" distB="0" distL="0" distR="0">
            <wp:extent cx="5715000" cy="28575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57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 روند طبقه‌بندی مطالبات تسهیلات، فروردین ۱۴۰۰ تا اسفند ۱۴۰۴</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گیرد (فایل: </w:t>
      </w:r>
      <w:r>
        <w:rPr>
          <w:rFonts w:ascii="Consolas" w:cs="Consolas" w:eastAsia="Consolas" w:hAnsi="Consolas"/>
          <w:b w:val="false"/>
          <w:bCs w:val="false"/>
          <w:sz w:val="17"/>
          <w:szCs w:val="17"/>
          <w:rtl w:val="false"/>
        </w:rPr>
        <w:t xml:space="preserve">receivables_classification_trend.png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۶-۱: طبقه‌بندی مطالبات در مقاطع منتخب (مبنای الف — ارقام به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195"/>
        <w:gridCol w:w="1404"/>
        <w:gridCol w:w="994"/>
        <w:gridCol w:w="1450"/>
        <w:gridCol w:w="1404"/>
        <w:gridCol w:w="1453"/>
      </w:tblGrid>
      <w:tr>
        <w:trPr>
          <w:cantSplit/>
          <w:tblHeader/>
        </w:trPr>
        <w:tc>
          <w:tcPr>
            <w:tcW w:type="dxa" w:w="1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1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جاری</w:t>
            </w:r>
          </w:p>
        </w:tc>
        <w:tc>
          <w:tcPr>
            <w:tcW w:type="dxa" w:w="14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سررسیدگذشته</w:t>
            </w:r>
          </w:p>
        </w:tc>
        <w:tc>
          <w:tcPr>
            <w:tcW w:type="dxa" w:w="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1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14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۵.۰۴٪</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۳۰۷.۱</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۴۱۰.۴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۲.۹۶٪</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۵۹۱.۶</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۲.۸۴٪</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۸۴۴.۳</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۴.۹۳٪</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۱,۱۶۹.۴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۶.۱.۲ تحلیل</w:t>
      </w:r>
    </w:p>
    <w:p>
      <w:pPr>
        <w:bidi/>
        <w:spacing w:after="160" w:line="312"/>
        <w:jc w:val="left"/>
      </w:pPr>
      <w:r>
        <w:rPr>
          <w:rFonts w:ascii="Tahoma" w:cs="Tahoma" w:eastAsia="Tahoma" w:hAnsi="Tahoma"/>
          <w:b/>
          <w:bCs/>
          <w:sz w:val="21"/>
          <w:szCs w:val="21"/>
          <w:rtl/>
        </w:rPr>
        <w:t xml:space="preserve">مسیر دو مرحله‌ای.</w:t>
      </w:r>
      <w:r>
        <w:rPr>
          <w:rFonts w:ascii="Tahoma" w:cs="Tahoma" w:eastAsia="Tahoma" w:hAnsi="Tahoma"/>
          <w:sz w:val="21"/>
          <w:szCs w:val="21"/>
          <w:rtl/>
        </w:rPr>
        <w:t xml:space="preserve"> برخلاف تصور رایج از یک وخامت تدریجی، داده یک مسیر کاملاً دومرحله‌ای را نشان می‌دهد:</w:t>
      </w:r>
    </w:p>
    <w:p>
      <w:pPr>
        <w:bidi/>
        <w:spacing w:after="160" w:line="312"/>
        <w:jc w:val="left"/>
      </w:pPr>
      <w:r>
        <w:rPr>
          <w:rFonts w:ascii="Tahoma" w:cs="Tahoma" w:eastAsia="Tahoma" w:hAnsi="Tahoma"/>
          <w:sz w:val="21"/>
          <w:szCs w:val="21"/>
          <w:rtl/>
        </w:rPr>
        <w:t xml:space="preserve">در مرحله‌ی نخست (فروردین ۱۴۰۰ تا اسفند ۱۴۰۲)، نسبت مطالبات غیرجاری </w:t>
      </w:r>
      <w:r>
        <w:rPr>
          <w:rFonts w:ascii="Tahoma" w:cs="Tahoma" w:eastAsia="Tahoma" w:hAnsi="Tahoma"/>
          <w:b/>
          <w:bCs/>
          <w:sz w:val="21"/>
          <w:szCs w:val="21"/>
          <w:rtl/>
        </w:rPr>
        <w:t xml:space="preserve">بهبود</w:t>
      </w:r>
      <w:r>
        <w:rPr>
          <w:rFonts w:ascii="Tahoma" w:cs="Tahoma" w:eastAsia="Tahoma" w:hAnsi="Tahoma"/>
          <w:sz w:val="21"/>
          <w:szCs w:val="21"/>
          <w:rtl/>
        </w:rPr>
        <w:t xml:space="preserve"> یافته است: از ۵.۰۴ درصد به ۲.۸۴ درصد. این بهبود عمدتاً از رشد سریع مخرج (پرتفوی) ناشی می‌شود، نه از کاهش مطالبات معوق؛ مانده‌ی غیرجاری در همین بازه از ۱.۱ به ۱.۷ هزار میلیارد تومان افزایش یافته اما پرتفوی نزدیک به سه برابر شده است.</w:t>
      </w:r>
    </w:p>
    <w:p>
      <w:pPr>
        <w:bidi/>
        <w:spacing w:after="160" w:line="312"/>
        <w:jc w:val="left"/>
      </w:pPr>
      <w:r>
        <w:rPr>
          <w:rFonts w:ascii="Tahoma" w:cs="Tahoma" w:eastAsia="Tahoma" w:hAnsi="Tahoma"/>
          <w:sz w:val="21"/>
          <w:szCs w:val="21"/>
          <w:rtl/>
        </w:rPr>
        <w:t xml:space="preserve">در مرحله‌ی دوم (اسفند ۱۴۰۲ تا اسفند ۱۴۰۴)، مسیر معکوس می‌شود و نسبت </w:t>
      </w:r>
      <w:r>
        <w:rPr>
          <w:rFonts w:ascii="Tahoma" w:cs="Tahoma" w:eastAsia="Tahoma" w:hAnsi="Tahoma"/>
          <w:b/>
          <w:bCs/>
          <w:sz w:val="21"/>
          <w:szCs w:val="21"/>
          <w:rtl/>
        </w:rPr>
        <w:t xml:space="preserve">بیش از سه برابر</w:t>
      </w:r>
      <w:r>
        <w:rPr>
          <w:rFonts w:ascii="Tahoma" w:cs="Tahoma" w:eastAsia="Tahoma" w:hAnsi="Tahoma"/>
          <w:sz w:val="21"/>
          <w:szCs w:val="21"/>
          <w:rtl/>
        </w:rPr>
        <w:t xml:space="preserve"> می‌شود: از ۲.۸۴ به ۸.۷۶ درصد. در این دو سال، مانده‌ی غیرجاری از ۱.۷ به ۱۱.۲ هزار میلیارد تومان یعنی </w:t>
      </w:r>
      <w:r>
        <w:rPr>
          <w:rFonts w:ascii="Tahoma" w:cs="Tahoma" w:eastAsia="Tahoma" w:hAnsi="Tahoma"/>
          <w:b/>
          <w:bCs/>
          <w:sz w:val="21"/>
          <w:szCs w:val="21"/>
          <w:rtl/>
        </w:rPr>
        <w:t xml:space="preserve">۶.۵ برابر</w:t>
      </w:r>
      <w:r>
        <w:rPr>
          <w:rFonts w:ascii="Tahoma" w:cs="Tahoma" w:eastAsia="Tahoma" w:hAnsi="Tahoma"/>
          <w:sz w:val="21"/>
          <w:szCs w:val="21"/>
          <w:rtl/>
        </w:rPr>
        <w:t xml:space="preserve"> رسیده، در حالی که پرتفوی تنها ۲.۱ برابر شده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نتیجه‌ی کلیدی:</w:t>
      </w:r>
      <w:r>
        <w:rPr>
          <w:rFonts w:ascii="Tahoma" w:cs="Tahoma" w:eastAsia="Tahoma" w:hAnsi="Tahoma"/>
          <w:i/>
          <w:iCs/>
          <w:sz w:val="20"/>
          <w:szCs w:val="20"/>
          <w:rtl/>
        </w:rPr>
        <w:t xml:space="preserve"> وخامت کیفیت دارایی بانک پدیده‌ای </w:t>
      </w:r>
      <w:r>
        <w:rPr>
          <w:rFonts w:ascii="Tahoma" w:cs="Tahoma" w:eastAsia="Tahoma" w:hAnsi="Tahoma"/>
          <w:b/>
          <w:bCs/>
          <w:i/>
          <w:iCs/>
          <w:sz w:val="20"/>
          <w:szCs w:val="20"/>
          <w:rtl/>
        </w:rPr>
        <w:t xml:space="preserve">تازه و شتابان</w:t>
      </w:r>
      <w:r>
        <w:rPr>
          <w:rFonts w:ascii="Tahoma" w:cs="Tahoma" w:eastAsia="Tahoma" w:hAnsi="Tahoma"/>
          <w:i/>
          <w:iCs/>
          <w:sz w:val="20"/>
          <w:szCs w:val="20"/>
          <w:rtl/>
        </w:rPr>
        <w:t xml:space="preserve"> است که عمدتاً در دو سال اخیر رخ داده است. تحلیل‌هایی که بازه‌ی بلندمدت پنج‌ساله را میانگین می‌گیرند، شدت این تحول را پنهان می‌کنند.</w:t>
      </w:r>
    </w:p>
    <w:p>
      <w:pPr>
        <w:bidi/>
        <w:spacing w:after="160" w:line="312"/>
        <w:jc w:val="left"/>
      </w:pPr>
      <w:r>
        <w:rPr>
          <w:rFonts w:ascii="Tahoma" w:cs="Tahoma" w:eastAsia="Tahoma" w:hAnsi="Tahoma"/>
          <w:b/>
          <w:bCs/>
          <w:sz w:val="21"/>
          <w:szCs w:val="21"/>
          <w:rtl/>
        </w:rPr>
        <w:t xml:space="preserve">تغییر ترکیب طبقات.</w:t>
      </w:r>
      <w:r>
        <w:rPr>
          <w:rFonts w:ascii="Tahoma" w:cs="Tahoma" w:eastAsia="Tahoma" w:hAnsi="Tahoma"/>
          <w:sz w:val="21"/>
          <w:szCs w:val="21"/>
          <w:rtl/>
        </w:rPr>
        <w:t xml:space="preserve"> ترکیب درونی مطالبات غیرجاری نیز دگرگون شده است. در اسفند ۱۴۰۲، طبقه‌ی مشکوک‌الوصول ۴۹ درصد کل غیرجاری را تشکیل می‌داد. در اسفند ۱۴۰۴، بزرگ‌ترین طبقه </w:t>
      </w:r>
      <w:r>
        <w:rPr>
          <w:rFonts w:ascii="Tahoma" w:cs="Tahoma" w:eastAsia="Tahoma" w:hAnsi="Tahoma"/>
          <w:b/>
          <w:bCs/>
          <w:sz w:val="21"/>
          <w:szCs w:val="21"/>
          <w:rtl/>
        </w:rPr>
        <w:t xml:space="preserve">معوق</w:t>
      </w:r>
      <w:r>
        <w:rPr>
          <w:rFonts w:ascii="Tahoma" w:cs="Tahoma" w:eastAsia="Tahoma" w:hAnsi="Tahoma"/>
          <w:sz w:val="21"/>
          <w:szCs w:val="21"/>
          <w:rtl/>
        </w:rPr>
        <w:t xml:space="preserve"> با ۴۴.۷ درصد است و مشکوک‌الوصول به ۳۴.۲ درصد رسیده است.</w:t>
      </w:r>
    </w:p>
    <w:p>
      <w:pPr>
        <w:bidi/>
        <w:spacing w:after="160" w:line="312"/>
        <w:jc w:val="left"/>
      </w:pPr>
      <w:r>
        <w:rPr>
          <w:rFonts w:ascii="Tahoma" w:cs="Tahoma" w:eastAsia="Tahoma" w:hAnsi="Tahoma"/>
          <w:sz w:val="21"/>
          <w:szCs w:val="21"/>
          <w:rtl/>
        </w:rPr>
        <w:t xml:space="preserve">رشد طبقه‌ی معوق از ۰.۷ به ۵.۰ هزار میلیارد تومان — یعنی </w:t>
      </w:r>
      <w:r>
        <w:rPr>
          <w:rFonts w:ascii="Tahoma" w:cs="Tahoma" w:eastAsia="Tahoma" w:hAnsi="Tahoma"/>
          <w:b/>
          <w:bCs/>
          <w:sz w:val="21"/>
          <w:szCs w:val="21"/>
          <w:rtl/>
        </w:rPr>
        <w:t xml:space="preserve">۷.۲ برابر در یک سال</w:t>
      </w:r>
      <w:r>
        <w:rPr>
          <w:rFonts w:ascii="Tahoma" w:cs="Tahoma" w:eastAsia="Tahoma" w:hAnsi="Tahoma"/>
          <w:sz w:val="21"/>
          <w:szCs w:val="21"/>
          <w:rtl/>
        </w:rPr>
        <w:t xml:space="preserve"> — سریع‌ترین تحول کل جدول است. از آنجا که طبقه‌ی معوق مرحله‌ی میانی مسیر نکول است، این الگو نشان می‌دهد حجم قابل توجهی از مطالبات در حال حرکت به سمت طبقات بدتر است و </w:t>
      </w:r>
      <w:r>
        <w:rPr>
          <w:rFonts w:ascii="Tahoma" w:cs="Tahoma" w:eastAsia="Tahoma" w:hAnsi="Tahoma"/>
          <w:b/>
          <w:bCs/>
          <w:sz w:val="21"/>
          <w:szCs w:val="21"/>
          <w:rtl/>
        </w:rPr>
        <w:t xml:space="preserve">فشار مطالبات غیرجاری در ماه‌های آتی محتملاً ادامه خواهد یافت</w:t>
      </w:r>
      <w:r>
        <w:rPr>
          <w:rFonts w:ascii="Tahoma" w:cs="Tahoma" w:eastAsia="Tahoma" w:hAnsi="Tahoma"/>
          <w:sz w:val="21"/>
          <w:szCs w:val="21"/>
          <w:rtl/>
        </w:rPr>
        <w:t xml:space="preserve">. شاخص‌های پیش‌نگر بخش ۶.۷ این استنباط را تأیید می‌کنند.</w:t>
      </w:r>
    </w:p>
    <w:p>
      <w:pPr>
        <w:pStyle w:val="Heading3"/>
        <w:keepNext/>
        <w:bidi/>
        <w:spacing w:after="160" w:before="300"/>
        <w:jc w:val="left"/>
      </w:pPr>
      <w:r>
        <w:rPr>
          <w:rFonts w:ascii="Tahoma" w:cs="Tahoma" w:eastAsia="Tahoma" w:hAnsi="Tahoma"/>
          <w:b/>
          <w:bCs/>
          <w:color w:val="1F4E79"/>
          <w:sz w:val="24"/>
          <w:szCs w:val="24"/>
          <w:rtl/>
        </w:rPr>
        <w:t xml:space="preserve">۶.۱.۳ تذکر درباره‌ی یک جابه‌جایی طبقاتی در ماه‌های پایانی</w:t>
      </w:r>
    </w:p>
    <w:p>
      <w:pPr>
        <w:bidi/>
        <w:spacing w:after="160" w:line="312"/>
        <w:jc w:val="left"/>
      </w:pPr>
      <w:r>
        <w:rPr>
          <w:rFonts w:ascii="Tahoma" w:cs="Tahoma" w:eastAsia="Tahoma" w:hAnsi="Tahoma"/>
          <w:sz w:val="21"/>
          <w:szCs w:val="21"/>
          <w:rtl/>
        </w:rPr>
        <w:t xml:space="preserve">بررسی سری ماهانه یک ناپیوستگی را در فاصله‌ی دی تا بهمن ۱۴۰۴ آشکار کرد که باید ثبت شود:</w:t>
      </w:r>
    </w:p>
    <w:p>
      <w:pPr>
        <w:keepNext/>
        <w:bidi/>
        <w:spacing w:after="100" w:before="200"/>
        <w:jc w:val="left"/>
      </w:pPr>
      <w:r>
        <w:rPr>
          <w:rFonts w:ascii="Tahoma" w:cs="Tahoma" w:eastAsia="Tahoma" w:hAnsi="Tahoma"/>
          <w:b/>
          <w:bCs/>
          <w:sz w:val="21"/>
          <w:szCs w:val="21"/>
          <w:rtl/>
        </w:rPr>
        <w:t xml:space="preserve">جدول ۶-۲: جابه‌جایی میان طبقات در ماه‌های پایانی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5"/>
        <w:gridCol w:w="1910"/>
        <w:gridCol w:w="2593"/>
        <w:gridCol w:w="2512"/>
      </w:tblGrid>
      <w:tr>
        <w:trPr>
          <w:cantSplit/>
          <w:tblHeader/>
        </w:trPr>
        <w:tc>
          <w:tcPr>
            <w:tcW w:type="dxa" w:w="23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25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25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دی ۱۴۰۴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۶۱.۸</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۱۰۵.۹</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بهمن ۱۴۰۴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۴۷.۶</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۱۰۵.۳</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تغییر</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۲۹.۱−</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در یک ماه، حدود ۲.۹ هزار میلیارد تومان از طبقه‌ی مشکوک‌الوصول کاسته و حدود ۲.۵ هزار میلیارد تومان به طبقه‌ی معوق افزوده شده، در حالی که </w:t>
      </w:r>
      <w:r>
        <w:rPr>
          <w:rFonts w:ascii="Tahoma" w:cs="Tahoma" w:eastAsia="Tahoma" w:hAnsi="Tahoma"/>
          <w:b/>
          <w:bCs/>
          <w:sz w:val="21"/>
          <w:szCs w:val="21"/>
          <w:rtl/>
        </w:rPr>
        <w:t xml:space="preserve">جمع کل مطالبات غیرجاری تقریباً بدون تغییر مانده است</w:t>
      </w:r>
      <w:r>
        <w:rPr>
          <w:rFonts w:ascii="Tahoma" w:cs="Tahoma" w:eastAsia="Tahoma" w:hAnsi="Tahoma"/>
          <w:sz w:val="21"/>
          <w:szCs w:val="21"/>
          <w:rtl/>
        </w:rPr>
        <w:t xml:space="preserve">. این الگو با یک رویداد اقتصادی — نکول جدید یا بازیافت — سازگار نیست؛ مشخصه‌ی یک </w:t>
      </w:r>
      <w:r>
        <w:rPr>
          <w:rFonts w:ascii="Tahoma" w:cs="Tahoma" w:eastAsia="Tahoma" w:hAnsi="Tahoma"/>
          <w:b/>
          <w:bCs/>
          <w:sz w:val="21"/>
          <w:szCs w:val="21"/>
          <w:rtl/>
        </w:rPr>
        <w:t xml:space="preserve">بازطبقه‌بندی حسابداری</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پیامد عملی: </w:t>
      </w:r>
      <w:r>
        <w:rPr>
          <w:rFonts w:ascii="Tahoma" w:cs="Tahoma" w:eastAsia="Tahoma" w:hAnsi="Tahoma"/>
          <w:b/>
          <w:bCs/>
          <w:sz w:val="21"/>
          <w:szCs w:val="21"/>
          <w:rtl/>
        </w:rPr>
        <w:t xml:space="preserve">روند تک‌تک طبقات در ماه‌های پایانی دوره قابل اتکا نیست</w:t>
      </w:r>
      <w:r>
        <w:rPr>
          <w:rFonts w:ascii="Tahoma" w:cs="Tahoma" w:eastAsia="Tahoma" w:hAnsi="Tahoma"/>
          <w:sz w:val="21"/>
          <w:szCs w:val="21"/>
          <w:rtl/>
        </w:rPr>
        <w:t xml:space="preserve">، هرچند جمع کل مطالبات غیرجاری معتبر باقی می‌ماند. تحلیل‌های این فصل به همین دلیل بر جمع کل استوار شده‌اند و نه بر تفکیک طبقات. علت این بازطبقه‌بندی از بانک استعلام شده است (فصل ۹).</w:t>
      </w:r>
    </w:p>
    <w:p>
      <w:pPr>
        <w:pBdr>
          <w:bottom w:val="single" w:color="BBBBBB" w:sz="6"/>
        </w:pBdr>
        <w:spacing w:after="100" w:before="100"/>
      </w:pPr>
    </w:p>
    <w:p>
      <w:pPr>
        <w:pStyle w:val="Heading2"/>
        <w:keepNext/>
        <w:bidi/>
        <w:spacing w:after="160" w:before="300"/>
        <w:jc w:val="left"/>
      </w:pPr>
      <w:bookmarkStart w:name="_Toc53" w:id="53"/>
      <w:r>
        <w:rPr>
          <w:rFonts w:ascii="Tahoma" w:cs="Tahoma" w:eastAsia="Tahoma" w:hAnsi="Tahoma"/>
          <w:b/>
          <w:bCs/>
          <w:color w:val="1F4E79"/>
          <w:sz w:val="28"/>
          <w:szCs w:val="28"/>
          <w:rtl/>
        </w:rPr>
        <w:t xml:space="preserve">۶.۲ تجزیه‌ی مطالبات غیرجاری بر مبنای پوشش داده</w:t>
      </w:r>
      <w:bookmarkEnd w:id="53"/>
    </w:p>
    <w:p>
      <w:pPr>
        <w:pStyle w:val="Heading3"/>
        <w:keepNext/>
        <w:bidi/>
        <w:spacing w:after="160" w:before="300"/>
        <w:jc w:val="left"/>
      </w:pPr>
      <w:r>
        <w:rPr>
          <w:rFonts w:ascii="Tahoma" w:cs="Tahoma" w:eastAsia="Tahoma" w:hAnsi="Tahoma"/>
          <w:b/>
          <w:bCs/>
          <w:color w:val="1F4E79"/>
          <w:sz w:val="24"/>
          <w:szCs w:val="24"/>
          <w:rtl/>
        </w:rPr>
        <w:t xml:space="preserve">۶.۲.۱ زمینه</w:t>
      </w:r>
    </w:p>
    <w:p>
      <w:pPr>
        <w:bidi/>
        <w:spacing w:after="160" w:line="312"/>
        <w:jc w:val="left"/>
      </w:pPr>
      <w:r>
        <w:rPr>
          <w:rFonts w:ascii="Tahoma" w:cs="Tahoma" w:eastAsia="Tahoma" w:hAnsi="Tahoma"/>
          <w:sz w:val="21"/>
          <w:szCs w:val="21"/>
          <w:rtl/>
        </w:rPr>
        <w:t xml:space="preserve">در بخش ۲.۵ نشان داده شد که ۲۲.۴۰ درصد پرتفوی، هم‌زمان فاقد رکورد قرارداد و فاقد نگاشت شعبه است و این دو مجموعه دقیقاً بر هم منطبق‌اند. در آنجا این موضوع به‌عنوان یک محدودیت داده‌ای مطرح شد. تحلیل حاضر نشان می‌دهد که موضوع فراتر از یک محدودیت است.</w:t>
      </w:r>
    </w:p>
    <w:p>
      <w:pPr>
        <w:pStyle w:val="Heading3"/>
        <w:keepNext/>
        <w:bidi/>
        <w:spacing w:after="160" w:before="300"/>
        <w:jc w:val="left"/>
      </w:pPr>
      <w:r>
        <w:rPr>
          <w:rFonts w:ascii="Tahoma" w:cs="Tahoma" w:eastAsia="Tahoma" w:hAnsi="Tahoma"/>
          <w:b/>
          <w:bCs/>
          <w:color w:val="1F4E79"/>
          <w:sz w:val="24"/>
          <w:szCs w:val="24"/>
          <w:rtl/>
        </w:rPr>
        <w:t xml:space="preserve">۶.۲.۲ یافته</w:t>
      </w:r>
    </w:p>
    <w:p>
      <w:pPr>
        <w:keepNext/>
        <w:bidi/>
        <w:spacing w:after="100" w:before="200"/>
        <w:jc w:val="left"/>
      </w:pPr>
      <w:r>
        <w:rPr>
          <w:rFonts w:ascii="Tahoma" w:cs="Tahoma" w:eastAsia="Tahoma" w:hAnsi="Tahoma"/>
          <w:b/>
          <w:bCs/>
          <w:sz w:val="21"/>
          <w:szCs w:val="21"/>
          <w:rtl/>
        </w:rPr>
        <w:t xml:space="preserve">جدول ۶-۳: کیفیت دارایی بر حسب وضعیت پوشش داده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66"/>
        <w:gridCol w:w="2266"/>
        <w:gridCol w:w="1313"/>
        <w:gridCol w:w="1825"/>
        <w:gridCol w:w="1680"/>
      </w:tblGrid>
      <w:tr>
        <w:trPr>
          <w:cantSplit/>
          <w:tblHeader/>
        </w:trPr>
        <w:tc>
          <w:tcPr>
            <w:tcW w:type="dxa" w:w="2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پرتفوی</w:t>
            </w:r>
          </w:p>
        </w:tc>
        <w:tc>
          <w:tcPr>
            <w:tcW w:type="dxa" w:w="2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3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c>
          <w:tcPr>
            <w:tcW w:type="dxa" w:w="182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6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قرارداد و شعبه</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۵.۲۱٪</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 و شعبه</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۲۱.۰۴٪</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پرتفوی</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b/>
          <w:bCs/>
          <w:sz w:val="21"/>
          <w:szCs w:val="21"/>
          <w:rtl/>
        </w:rPr>
        <w:t xml:space="preserve">نسبت مطالبات غیرجاری در بخش فاقد اطلاعات، بیش از چهار برابر بخش شناخته‌شده است.</w:t>
      </w:r>
      <w:r>
        <w:rPr>
          <w:rFonts w:ascii="Tahoma" w:cs="Tahoma" w:eastAsia="Tahoma" w:hAnsi="Tahoma"/>
          <w:sz w:val="21"/>
          <w:szCs w:val="21"/>
          <w:rtl/>
        </w:rPr>
        <w:t xml:space="preserve"> افزون بر آن، این بخش با کمتر از یک‌چهارم پرتفوی، </w:t>
      </w:r>
      <w:r>
        <w:rPr>
          <w:rFonts w:ascii="Tahoma" w:cs="Tahoma" w:eastAsia="Tahoma" w:hAnsi="Tahoma"/>
          <w:b/>
          <w:bCs/>
          <w:sz w:val="21"/>
          <w:szCs w:val="21"/>
          <w:rtl/>
        </w:rPr>
        <w:t xml:space="preserve">۵۳.۸ درصد کل مطالبات غیرجاری بانک</w:t>
      </w:r>
      <w:r>
        <w:rPr>
          <w:rFonts w:ascii="Tahoma" w:cs="Tahoma" w:eastAsia="Tahoma" w:hAnsi="Tahoma"/>
          <w:sz w:val="21"/>
          <w:szCs w:val="21"/>
          <w:rtl/>
        </w:rPr>
        <w:t xml:space="preserve"> را در خود دارد.</w:t>
      </w:r>
    </w:p>
    <w:p>
      <w:pPr>
        <w:pStyle w:val="Heading3"/>
        <w:keepNext/>
        <w:bidi/>
        <w:spacing w:after="160" w:before="300"/>
        <w:jc w:val="left"/>
      </w:pPr>
      <w:r>
        <w:rPr>
          <w:rFonts w:ascii="Tahoma" w:cs="Tahoma" w:eastAsia="Tahoma" w:hAnsi="Tahoma"/>
          <w:b/>
          <w:bCs/>
          <w:color w:val="1F4E79"/>
          <w:sz w:val="24"/>
          <w:szCs w:val="24"/>
          <w:rtl/>
        </w:rPr>
        <w:t xml:space="preserve">۶.۲.۳ تجزیه‌ی سه‌گانه</w:t>
      </w:r>
    </w:p>
    <w:p>
      <w:pPr>
        <w:bidi/>
        <w:spacing w:after="160" w:line="312"/>
        <w:jc w:val="left"/>
      </w:pPr>
      <w:r>
        <w:rPr>
          <w:rFonts w:ascii="Tahoma" w:cs="Tahoma" w:eastAsia="Tahoma" w:hAnsi="Tahoma"/>
          <w:sz w:val="21"/>
          <w:szCs w:val="21"/>
          <w:rtl/>
        </w:rPr>
        <w:t xml:space="preserve">ترکیب این یافته با تحلیل بخش اقتصادی فصل ۵، تصویر دقیق‌تری به دست می‌دهد. بخش اعتبارات اسنادی تقریباً به‌طور کامل درون ناحیه‌ی فاقد اطلاعات قرار دارد؛ لذا جداسازی آن، ساختار واقعی ریسک را آشکار می‌کند:</w:t>
      </w:r>
    </w:p>
    <w:p>
      <w:pPr>
        <w:keepNext/>
        <w:bidi/>
        <w:spacing w:after="100" w:before="200"/>
        <w:jc w:val="left"/>
      </w:pPr>
      <w:r>
        <w:rPr>
          <w:rFonts w:ascii="Tahoma" w:cs="Tahoma" w:eastAsia="Tahoma" w:hAnsi="Tahoma"/>
          <w:b/>
          <w:bCs/>
          <w:sz w:val="21"/>
          <w:szCs w:val="21"/>
          <w:rtl/>
        </w:rPr>
        <w:t xml:space="preserve">جدول ۶-۴: تجزیه‌ی سه‌گانه‌ی پرتفوی بر حسب ریسک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96"/>
        <w:gridCol w:w="2147"/>
        <w:gridCol w:w="1486"/>
        <w:gridCol w:w="1729"/>
        <w:gridCol w:w="1592"/>
      </w:tblGrid>
      <w:tr>
        <w:trPr>
          <w:cantSplit/>
          <w:tblHeader/>
        </w:trPr>
        <w:tc>
          <w:tcPr>
            <w:tcW w:type="dxa" w:w="23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1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پرتفوی</w:t>
            </w:r>
          </w:p>
        </w:tc>
        <w:tc>
          <w:tcPr>
            <w:tcW w:type="dxa" w:w="17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5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شناخته‌شده، غیر از اعتبارات اسنادی</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۷۷.۱٪</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۴۵.۳</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غیر از اعتبارات اسنادی</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۲۴.۰</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۲۱.۶</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۸.۹۹٪</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(کل)</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۴۵.۴</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۶.۲.۴ تحلیل</w:t>
      </w:r>
    </w:p>
    <w:p>
      <w:pPr>
        <w:bidi/>
        <w:spacing w:after="160" w:line="312"/>
        <w:jc w:val="left"/>
      </w:pPr>
      <w:r>
        <w:rPr>
          <w:rFonts w:ascii="Tahoma" w:cs="Tahoma" w:eastAsia="Tahoma" w:hAnsi="Tahoma"/>
          <w:b/>
          <w:bCs/>
          <w:sz w:val="21"/>
          <w:szCs w:val="21"/>
          <w:rtl/>
        </w:rPr>
        <w:t xml:space="preserve">سه نیمرخ ریسک کاملاً متمایز.</w:t>
      </w:r>
      <w:r>
        <w:rPr>
          <w:rFonts w:ascii="Tahoma" w:cs="Tahoma" w:eastAsia="Tahoma" w:hAnsi="Tahoma"/>
          <w:sz w:val="21"/>
          <w:szCs w:val="21"/>
          <w:rtl/>
        </w:rPr>
        <w:t xml:space="preserve"> جدول ۶-۴ نشان می‌دهد آنچه به‌عنوان یک پرتفوی با نسبت غیرجاری ۸.۷۶ درصد گزارش می‌شود، در واقع از سه پرتفوی با ماهیت کاملاً متفاوت تشکیل شده است:</w:t>
      </w:r>
    </w:p>
    <w:p>
      <w:pPr>
        <w:bidi/>
        <w:spacing w:after="160" w:line="312"/>
        <w:jc w:val="left"/>
      </w:pPr>
      <w:r>
        <w:rPr>
          <w:rFonts w:ascii="Tahoma" w:cs="Tahoma" w:eastAsia="Tahoma" w:hAnsi="Tahoma"/>
          <w:sz w:val="21"/>
          <w:szCs w:val="21"/>
          <w:rtl/>
        </w:rPr>
        <w:t xml:space="preserve">بخش اصلی پرتفوی — ۷۷.۱ درصد — نسبت غیرجاری ۴.۵۹ درصد دارد که برای یک بانک توسعه‌ای در شرایط اقتصادی کشور، </w:t>
      </w:r>
      <w:r>
        <w:rPr>
          <w:rFonts w:ascii="Tahoma" w:cs="Tahoma" w:eastAsia="Tahoma" w:hAnsi="Tahoma"/>
          <w:b/>
          <w:bCs/>
          <w:sz w:val="21"/>
          <w:szCs w:val="21"/>
          <w:rtl/>
        </w:rPr>
        <w:t xml:space="preserve">وضعیتی قابل قبول</w:t>
      </w:r>
      <w:r>
        <w:rPr>
          <w:rFonts w:ascii="Tahoma" w:cs="Tahoma" w:eastAsia="Tahoma" w:hAnsi="Tahoma"/>
          <w:sz w:val="21"/>
          <w:szCs w:val="21"/>
          <w:rtl/>
        </w:rPr>
        <w:t xml:space="preserve"> محسوب می‌شود.</w:t>
      </w:r>
    </w:p>
    <w:p>
      <w:pPr>
        <w:bidi/>
        <w:spacing w:after="160" w:line="312"/>
        <w:jc w:val="left"/>
      </w:pPr>
      <w:r>
        <w:rPr>
          <w:rFonts w:ascii="Tahoma" w:cs="Tahoma" w:eastAsia="Tahoma" w:hAnsi="Tahoma"/>
          <w:sz w:val="21"/>
          <w:szCs w:val="21"/>
          <w:rtl/>
        </w:rPr>
        <w:t xml:space="preserve">بخش فاقد اطلاعات غیر از اعتبارات اسنادی، با نسبت ۸.۹۹ درصد، حدود دو برابر بخش اصلی است. اعتبارات اسنادی با ۸۴.۰۱ درصد در طبقه‌ای کاملاً جداگانه قرار دارد.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پیامد مدیریتی:</w:t>
      </w:r>
      <w:r>
        <w:rPr>
          <w:rFonts w:ascii="Tahoma" w:cs="Tahoma" w:eastAsia="Tahoma" w:hAnsi="Tahoma"/>
          <w:i/>
          <w:iCs/>
          <w:sz w:val="20"/>
          <w:szCs w:val="20"/>
          <w:rtl/>
        </w:rPr>
        <w:t xml:space="preserve"> نسبت ۸.۷۶ درصدی کل، یک میانگین گمراه‌کننده است. ارائه‌ی آن به‌تنهایی، هم‌زمان وضعیت بخش اصلی پرتفوی را بدتر از واقع و وخامت اعتبارات اسنادی را کمتر از واقع نشان می‌دهد. </w:t>
      </w:r>
      <w:r>
        <w:rPr>
          <w:rFonts w:ascii="Tahoma" w:cs="Tahoma" w:eastAsia="Tahoma" w:hAnsi="Tahoma"/>
          <w:b/>
          <w:bCs/>
          <w:i/>
          <w:iCs/>
          <w:sz w:val="20"/>
          <w:szCs w:val="20"/>
          <w:rtl/>
        </w:rPr>
        <w:t xml:space="preserve">توصیه‌ی این گزارش، جایگزینی شاخص واحد با همین تفکیک سه‌گانه در گزارش‌های مدیریتی است.</w:t>
      </w:r>
    </w:p>
    <w:p>
      <w:pPr>
        <w:bidi/>
        <w:spacing w:after="160" w:line="312"/>
        <w:jc w:val="left"/>
      </w:pPr>
      <w:r>
        <w:rPr>
          <w:rFonts w:ascii="Tahoma" w:cs="Tahoma" w:eastAsia="Tahoma" w:hAnsi="Tahoma"/>
          <w:b/>
          <w:bCs/>
          <w:sz w:val="21"/>
          <w:szCs w:val="21"/>
          <w:rtl/>
        </w:rPr>
        <w:t xml:space="preserve">ارزیابی سطر میانی.</w:t>
      </w:r>
      <w:r>
        <w:rPr>
          <w:rFonts w:ascii="Tahoma" w:cs="Tahoma" w:eastAsia="Tahoma" w:hAnsi="Tahoma"/>
          <w:sz w:val="21"/>
          <w:szCs w:val="21"/>
          <w:rtl/>
        </w:rPr>
        <w:t xml:space="preserve"> نسبت ۸.۹۹ درصدی بخش فاقد اطلاعات، حتی پس از جداسازی اعتبارات اسنادی، همچنان حدود دو برابر بخش اصلی است. دو تبیین ممکن است:</w:t>
      </w:r>
    </w:p>
    <w:p>
      <w:pPr>
        <w:bidi/>
        <w:spacing w:after="160" w:line="312"/>
        <w:jc w:val="left"/>
      </w:pPr>
      <w:r>
        <w:rPr>
          <w:rFonts w:ascii="Tahoma" w:cs="Tahoma" w:eastAsia="Tahoma" w:hAnsi="Tahoma"/>
          <w:sz w:val="21"/>
          <w:szCs w:val="21"/>
          <w:rtl/>
        </w:rPr>
        <w:t xml:space="preserve">نخست آن‌که فرآیند استخراج داده به‌گونه‌ای عمل کرده که قراردادهای قدیمی‌تر، آرشیوشده یا مسئله‌دار را از جداول قرارداد کنار گذاشته است. در این صورت، بالاتر بودن نسبت غیرجاری یک </w:t>
      </w:r>
      <w:r>
        <w:rPr>
          <w:rFonts w:ascii="Tahoma" w:cs="Tahoma" w:eastAsia="Tahoma" w:hAnsi="Tahoma"/>
          <w:b/>
          <w:bCs/>
          <w:sz w:val="21"/>
          <w:szCs w:val="21"/>
          <w:rtl/>
        </w:rPr>
        <w:t xml:space="preserve">نتیجه‌ی طبیعی</w:t>
      </w:r>
      <w:r>
        <w:rPr>
          <w:rFonts w:ascii="Tahoma" w:cs="Tahoma" w:eastAsia="Tahoma" w:hAnsi="Tahoma"/>
          <w:sz w:val="21"/>
          <w:szCs w:val="21"/>
          <w:rtl/>
        </w:rPr>
        <w:t xml:space="preserve"> از همبستگی میان قدمت و نکول است.</w:t>
      </w:r>
    </w:p>
    <w:p>
      <w:pPr>
        <w:bidi/>
        <w:spacing w:after="160" w:line="312"/>
        <w:jc w:val="left"/>
      </w:pPr>
      <w:r>
        <w:rPr>
          <w:rFonts w:ascii="Tahoma" w:cs="Tahoma" w:eastAsia="Tahoma" w:hAnsi="Tahoma"/>
          <w:sz w:val="21"/>
          <w:szCs w:val="21"/>
          <w:rtl/>
        </w:rPr>
        <w:t xml:space="preserve">دوم آن‌که این بخش واقعاً پرتفویی با ریسک بالاتر باشد. تفکیک این دو تبیین مستلزم پاسخ بانک به پرسش «علت عدم حضور ۶۳۷,۹۷۵ قرارداد در جدول قرارداد» است (فصل ۹).</w:t>
      </w:r>
    </w:p>
    <w:p>
      <w:pPr>
        <w:bidi/>
        <w:spacing w:after="160" w:line="312"/>
        <w:jc w:val="left"/>
      </w:pPr>
      <w:r>
        <w:rPr>
          <w:rFonts w:ascii="Tahoma" w:cs="Tahoma" w:eastAsia="Tahoma" w:hAnsi="Tahoma"/>
          <w:b/>
          <w:bCs/>
          <w:sz w:val="21"/>
          <w:szCs w:val="21"/>
          <w:rtl/>
        </w:rPr>
        <w:t xml:space="preserve">نکته‌ی حائز اهمیت برای تفسیر سایر بخش‌های این فصل.</w:t>
      </w:r>
      <w:r>
        <w:rPr>
          <w:rFonts w:ascii="Tahoma" w:cs="Tahoma" w:eastAsia="Tahoma" w:hAnsi="Tahoma"/>
          <w:sz w:val="21"/>
          <w:szCs w:val="21"/>
          <w:rtl/>
        </w:rPr>
        <w:t xml:space="preserve"> از آنجا که تحلیل‌های اندازه‌ی وام (بخش ۶.۵)، نسل اعطا (بخش ۶.۶) و تمرکز تک‌نامی (بخش ۶.۹) همگی بر مبنای الف-۱ استوارند، نسبت‌های غیرجاری آن‌ها حول میانگین </w:t>
      </w:r>
      <w:r>
        <w:rPr>
          <w:rFonts w:ascii="Tahoma" w:cs="Tahoma" w:eastAsia="Tahoma" w:hAnsi="Tahoma"/>
          <w:b/>
          <w:bCs/>
          <w:sz w:val="21"/>
          <w:szCs w:val="21"/>
          <w:rtl/>
        </w:rPr>
        <w:t xml:space="preserve">۵.۲۱ درصد</w:t>
      </w:r>
      <w:r>
        <w:rPr>
          <w:rFonts w:ascii="Tahoma" w:cs="Tahoma" w:eastAsia="Tahoma" w:hAnsi="Tahoma"/>
          <w:sz w:val="21"/>
          <w:szCs w:val="21"/>
          <w:rtl/>
        </w:rPr>
        <w:t xml:space="preserve"> نوسان می‌کنند و نه ۸.۷۶ درصد. این تفاوت خطا نیست و در هر جدول تصریح شده است.</w:t>
      </w:r>
    </w:p>
    <w:p>
      <w:pPr>
        <w:pBdr>
          <w:bottom w:val="single" w:color="BBBBBB" w:sz="6"/>
        </w:pBdr>
        <w:spacing w:after="100" w:before="100"/>
      </w:pPr>
    </w:p>
    <w:p>
      <w:pPr>
        <w:pStyle w:val="Heading2"/>
        <w:keepNext/>
        <w:bidi/>
        <w:spacing w:after="160" w:before="300"/>
        <w:jc w:val="left"/>
      </w:pPr>
      <w:bookmarkStart w:name="_Toc54" w:id="54"/>
      <w:r>
        <w:rPr>
          <w:rFonts w:ascii="Tahoma" w:cs="Tahoma" w:eastAsia="Tahoma" w:hAnsi="Tahoma"/>
          <w:b/>
          <w:bCs/>
          <w:color w:val="1F4E79"/>
          <w:sz w:val="28"/>
          <w:szCs w:val="28"/>
          <w:rtl/>
        </w:rPr>
        <w:t xml:space="preserve">۶.۳ اعتبارات اسنادی</w:t>
      </w:r>
      <w:bookmarkEnd w:id="54"/>
    </w:p>
    <w:p>
      <w:pPr>
        <w:pStyle w:val="Heading3"/>
        <w:keepNext/>
        <w:bidi/>
        <w:spacing w:after="160" w:before="300"/>
        <w:jc w:val="left"/>
      </w:pPr>
      <w:r>
        <w:rPr>
          <w:rFonts w:ascii="Tahoma" w:cs="Tahoma" w:eastAsia="Tahoma" w:hAnsi="Tahoma"/>
          <w:b/>
          <w:bCs/>
          <w:color w:val="1F4E79"/>
          <w:sz w:val="24"/>
          <w:szCs w:val="24"/>
          <w:rtl/>
        </w:rPr>
        <w:t xml:space="preserve">۶.۳.۱ چرایی اختصاص بخش مستقل</w:t>
      </w:r>
    </w:p>
    <w:p>
      <w:pPr>
        <w:bidi/>
        <w:spacing w:after="160" w:line="312"/>
        <w:jc w:val="left"/>
      </w:pPr>
      <w:r>
        <w:rPr>
          <w:rFonts w:ascii="Tahoma" w:cs="Tahoma" w:eastAsia="Tahoma" w:hAnsi="Tahoma"/>
          <w:sz w:val="21"/>
          <w:szCs w:val="21"/>
          <w:rtl/>
        </w:rPr>
        <w:t xml:space="preserve">این بخش با ۴.۲۲ درصد سهم از پرتفوی، در نگاه نخست فرعی به نظر می‌رسد. چهار دلیل، اختصاص یک بخش مستقل به آن را ایجاب می‌کند: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۴۰.۴۴ درصد کل مطالبات غیرجاری بانک</w:t>
      </w:r>
      <w:r>
        <w:rPr>
          <w:rFonts w:ascii="Tahoma" w:cs="Tahoma" w:eastAsia="Tahoma" w:hAnsi="Tahoma"/>
          <w:sz w:val="21"/>
          <w:szCs w:val="21"/>
          <w:rtl/>
        </w:rPr>
        <w:t xml:space="preserve"> را تولید می‌کند (جدول ۵-۹).</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نسبت غیرجاری آن </w:t>
      </w:r>
      <w:r>
        <w:rPr>
          <w:rFonts w:ascii="Tahoma" w:cs="Tahoma" w:eastAsia="Tahoma" w:hAnsi="Tahoma"/>
          <w:b/>
          <w:bCs/>
          <w:sz w:val="21"/>
          <w:szCs w:val="21"/>
          <w:rtl/>
        </w:rPr>
        <w:t xml:space="preserve">۸۴.۰۱ درصد</w:t>
      </w:r>
      <w:r>
        <w:rPr>
          <w:rFonts w:ascii="Tahoma" w:cs="Tahoma" w:eastAsia="Tahoma" w:hAnsi="Tahoma"/>
          <w:sz w:val="21"/>
          <w:szCs w:val="21"/>
          <w:rtl/>
        </w:rPr>
        <w:t xml:space="preserve"> است؛ حدود ده برابر هر بخش دیگر.</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سریع‌ترین وخامت کل پرتفوی را داشته است (جدول ۶-۵).</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پایین‌ترین پوشش وثیقه</w:t>
      </w:r>
      <w:r>
        <w:rPr>
          <w:rFonts w:ascii="Tahoma" w:cs="Tahoma" w:eastAsia="Tahoma" w:hAnsi="Tahoma"/>
          <w:sz w:val="21"/>
          <w:szCs w:val="21"/>
          <w:rtl/>
        </w:rPr>
        <w:t xml:space="preserve"> را در میان تمام بخش‌ها دارد (بخش ۵.۸.۳).</w:t>
      </w:r>
    </w:p>
    <w:p>
      <w:pPr>
        <w:pStyle w:val="Heading3"/>
        <w:keepNext/>
        <w:bidi/>
        <w:spacing w:after="160" w:before="300"/>
        <w:jc w:val="left"/>
      </w:pPr>
      <w:r>
        <w:rPr>
          <w:rFonts w:ascii="Tahoma" w:cs="Tahoma" w:eastAsia="Tahoma" w:hAnsi="Tahoma"/>
          <w:b/>
          <w:bCs/>
          <w:color w:val="1F4E79"/>
          <w:sz w:val="24"/>
          <w:szCs w:val="24"/>
          <w:rtl/>
        </w:rPr>
        <w:t xml:space="preserve">۶.۳.۲ مسیر وخامت</w:t>
      </w:r>
    </w:p>
    <w:p>
      <w:pPr>
        <w:keepNext/>
        <w:spacing w:after="60" w:before="160"/>
        <w:jc w:val="center"/>
      </w:pPr>
      <w:r>
        <w:drawing>
          <wp:inline distT="0" distB="0" distL="0" distR="0">
            <wp:extent cx="5715000" cy="23812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۶-۲: روند نسبت مطالبات غیرجاری اعتبارات اسنادی در برابر سایر پرتفوی</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قرار گیرد (فایل: </w:t>
      </w:r>
      <w:r>
        <w:rPr>
          <w:rFonts w:ascii="Consolas" w:cs="Consolas" w:eastAsia="Consolas" w:hAnsi="Consolas"/>
          <w:b w:val="false"/>
          <w:bCs w:val="false"/>
          <w:sz w:val="17"/>
          <w:szCs w:val="17"/>
          <w:rtl w:val="false"/>
        </w:rPr>
        <w:t xml:space="preserve">letters_of_credit_npl_trend.png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۶-۵: روند اعتبارات اسنادی در برابر سایر پرتفوی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7"/>
        <w:gridCol w:w="2567"/>
        <w:gridCol w:w="2172"/>
        <w:gridCol w:w="2614"/>
      </w:tblGrid>
      <w:tr>
        <w:trPr>
          <w:cantSplit/>
          <w:tblHeader/>
        </w:trPr>
        <w:tc>
          <w:tcPr>
            <w:tcW w:type="dxa" w:w="19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اعتبارات اسنادی</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آن</w:t>
            </w:r>
          </w:p>
        </w:tc>
        <w:tc>
          <w:tcPr>
            <w:tcW w:type="dxa" w:w="2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سایر پرتفوی</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۵۴.۰</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دو تحول هم‌زمان در این جدول دیده می‌شود.</w:t>
      </w:r>
    </w:p>
    <w:p>
      <w:pPr>
        <w:bidi/>
        <w:spacing w:after="160" w:line="312"/>
        <w:jc w:val="left"/>
      </w:pPr>
      <w:r>
        <w:rPr>
          <w:rFonts w:ascii="Tahoma" w:cs="Tahoma" w:eastAsia="Tahoma" w:hAnsi="Tahoma"/>
          <w:sz w:val="21"/>
          <w:szCs w:val="21"/>
          <w:rtl/>
        </w:rPr>
        <w:t xml:space="preserve">نخست، </w:t>
      </w:r>
      <w:r>
        <w:rPr>
          <w:rFonts w:ascii="Tahoma" w:cs="Tahoma" w:eastAsia="Tahoma" w:hAnsi="Tahoma"/>
          <w:b/>
          <w:bCs/>
          <w:sz w:val="21"/>
          <w:szCs w:val="21"/>
          <w:rtl/>
        </w:rPr>
        <w:t xml:space="preserve">رشد سریع مانده</w:t>
      </w:r>
      <w:r>
        <w:rPr>
          <w:rFonts w:ascii="Tahoma" w:cs="Tahoma" w:eastAsia="Tahoma" w:hAnsi="Tahoma"/>
          <w:sz w:val="21"/>
          <w:szCs w:val="21"/>
          <w:rtl/>
        </w:rPr>
        <w:t xml:space="preserve">: از ۰.۴ به ۵.۴ هزار میلیارد تومان، یعنی </w:t>
      </w:r>
      <w:r>
        <w:rPr>
          <w:rFonts w:ascii="Tahoma" w:cs="Tahoma" w:eastAsia="Tahoma" w:hAnsi="Tahoma"/>
          <w:b/>
          <w:bCs/>
          <w:sz w:val="21"/>
          <w:szCs w:val="21"/>
          <w:rtl/>
        </w:rPr>
        <w:t xml:space="preserve">۱۲.۵ برابر</w:t>
      </w:r>
      <w:r>
        <w:rPr>
          <w:rFonts w:ascii="Tahoma" w:cs="Tahoma" w:eastAsia="Tahoma" w:hAnsi="Tahoma"/>
          <w:sz w:val="21"/>
          <w:szCs w:val="21"/>
          <w:rtl/>
        </w:rPr>
        <w:t xml:space="preserve"> — در حالی که کل پرتفوی ۶.۱ برابر شده است. بانک در این بخش با سرعتی دو برابر متوسط پرتفوی گسترش یافته است.</w:t>
      </w:r>
    </w:p>
    <w:p>
      <w:pPr>
        <w:bidi/>
        <w:spacing w:after="160" w:line="312"/>
        <w:jc w:val="left"/>
      </w:pPr>
      <w:r>
        <w:rPr>
          <w:rFonts w:ascii="Tahoma" w:cs="Tahoma" w:eastAsia="Tahoma" w:hAnsi="Tahoma"/>
          <w:sz w:val="21"/>
          <w:szCs w:val="21"/>
          <w:rtl/>
        </w:rPr>
        <w:t xml:space="preserve">دوم، </w:t>
      </w:r>
      <w:r>
        <w:rPr>
          <w:rFonts w:ascii="Tahoma" w:cs="Tahoma" w:eastAsia="Tahoma" w:hAnsi="Tahoma"/>
          <w:b/>
          <w:bCs/>
          <w:sz w:val="21"/>
          <w:szCs w:val="21"/>
          <w:rtl/>
        </w:rPr>
        <w:t xml:space="preserve">وخامت شدید کیفیت</w:t>
      </w:r>
      <w:r>
        <w:rPr>
          <w:rFonts w:ascii="Tahoma" w:cs="Tahoma" w:eastAsia="Tahoma" w:hAnsi="Tahoma"/>
          <w:sz w:val="21"/>
          <w:szCs w:val="21"/>
          <w:rtl/>
        </w:rPr>
        <w:t xml:space="preserve">: نسبت غیرجاری از ۱۶.۸ به ۸۴.۰ درصد. نکته‌ی قابل تأمل آن است که این نسبت حتی در ابتدای دوره نیز (۱۶.۸ درصد) بیش از سه برابر سایر پرتفوی بوده است. یعنی </w:t>
      </w:r>
      <w:r>
        <w:rPr>
          <w:rFonts w:ascii="Tahoma" w:cs="Tahoma" w:eastAsia="Tahoma" w:hAnsi="Tahoma"/>
          <w:b/>
          <w:bCs/>
          <w:sz w:val="21"/>
          <w:szCs w:val="21"/>
          <w:rtl/>
        </w:rPr>
        <w:t xml:space="preserve">این بخش از همان آغاز پرریسک بوده و با وجود آن، دوازده برابر رشد داده شده است.</w:t>
      </w:r>
    </w:p>
    <w:p>
      <w:pPr>
        <w:bidi/>
        <w:spacing w:after="160" w:line="312"/>
        <w:jc w:val="left"/>
      </w:pPr>
      <w:r>
        <w:rPr>
          <w:rFonts w:ascii="Tahoma" w:cs="Tahoma" w:eastAsia="Tahoma" w:hAnsi="Tahoma"/>
          <w:sz w:val="21"/>
          <w:szCs w:val="21"/>
          <w:rtl/>
        </w:rPr>
        <w:t xml:space="preserve">افت موقت نسبت در اسفند ۱۴۰۲ به ۱۸.۰ درصد، نتیجه‌ی رشد سریع مخرج در آن سال است (مانده از ۶.۴ به ۲.۲ هزار میلیارد تومان) و نه بهبود کیفیت؛ مانده‌ی غیرجاری در همان بازه از ۲.۳ به ۰.۴ هزار میلیارد تومان افزایش یافته است.</w:t>
      </w:r>
    </w:p>
    <w:p>
      <w:pPr>
        <w:pStyle w:val="Heading3"/>
        <w:keepNext/>
        <w:bidi/>
        <w:spacing w:after="160" w:before="300"/>
        <w:jc w:val="left"/>
      </w:pPr>
      <w:r>
        <w:rPr>
          <w:rFonts w:ascii="Tahoma" w:cs="Tahoma" w:eastAsia="Tahoma" w:hAnsi="Tahoma"/>
          <w:b/>
          <w:bCs/>
          <w:color w:val="1F4E79"/>
          <w:sz w:val="24"/>
          <w:szCs w:val="24"/>
          <w:rtl/>
        </w:rPr>
        <w:t xml:space="preserve">۶.۳.۳ تصحیح یک برداشت رایج</w:t>
      </w:r>
    </w:p>
    <w:p>
      <w:pPr>
        <w:bidi/>
        <w:spacing w:after="160" w:line="312"/>
        <w:jc w:val="left"/>
      </w:pPr>
      <w:r>
        <w:rPr>
          <w:rFonts w:ascii="Tahoma" w:cs="Tahoma" w:eastAsia="Tahoma" w:hAnsi="Tahoma"/>
          <w:sz w:val="21"/>
          <w:szCs w:val="21"/>
          <w:rtl/>
        </w:rPr>
        <w:t xml:space="preserve">در اسناد کاری پیشین این پروژه، بر مبنای مقایسه‌ی دو ستون آخر جدول ۶-۵، این نتیجه ثبت شده بود که «تقریباً تمام وخامت کیفیت پرتفوی بانک از یک محصول ناشی می‌شود». بازبینی نشان می‌دهد این گزاره در شکل مطلق خود قابل دفاع نیست و نیازمند تدقیق است.</w:t>
      </w:r>
    </w:p>
    <w:p>
      <w:pPr>
        <w:keepNext/>
        <w:bidi/>
        <w:spacing w:after="100" w:before="200"/>
        <w:jc w:val="left"/>
      </w:pPr>
      <w:r>
        <w:rPr>
          <w:rFonts w:ascii="Tahoma" w:cs="Tahoma" w:eastAsia="Tahoma" w:hAnsi="Tahoma"/>
          <w:b/>
          <w:bCs/>
          <w:sz w:val="21"/>
          <w:szCs w:val="21"/>
          <w:rtl/>
        </w:rPr>
        <w:t xml:space="preserve">جدول ۶-۶: سهم هر بخش از افزایش مطالبات غیرجاری (فروردین ۱۴۰۰ تا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۴۵.۴</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۶۶.۹</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۵۷.۰</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۱۰.۶</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۱۰۱.۷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به بیان مطلق، </w:t>
      </w:r>
      <w:r>
        <w:rPr>
          <w:rFonts w:ascii="Tahoma" w:cs="Tahoma" w:eastAsia="Tahoma" w:hAnsi="Tahoma"/>
          <w:b/>
          <w:bCs/>
          <w:sz w:val="21"/>
          <w:szCs w:val="21"/>
          <w:rtl/>
        </w:rPr>
        <w:t xml:space="preserve">بیش از نیمی از افزایش مطالبات غیرجاری بانک از خارج اعتبارات اسنادی آمده است.</w:t>
      </w:r>
      <w:r>
        <w:rPr>
          <w:rFonts w:ascii="Tahoma" w:cs="Tahoma" w:eastAsia="Tahoma" w:hAnsi="Tahoma"/>
          <w:sz w:val="21"/>
          <w:szCs w:val="21"/>
          <w:rtl/>
        </w:rPr>
        <w:t xml:space="preserve"> علت آن‌که این واقعیت در ستون نسبت‌ها پنهان می‌ماند، رشد هم‌زمان مخرج سایر پرتفوی است: نسبت غیرجاری آن از ۴.۸ به ۵.۴ درصد تغییری اندک داشته، اما مانده‌ی غیرجاری‌اش ۵.۸ برابر شده است.</w:t>
      </w:r>
    </w:p>
    <w:p>
      <w:pPr>
        <w:bidi/>
        <w:spacing w:after="160" w:line="312"/>
        <w:jc w:val="left"/>
      </w:pPr>
      <w:r>
        <w:rPr>
          <w:rFonts w:ascii="Tahoma" w:cs="Tahoma" w:eastAsia="Tahoma" w:hAnsi="Tahoma"/>
          <w:sz w:val="21"/>
          <w:szCs w:val="21"/>
          <w:rtl/>
        </w:rPr>
        <w:t xml:space="preserve">افزون بر این، نسبت غیرجاری سایر پرتفوی در سال ۱۴۰۴ از ۲.۶ به ۵.۴ درصد رسیده — یعنی در یک سال </w:t>
      </w:r>
      <w:r>
        <w:rPr>
          <w:rFonts w:ascii="Tahoma" w:cs="Tahoma" w:eastAsia="Tahoma" w:hAnsi="Tahoma"/>
          <w:b/>
          <w:bCs/>
          <w:sz w:val="21"/>
          <w:szCs w:val="21"/>
          <w:rtl/>
        </w:rPr>
        <w:t xml:space="preserve">دو برابر</w:t>
      </w:r>
      <w:r>
        <w:rPr>
          <w:rFonts w:ascii="Tahoma" w:cs="Tahoma" w:eastAsia="Tahoma" w:hAnsi="Tahoma"/>
          <w:sz w:val="21"/>
          <w:szCs w:val="21"/>
          <w:rtl/>
        </w:rPr>
        <w:t xml:space="preserve"> شده است. این خود یک سیگنال مستقل و نگران‌کننده است که نباید زیر سایه‌ی اعتبارات اسنادی پنهان بماند.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صورت‌بندی دقیق یافته:</w:t>
      </w:r>
      <w:r>
        <w:rPr>
          <w:rFonts w:ascii="Tahoma" w:cs="Tahoma" w:eastAsia="Tahoma" w:hAnsi="Tahoma"/>
          <w:i/>
          <w:iCs/>
          <w:sz w:val="20"/>
          <w:szCs w:val="20"/>
          <w:rtl/>
        </w:rPr>
        <w:t xml:space="preserve"> اعتبارات اسنادی </w:t>
      </w:r>
      <w:r>
        <w:rPr>
          <w:rFonts w:ascii="Tahoma" w:cs="Tahoma" w:eastAsia="Tahoma" w:hAnsi="Tahoma"/>
          <w:b/>
          <w:bCs/>
          <w:i/>
          <w:iCs/>
          <w:sz w:val="20"/>
          <w:szCs w:val="20"/>
          <w:rtl/>
        </w:rPr>
        <w:t xml:space="preserve">حادترین</w:t>
      </w:r>
      <w:r>
        <w:rPr>
          <w:rFonts w:ascii="Tahoma" w:cs="Tahoma" w:eastAsia="Tahoma" w:hAnsi="Tahoma"/>
          <w:i/>
          <w:iCs/>
          <w:sz w:val="20"/>
          <w:szCs w:val="20"/>
          <w:rtl/>
        </w:rPr>
        <w:t xml:space="preserve"> کانون ریسک بانک است — از نظر نسبت، سرعت وخامت، و پوشش وثیقه. اما </w:t>
      </w:r>
      <w:r>
        <w:rPr>
          <w:rFonts w:ascii="Tahoma" w:cs="Tahoma" w:eastAsia="Tahoma" w:hAnsi="Tahoma"/>
          <w:b/>
          <w:bCs/>
          <w:i/>
          <w:iCs/>
          <w:sz w:val="20"/>
          <w:szCs w:val="20"/>
          <w:rtl/>
        </w:rPr>
        <w:t xml:space="preserve">بزرگ‌ترین</w:t>
      </w:r>
      <w:r>
        <w:rPr>
          <w:rFonts w:ascii="Tahoma" w:cs="Tahoma" w:eastAsia="Tahoma" w:hAnsi="Tahoma"/>
          <w:i/>
          <w:iCs/>
          <w:sz w:val="20"/>
          <w:szCs w:val="20"/>
          <w:rtl/>
        </w:rPr>
        <w:t xml:space="preserve"> منبع افزایش مطالبات غیرجاری به‌صورت مطلق، مابقی پرتفوی است. این دو گزاره هر دو درست‌اند و برنامه‌ی اصلاحی بانک باید به هر دو بپردازد.</w:t>
      </w:r>
    </w:p>
    <w:p>
      <w:pPr>
        <w:pStyle w:val="Heading3"/>
        <w:keepNext/>
        <w:bidi/>
        <w:spacing w:after="160" w:before="300"/>
        <w:jc w:val="left"/>
      </w:pPr>
      <w:r>
        <w:rPr>
          <w:rFonts w:ascii="Tahoma" w:cs="Tahoma" w:eastAsia="Tahoma" w:hAnsi="Tahoma"/>
          <w:b/>
          <w:bCs/>
          <w:color w:val="1F4E79"/>
          <w:sz w:val="24"/>
          <w:szCs w:val="24"/>
          <w:rtl/>
        </w:rPr>
        <w:t xml:space="preserve">۶.۳.۴ تمرکز مشتری در این بخش</w:t>
      </w:r>
    </w:p>
    <w:p>
      <w:pPr>
        <w:keepNext/>
        <w:spacing w:after="60" w:before="160"/>
        <w:jc w:val="center"/>
      </w:pPr>
      <w:r>
        <w:drawing>
          <wp:inline distT="0" distB="0" distL="0" distR="0">
            <wp:extent cx="5715000" cy="2857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57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۶-۳: تمرکز مشتری در بخش اعتبارات اسنادی — ده مشتری برتر</w:t>
      </w:r>
    </w:p>
    <w:p>
      <w:pPr>
        <w:keepNext/>
        <w:bidi/>
        <w:spacing w:after="100" w:before="200"/>
        <w:jc w:val="left"/>
      </w:pPr>
      <w:r>
        <w:rPr>
          <w:rFonts w:ascii="Tahoma" w:cs="Tahoma" w:eastAsia="Tahoma" w:hAnsi="Tahoma"/>
          <w:b/>
          <w:bCs/>
          <w:sz w:val="21"/>
          <w:szCs w:val="21"/>
          <w:rtl/>
        </w:rPr>
        <w:t xml:space="preserve">جدول ۶-۷: تمرکز مشتری در اعتبارات اسنادی (بخش قابل‌انتساب)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منحصربه‌فرد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۳۳</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 هزار میلیارد تومان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در بخش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۹۴.۵۱٪</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ده مشتری برتر از بخش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۷۸.۴۲٪</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مشتری منفرد</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 هزار میلیارد تومان با نسبت غیرجاری ۹۱.۰٪</w:t>
            </w:r>
          </w:p>
        </w:tc>
      </w:tr>
    </w:tbl>
    <w:p>
      <w:pPr>
        <w:spacing w:after="200"/>
      </w:pPr>
    </w:p>
    <w:p>
      <w:pPr>
        <w:bidi/>
        <w:spacing w:after="160" w:line="312"/>
        <w:jc w:val="left"/>
      </w:pPr>
      <w:r>
        <w:rPr>
          <w:rFonts w:ascii="Tahoma" w:cs="Tahoma" w:eastAsia="Tahoma" w:hAnsi="Tahoma"/>
          <w:b/>
          <w:bCs/>
          <w:sz w:val="21"/>
          <w:szCs w:val="21"/>
          <w:rtl/>
        </w:rPr>
        <w:t xml:space="preserve">تذکر روش‌شناختی حائز اهمیت.</w:t>
      </w:r>
      <w:r>
        <w:rPr>
          <w:rFonts w:ascii="Tahoma" w:cs="Tahoma" w:eastAsia="Tahoma" w:hAnsi="Tahoma"/>
          <w:sz w:val="21"/>
          <w:szCs w:val="21"/>
          <w:rtl/>
        </w:rPr>
        <w:t xml:space="preserve"> دامنه‌ی این تحلیل به‌شدت محدود است و ارقام آن نباید به کل بخش تعمیم داده شود: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155"/>
        <w:gridCol w:w="3195"/>
      </w:tblGrid>
      <w:tr>
        <w:trPr>
          <w:cantSplit/>
          <w:tblHeader/>
        </w:trPr>
        <w:tc>
          <w:tcPr>
            <w:tcW w:type="dxa" w:w="6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سنجه‌ی پوشش</w:t>
            </w:r>
          </w:p>
        </w:tc>
        <w:tc>
          <w:tcPr>
            <w:tcW w:type="dxa" w:w="31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6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 ارزشی (۶.۹ از ۵۴.۰)</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۱۲.۸۶٪</w:t>
            </w:r>
          </w:p>
        </w:tc>
      </w:tr>
      <w:tr>
        <w:trPr>
          <w:cantSplit/>
        </w:trPr>
        <w:tc>
          <w:tcPr>
            <w:tcW w:type="dxa" w:w="6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 تعدادی (۲۱۱ از ۲۰,۷۳۳ قرارداد)</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۱.۰۲٪</w:t>
            </w:r>
          </w:p>
        </w:tc>
      </w:tr>
    </w:tbl>
    <w:p>
      <w:pPr>
        <w:spacing w:after="200"/>
      </w:pPr>
    </w:p>
    <w:p>
      <w:pPr>
        <w:bidi/>
        <w:spacing w:after="160" w:line="312"/>
        <w:jc w:val="left"/>
      </w:pPr>
      <w:r>
        <w:rPr>
          <w:rFonts w:ascii="Tahoma" w:cs="Tahoma" w:eastAsia="Tahoma" w:hAnsi="Tahoma"/>
          <w:sz w:val="21"/>
          <w:szCs w:val="21"/>
          <w:rtl/>
        </w:rPr>
        <w:t xml:space="preserve">یعنی </w:t>
      </w:r>
      <w:r>
        <w:rPr>
          <w:rFonts w:ascii="Tahoma" w:cs="Tahoma" w:eastAsia="Tahoma" w:hAnsi="Tahoma"/>
          <w:b/>
          <w:bCs/>
          <w:sz w:val="21"/>
          <w:szCs w:val="21"/>
          <w:rtl/>
        </w:rPr>
        <w:t xml:space="preserve">بیش از ۸۷ درصد مانده‌ی اعتبارات اسنادی به هیچ مشتری مشخصی قابل انتساب نیست.</w:t>
      </w:r>
      <w:r>
        <w:rPr>
          <w:rFonts w:ascii="Tahoma" w:cs="Tahoma" w:eastAsia="Tahoma" w:hAnsi="Tahoma"/>
          <w:sz w:val="21"/>
          <w:szCs w:val="21"/>
          <w:rtl/>
        </w:rPr>
        <w:t xml:space="preserve"> عبارت «ده مشتری برتر ۷۸.۴۲ درصد این بخش را در اختیار دارند» صرفاً درباره‌ی همان ۱۲.۸۶ درصد قابل‌انتساب صادق است.</w:t>
      </w:r>
    </w:p>
    <w:p>
      <w:pPr>
        <w:pStyle w:val="Heading3"/>
        <w:keepNext/>
        <w:bidi/>
        <w:spacing w:after="160" w:before="300"/>
        <w:jc w:val="left"/>
      </w:pPr>
      <w:r>
        <w:rPr>
          <w:rFonts w:ascii="Tahoma" w:cs="Tahoma" w:eastAsia="Tahoma" w:hAnsi="Tahoma"/>
          <w:b/>
          <w:bCs/>
          <w:color w:val="1F4E79"/>
          <w:sz w:val="24"/>
          <w:szCs w:val="24"/>
          <w:rtl/>
        </w:rPr>
        <w:t xml:space="preserve">۶.۳.۵ ارزیابی و توصیه</w:t>
      </w:r>
    </w:p>
    <w:p>
      <w:pPr>
        <w:bidi/>
        <w:spacing w:after="160" w:line="312"/>
        <w:jc w:val="left"/>
      </w:pPr>
      <w:r>
        <w:rPr>
          <w:rFonts w:ascii="Tahoma" w:cs="Tahoma" w:eastAsia="Tahoma" w:hAnsi="Tahoma"/>
          <w:sz w:val="21"/>
          <w:szCs w:val="21"/>
          <w:rtl/>
        </w:rPr>
        <w:t xml:space="preserve">بخش اعتبارات اسنادی وضعیتی را نشان می‌دهد که در آن </w:t>
      </w:r>
      <w:r>
        <w:rPr>
          <w:rFonts w:ascii="Tahoma" w:cs="Tahoma" w:eastAsia="Tahoma" w:hAnsi="Tahoma"/>
          <w:b/>
          <w:bCs/>
          <w:sz w:val="21"/>
          <w:szCs w:val="21"/>
          <w:rtl/>
        </w:rPr>
        <w:t xml:space="preserve">بدترین کیفیت دارایی با کمترین شفافیت اطلاعاتی و پایین‌ترین پوشش وثیقه هم‌زمان شده است</w:t>
      </w:r>
      <w:r>
        <w:rPr>
          <w:rFonts w:ascii="Tahoma" w:cs="Tahoma" w:eastAsia="Tahoma" w:hAnsi="Tahoma"/>
          <w:sz w:val="21"/>
          <w:szCs w:val="21"/>
          <w:rtl/>
        </w:rPr>
        <w:t xml:space="preserve">:</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۸۴.۰۱ درصد مانده غیرجاری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۸۷ درصد مانده به مشتری مشخصی قابل انتساب نیست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پوشش وثیقه (بر مبنای نمونه‌ی یک‌درصدی) ۷۹.۳۰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مانده در پنج سال ۱۲.۵ برابر شده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توصیه:</w:t>
      </w:r>
      <w:r>
        <w:rPr>
          <w:rFonts w:ascii="Tahoma" w:cs="Tahoma" w:eastAsia="Tahoma" w:hAnsi="Tahoma"/>
          <w:i/>
          <w:iCs/>
          <w:sz w:val="20"/>
          <w:szCs w:val="20"/>
          <w:rtl/>
        </w:rPr>
        <w:t xml:space="preserve"> پیش از هر اقدام تحلیلی دیگر، بانک باید فهرست کامل قراردادهای اعتبارات اسنادی به‌همراه مشتری، وثیقه و وضعیت طبقه‌بندی هر یک را در اختیار قرار دهد. در وضعیت فعلی، </w:t>
      </w:r>
      <w:r>
        <w:rPr>
          <w:rFonts w:ascii="Tahoma" w:cs="Tahoma" w:eastAsia="Tahoma" w:hAnsi="Tahoma"/>
          <w:b/>
          <w:bCs/>
          <w:i/>
          <w:iCs/>
          <w:sz w:val="20"/>
          <w:szCs w:val="20"/>
          <w:rtl/>
        </w:rPr>
        <w:t xml:space="preserve">بانک عملاً نمی‌داند ۴۰ درصد مطالبات غیرجاری‌اش در دست چه کسانی است.</w:t>
      </w:r>
      <w:r>
        <w:rPr>
          <w:rFonts w:ascii="Tahoma" w:cs="Tahoma" w:eastAsia="Tahoma" w:hAnsi="Tahoma"/>
          <w:i/>
          <w:iCs/>
          <w:sz w:val="20"/>
          <w:szCs w:val="20"/>
          <w:rtl/>
        </w:rPr>
        <w:t xml:space="preserve"> این مهم‌ترین درخواست اطلاعاتی این گزارش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تفاوت تعریفی با آمار رسمی بانک:</w:t>
      </w:r>
      <w:r>
        <w:rPr>
          <w:rFonts w:ascii="Tahoma" w:cs="Tahoma" w:eastAsia="Tahoma" w:hAnsi="Tahoma"/>
          <w:sz w:val="21"/>
          <w:szCs w:val="21"/>
          <w:rtl/>
        </w:rPr>
        <w:t xml:space="preserve"> بررسی‌های آماری نشان داد که دیتابیس موجود شامل </w:t>
      </w:r>
      <w:r>
        <w:rPr>
          <w:rFonts w:ascii="Tahoma" w:cs="Tahoma" w:eastAsia="Tahoma" w:hAnsi="Tahoma"/>
          <w:b/>
          <w:bCs/>
          <w:sz w:val="21"/>
          <w:szCs w:val="21"/>
          <w:rtl/>
        </w:rPr>
        <w:t xml:space="preserve">۲۰,۷۳۳ قرارداد</w:t>
      </w:r>
      <w:r>
        <w:rPr>
          <w:rFonts w:ascii="Tahoma" w:cs="Tahoma" w:eastAsia="Tahoma" w:hAnsi="Tahoma"/>
          <w:sz w:val="21"/>
          <w:szCs w:val="21"/>
          <w:rtl/>
        </w:rPr>
        <w:t xml:space="preserve"> با برچسب بخشی «اعتبار اسنادی» است. اما با مراجعه به آمار رسمی بانک در فایل‌های ماهانه (</w:t>
      </w:r>
      <w:r>
        <w:rPr>
          <w:rFonts w:ascii="Consolas" w:cs="Consolas" w:eastAsia="Consolas" w:hAnsi="Consolas"/>
          <w:b w:val="false"/>
          <w:bCs w:val="false"/>
          <w:sz w:val="18"/>
          <w:szCs w:val="18"/>
          <w:rtl w:val="false"/>
        </w:rPr>
        <w:t xml:space="preserve">bank_official_monthly_by_branch.csv</w:t>
      </w:r>
      <w:r>
        <w:rPr>
          <w:rFonts w:ascii="Tahoma" w:cs="Tahoma" w:eastAsia="Tahoma" w:hAnsi="Tahoma"/>
          <w:sz w:val="21"/>
          <w:szCs w:val="21"/>
          <w:rtl/>
        </w:rPr>
        <w:t xml:space="preserve">) در پایان سال ۱۴۰۴، تعداد رسمی اعتبارات اسنادی تنها </w:t>
      </w:r>
      <w:r>
        <w:rPr>
          <w:rFonts w:ascii="Tahoma" w:cs="Tahoma" w:eastAsia="Tahoma" w:hAnsi="Tahoma"/>
          <w:b/>
          <w:bCs/>
          <w:sz w:val="21"/>
          <w:szCs w:val="21"/>
          <w:rtl/>
        </w:rPr>
        <w:t xml:space="preserve">۸۵۳ فقره</w:t>
      </w:r>
      <w:r>
        <w:rPr>
          <w:rFonts w:ascii="Tahoma" w:cs="Tahoma" w:eastAsia="Tahoma" w:hAnsi="Tahoma"/>
          <w:sz w:val="21"/>
          <w:szCs w:val="21"/>
          <w:rtl/>
        </w:rPr>
        <w:t xml:space="preserve"> با مجموع مبلغ </w:t>
      </w:r>
      <w:r>
        <w:rPr>
          <w:rFonts w:ascii="Tahoma" w:cs="Tahoma" w:eastAsia="Tahoma" w:hAnsi="Tahoma"/>
          <w:b/>
          <w:bCs/>
          <w:sz w:val="21"/>
          <w:szCs w:val="21"/>
          <w:rtl/>
        </w:rPr>
        <w:t xml:space="preserve">۱۳.۱ هزار میلیارد تومان</w:t>
      </w:r>
      <w:r>
        <w:rPr>
          <w:rFonts w:ascii="Tahoma" w:cs="Tahoma" w:eastAsia="Tahoma" w:hAnsi="Tahoma"/>
          <w:sz w:val="21"/>
          <w:szCs w:val="21"/>
          <w:rtl/>
        </w:rPr>
        <w:t xml:space="preserve"> و مشکوک‌الوصول </w:t>
      </w:r>
      <w:r>
        <w:rPr>
          <w:rFonts w:ascii="Tahoma" w:cs="Tahoma" w:eastAsia="Tahoma" w:hAnsi="Tahoma"/>
          <w:b/>
          <w:bCs/>
          <w:sz w:val="21"/>
          <w:szCs w:val="21"/>
          <w:rtl/>
        </w:rPr>
        <w:t xml:space="preserve">۱.۲ هزار میلیارد تومان</w:t>
      </w:r>
      <w:r>
        <w:rPr>
          <w:rFonts w:ascii="Tahoma" w:cs="Tahoma" w:eastAsia="Tahoma" w:hAnsi="Tahoma"/>
          <w:sz w:val="21"/>
          <w:szCs w:val="21"/>
          <w:rtl/>
        </w:rPr>
        <w:t xml:space="preserve"> گزارش شده است.</w:t>
      </w:r>
    </w:p>
    <w:p>
      <w:pPr>
        <w:bidi/>
        <w:spacing w:after="160" w:line="312"/>
        <w:jc w:val="left"/>
      </w:pPr>
      <w:r>
        <w:rPr>
          <w:rFonts w:ascii="Tahoma" w:cs="Tahoma" w:eastAsia="Tahoma" w:hAnsi="Tahoma"/>
          <w:sz w:val="21"/>
          <w:szCs w:val="21"/>
          <w:rtl/>
        </w:rPr>
        <w:t xml:space="preserve">این اختلاف بزرگ نشان می‌دهد که بانک در گزارش‌های کلان خود احتمالاً تنها اعتبارات اسنادی «فعال/باز» را در هر مقطع می‌شمارد، درحالی‌که پایگاه‌داده‌ی ما تمامی قراردادهایی را که این برچسب را یدک می‌کشند در بر می‌گیرد. این یک یافته‌ی جدید برای فصل ۹ محسوب می‌شود.</w:t>
      </w:r>
    </w:p>
    <w:p>
      <w:pPr>
        <w:pStyle w:val="Heading2"/>
        <w:keepNext/>
        <w:bidi/>
        <w:spacing w:after="160" w:before="300"/>
        <w:jc w:val="left"/>
      </w:pPr>
      <w:bookmarkStart w:name="_Toc55" w:id="55"/>
      <w:r>
        <w:rPr>
          <w:rFonts w:ascii="Tahoma" w:cs="Tahoma" w:eastAsia="Tahoma" w:hAnsi="Tahoma"/>
          <w:b/>
          <w:bCs/>
          <w:color w:val="1F4E79"/>
          <w:sz w:val="28"/>
          <w:szCs w:val="28"/>
          <w:rtl/>
        </w:rPr>
        <w:t xml:space="preserve">۶.۴ کیفیت دارایی بر حسب اندازه</w:t>
      </w:r>
      <w:bookmarkEnd w:id="55"/>
    </w:p>
    <w:p>
      <w:pPr>
        <w:pStyle w:val="Heading3"/>
        <w:keepNext/>
        <w:bidi/>
        <w:spacing w:after="160" w:before="300"/>
        <w:jc w:val="left"/>
      </w:pPr>
      <w:r>
        <w:rPr>
          <w:rFonts w:ascii="Tahoma" w:cs="Tahoma" w:eastAsia="Tahoma" w:hAnsi="Tahoma"/>
          <w:b/>
          <w:bCs/>
          <w:color w:val="1F4E79"/>
          <w:sz w:val="24"/>
          <w:szCs w:val="24"/>
          <w:rtl/>
        </w:rPr>
        <w:t xml:space="preserve">۶.۴.۱ به تفکیک اندازه‌ی وام</w:t>
      </w:r>
    </w:p>
    <w:p>
      <w:pPr>
        <w:keepNext/>
        <w:spacing w:after="60" w:before="160"/>
        <w:jc w:val="center"/>
      </w:pPr>
      <w:r>
        <w:drawing>
          <wp:inline distT="0" distB="0" distL="0" distR="0">
            <wp:extent cx="5715000" cy="3429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۶-۴: نسبت مطالبات غیرجاری به تفکیک اندازه‌ی وام</w:t>
      </w:r>
    </w:p>
    <w:p>
      <w:pPr>
        <w:keepNext/>
        <w:bidi/>
        <w:spacing w:after="100" w:before="200"/>
        <w:jc w:val="left"/>
      </w:pPr>
      <w:r>
        <w:rPr>
          <w:rFonts w:ascii="Tahoma" w:cs="Tahoma" w:eastAsia="Tahoma" w:hAnsi="Tahoma"/>
          <w:b/>
          <w:bCs/>
          <w:sz w:val="21"/>
          <w:szCs w:val="21"/>
          <w:rtl/>
        </w:rPr>
        <w:t xml:space="preserve">جدول ۶-۸: مطالبات غیرجاری به تفکیک اندازه‌ی وام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8"/>
        <w:gridCol w:w="1674"/>
        <w:gridCol w:w="2194"/>
        <w:gridCol w:w="1767"/>
        <w:gridCol w:w="1627"/>
      </w:tblGrid>
      <w:tr>
        <w:trPr>
          <w:cantSplit/>
          <w:tblHeader/>
        </w:trPr>
        <w:tc>
          <w:tcPr>
            <w:tcW w:type="dxa" w:w="2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6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6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۷۶,۵۱۶</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۰.۶٪</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۲۷۳,۵۳۴</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۱۰۳,۹۱۱</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۵,۳۶۳</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۲,۲۹۵</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۳۵.۴</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۱۰.۴٪</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۴۶۱,۶۱۹</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۵۱.۹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رابطه‌ی میان اندازه و ریسک </w:t>
      </w:r>
      <w:r>
        <w:rPr>
          <w:rFonts w:ascii="Tahoma" w:cs="Tahoma" w:eastAsia="Tahoma" w:hAnsi="Tahoma"/>
          <w:b/>
          <w:bCs/>
          <w:sz w:val="21"/>
          <w:szCs w:val="21"/>
          <w:rtl/>
        </w:rPr>
        <w:t xml:space="preserve">یکنواخت و صعودی</w:t>
      </w:r>
      <w:r>
        <w:rPr>
          <w:rFonts w:ascii="Tahoma" w:cs="Tahoma" w:eastAsia="Tahoma" w:hAnsi="Tahoma"/>
          <w:sz w:val="21"/>
          <w:szCs w:val="21"/>
          <w:rtl/>
        </w:rPr>
        <w:t xml:space="preserve"> است، با یک استثنای جزئی در بازه‌ی سوم. نسبت غیرجاری از ۰.۶ درصد در کوچک‌ترین بازه به ۱۰.۴ درصد در بزرگ‌ترین بازه می‌رسد؛ اختلافی </w:t>
      </w:r>
      <w:r>
        <w:rPr>
          <w:rFonts w:ascii="Tahoma" w:cs="Tahoma" w:eastAsia="Tahoma" w:hAnsi="Tahoma"/>
          <w:b/>
          <w:bCs/>
          <w:sz w:val="21"/>
          <w:szCs w:val="21"/>
          <w:rtl/>
        </w:rPr>
        <w:t xml:space="preserve">هفده برابری</w:t>
      </w:r>
      <w:r>
        <w:rPr>
          <w:rFonts w:ascii="Tahoma" w:cs="Tahoma" w:eastAsia="Tahoma" w:hAnsi="Tahoma"/>
          <w:sz w:val="21"/>
          <w:szCs w:val="21"/>
          <w:rtl/>
        </w:rPr>
        <w:t xml:space="preserve">.</w:t>
      </w:r>
    </w:p>
    <w:p>
      <w:pPr>
        <w:bidi/>
        <w:spacing w:after="160" w:line="312"/>
        <w:jc w:val="left"/>
      </w:pPr>
      <w:r>
        <w:rPr>
          <w:rFonts w:ascii="Tahoma" w:cs="Tahoma" w:eastAsia="Tahoma" w:hAnsi="Tahoma"/>
          <w:sz w:val="21"/>
          <w:szCs w:val="21"/>
          <w:rtl/>
        </w:rPr>
        <w:t xml:space="preserve">اهمیت کمّی این یافته از خود نسبت‌ها بیشتر است. بزرگ‌ترین بازه با تنها </w:t>
      </w:r>
      <w:r>
        <w:rPr>
          <w:rFonts w:ascii="Tahoma" w:cs="Tahoma" w:eastAsia="Tahoma" w:hAnsi="Tahoma"/>
          <w:b/>
          <w:bCs/>
          <w:sz w:val="21"/>
          <w:szCs w:val="21"/>
          <w:rtl/>
        </w:rPr>
        <w:t xml:space="preserve">۲,۲۹۵ قرارداد</w:t>
      </w:r>
      <w:r>
        <w:rPr>
          <w:rFonts w:ascii="Tahoma" w:cs="Tahoma" w:eastAsia="Tahoma" w:hAnsi="Tahoma"/>
          <w:sz w:val="21"/>
          <w:szCs w:val="21"/>
          <w:rtl/>
        </w:rPr>
        <w:t xml:space="preserve"> — معادل نیم درصد قراردادهای این جدول — </w:t>
      </w:r>
      <w:r>
        <w:rPr>
          <w:rFonts w:ascii="Tahoma" w:cs="Tahoma" w:eastAsia="Tahoma" w:hAnsi="Tahoma"/>
          <w:b/>
          <w:bCs/>
          <w:sz w:val="21"/>
          <w:szCs w:val="21"/>
          <w:rtl/>
        </w:rPr>
        <w:t xml:space="preserve">۳.۵ هزار میلیارد تومان یعنی ۶۸.۳ درصد کل مطالبات غیرجاری بخش شناخته‌شده</w:t>
      </w:r>
      <w:r>
        <w:rPr>
          <w:rFonts w:ascii="Tahoma" w:cs="Tahoma" w:eastAsia="Tahoma" w:hAnsi="Tahoma"/>
          <w:sz w:val="21"/>
          <w:szCs w:val="21"/>
          <w:rtl/>
        </w:rPr>
        <w:t xml:space="preserve"> را تولید می‌کند.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نتیجه:</w:t>
      </w:r>
      <w:r>
        <w:rPr>
          <w:rFonts w:ascii="Tahoma" w:cs="Tahoma" w:eastAsia="Tahoma" w:hAnsi="Tahoma"/>
          <w:i/>
          <w:iCs/>
          <w:sz w:val="20"/>
          <w:szCs w:val="20"/>
          <w:rtl/>
        </w:rPr>
        <w:t xml:space="preserve"> ریسک اعتباری بانک در بخش شناخته‌شده، پدیده‌ای مربوط به تسهیلات خرد نیست. دو هزار قرارداد بزرگ، دوسوم مطالبات غیرجاری این بخش را می‌سازند. این یافته مستقیماً به تحلیل تمرکز تک‌نامی بخش ۶.۹ راه می‌برد.</w:t>
      </w:r>
    </w:p>
    <w:p>
      <w:pPr>
        <w:bidi/>
        <w:spacing w:after="160" w:line="312"/>
        <w:jc w:val="left"/>
      </w:pPr>
      <w:r>
        <w:rPr>
          <w:rFonts w:ascii="Tahoma" w:cs="Tahoma" w:eastAsia="Tahoma" w:hAnsi="Tahoma"/>
          <w:sz w:val="21"/>
          <w:szCs w:val="21"/>
          <w:rtl/>
        </w:rPr>
        <w:t xml:space="preserve">در نقطه‌ی مقابل، تسهیلات خرد کمتر از پنجاه میلیون تومان با نسبت ۰.۶ درصد، </w:t>
      </w:r>
      <w:r>
        <w:rPr>
          <w:rFonts w:ascii="Tahoma" w:cs="Tahoma" w:eastAsia="Tahoma" w:hAnsi="Tahoma"/>
          <w:b/>
          <w:bCs/>
          <w:sz w:val="21"/>
          <w:szCs w:val="21"/>
          <w:rtl/>
        </w:rPr>
        <w:t xml:space="preserve">بهترین کیفیت دارایی کل پرتفوی</w:t>
      </w:r>
      <w:r>
        <w:rPr>
          <w:rFonts w:ascii="Tahoma" w:cs="Tahoma" w:eastAsia="Tahoma" w:hAnsi="Tahoma"/>
          <w:sz w:val="21"/>
          <w:szCs w:val="21"/>
          <w:rtl/>
        </w:rPr>
        <w:t xml:space="preserve"> را دارند. این یافته از منظر مأموریت بانک توسعه تعاون شایان توجه است و نشان می‌دهد گسترش تسهیلات خرد، ریسک اعتباری قابل ملاحظه‌ای به بانک تحمیل نکرده است.</w:t>
      </w:r>
    </w:p>
    <w:p>
      <w:pPr>
        <w:pStyle w:val="Heading3"/>
        <w:keepNext/>
        <w:bidi/>
        <w:spacing w:after="160" w:before="300"/>
        <w:jc w:val="left"/>
      </w:pPr>
      <w:r>
        <w:rPr>
          <w:rFonts w:ascii="Tahoma" w:cs="Tahoma" w:eastAsia="Tahoma" w:hAnsi="Tahoma"/>
          <w:b/>
          <w:bCs/>
          <w:color w:val="1F4E79"/>
          <w:sz w:val="24"/>
          <w:szCs w:val="24"/>
          <w:rtl/>
        </w:rPr>
        <w:t xml:space="preserve">۶.۴.۲ به تفکیک اندازه‌ی شعبه</w:t>
      </w:r>
    </w:p>
    <w:p>
      <w:pPr>
        <w:keepNext/>
        <w:spacing w:after="60" w:before="160"/>
        <w:jc w:val="center"/>
      </w:pPr>
      <w:r>
        <w:drawing>
          <wp:inline distT="0" distB="0" distL="0" distR="0">
            <wp:extent cx="5715000" cy="31718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۶-۵: نسبت مطالبات غیرجاری به تفکیک چارک اندازه‌ی شعبه</w:t>
      </w:r>
    </w:p>
    <w:p>
      <w:pPr>
        <w:keepNext/>
        <w:bidi/>
        <w:spacing w:after="100" w:before="200"/>
        <w:jc w:val="left"/>
      </w:pPr>
      <w:r>
        <w:rPr>
          <w:rFonts w:ascii="Tahoma" w:cs="Tahoma" w:eastAsia="Tahoma" w:hAnsi="Tahoma"/>
          <w:b/>
          <w:bCs/>
          <w:sz w:val="21"/>
          <w:szCs w:val="21"/>
          <w:rtl/>
        </w:rPr>
        <w:t xml:space="preserve">جدول ۶-۹: مطالبات غیرجاری به تفکیک اندازه‌ی شعبه (مبنای الف-۱ — ۴۴۷ شعبه)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963"/>
        <w:gridCol w:w="2835"/>
        <w:gridCol w:w="2102"/>
      </w:tblGrid>
      <w:tr>
        <w:trPr>
          <w:cantSplit/>
          <w:tblHeader/>
        </w:trPr>
        <w:tc>
          <w:tcPr>
            <w:tcW w:type="dxa" w:w="2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چارک اندازه‌ی شعبه</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شعبه</w:t>
            </w:r>
          </w:p>
        </w:tc>
        <w:tc>
          <w:tcPr>
            <w:tcW w:type="dxa" w:w="28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21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کوچک‌ترین چارک</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دوم</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سوم</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۱۸.۲</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چارک</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۶۳.۸</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۵.۸٪</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الگوی صعودی مشابهی دیده می‌شود، اما با شیبی به‌مراتب ملایم‌تر: از ۲.۹ به ۵.۸ درصد، یعنی حدود دو برابر — در برابر اختلاف هفده‌برابری اندازه‌ی وام.</w:t>
      </w:r>
    </w:p>
    <w:p>
      <w:pPr>
        <w:bidi/>
        <w:spacing w:after="160" w:line="312"/>
        <w:jc w:val="left"/>
      </w:pPr>
      <w:r>
        <w:rPr>
          <w:rFonts w:ascii="Tahoma" w:cs="Tahoma" w:eastAsia="Tahoma" w:hAnsi="Tahoma"/>
          <w:b/>
          <w:bCs/>
          <w:sz w:val="21"/>
          <w:szCs w:val="21"/>
          <w:rtl/>
        </w:rPr>
        <w:t xml:space="preserve">تفسیر محتاطانه.</w:t>
      </w:r>
      <w:r>
        <w:rPr>
          <w:rFonts w:ascii="Tahoma" w:cs="Tahoma" w:eastAsia="Tahoma" w:hAnsi="Tahoma"/>
          <w:sz w:val="21"/>
          <w:szCs w:val="21"/>
          <w:rtl/>
        </w:rPr>
        <w:t xml:space="preserve"> این تفاوت شیب حائز اهمیت است. با توجه به آن‌که شعب بزرگ‌تر طبیعتاً وام‌های بزرگ‌تر اعطا می‌کنند، بخش عمده‌ی الگوی جدول ۶-۹ می‌تواند صرفاً </w:t>
      </w:r>
      <w:r>
        <w:rPr>
          <w:rFonts w:ascii="Tahoma" w:cs="Tahoma" w:eastAsia="Tahoma" w:hAnsi="Tahoma"/>
          <w:b/>
          <w:bCs/>
          <w:sz w:val="21"/>
          <w:szCs w:val="21"/>
          <w:rtl/>
        </w:rPr>
        <w:t xml:space="preserve">بازتاب همان اثر اندازه‌ی وام</w:t>
      </w:r>
      <w:r>
        <w:rPr>
          <w:rFonts w:ascii="Tahoma" w:cs="Tahoma" w:eastAsia="Tahoma" w:hAnsi="Tahoma"/>
          <w:sz w:val="21"/>
          <w:szCs w:val="21"/>
          <w:rtl/>
        </w:rPr>
        <w:t xml:space="preserve"> باشد و نه شاخصی مستقل از کیفیت عملکرد شعب. تفکیک این دو اثر مستلزم تحلیل چندمتغیره است که در دامنه‌ی فاز ۱ قرار نداشت.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بنابراین جدول ۶-۹ </w:t>
      </w:r>
      <w:r>
        <w:rPr>
          <w:rFonts w:ascii="Tahoma" w:cs="Tahoma" w:eastAsia="Tahoma" w:hAnsi="Tahoma"/>
          <w:b/>
          <w:bCs/>
          <w:i/>
          <w:iCs/>
          <w:sz w:val="20"/>
          <w:szCs w:val="20"/>
          <w:rtl/>
        </w:rPr>
        <w:t xml:space="preserve">نباید</w:t>
      </w:r>
      <w:r>
        <w:rPr>
          <w:rFonts w:ascii="Tahoma" w:cs="Tahoma" w:eastAsia="Tahoma" w:hAnsi="Tahoma"/>
          <w:i/>
          <w:iCs/>
          <w:sz w:val="20"/>
          <w:szCs w:val="20"/>
          <w:rtl/>
        </w:rPr>
        <w:t xml:space="preserve"> به‌عنوان مبنای ارزیابی عملکرد شعب بزرگ به کار رود. تمرکز مانده در بزرگ‌ترین چارک (۶۳.۸ از ۹۹.۵ هزار میلیارد تومان، معادل ۶۴.۱ درصد) به‌تنهایی نشان می‌دهد که این چارک عملاً معرف کل پرتفوی است.</w:t>
      </w:r>
    </w:p>
    <w:p>
      <w:pPr>
        <w:pBdr>
          <w:bottom w:val="single" w:color="BBBBBB" w:sz="6"/>
        </w:pBdr>
        <w:spacing w:after="100" w:before="100"/>
      </w:pPr>
    </w:p>
    <w:p>
      <w:pPr>
        <w:pStyle w:val="Heading2"/>
        <w:keepNext/>
        <w:bidi/>
        <w:spacing w:after="160" w:before="300"/>
        <w:jc w:val="left"/>
      </w:pPr>
      <w:bookmarkStart w:name="_Toc56" w:id="56"/>
      <w:r>
        <w:rPr>
          <w:rFonts w:ascii="Tahoma" w:cs="Tahoma" w:eastAsia="Tahoma" w:hAnsi="Tahoma"/>
          <w:b/>
          <w:bCs/>
          <w:color w:val="1F4E79"/>
          <w:sz w:val="28"/>
          <w:szCs w:val="28"/>
          <w:rtl/>
        </w:rPr>
        <w:t xml:space="preserve">۶.۵ کیفیت دارایی بر حسب نسل اعطا</w:t>
      </w:r>
      <w:bookmarkEnd w:id="56"/>
    </w:p>
    <w:p>
      <w:pPr>
        <w:pStyle w:val="Heading3"/>
        <w:keepNext/>
        <w:bidi/>
        <w:spacing w:after="160" w:before="300"/>
        <w:jc w:val="left"/>
      </w:pPr>
      <w:r>
        <w:rPr>
          <w:rFonts w:ascii="Tahoma" w:cs="Tahoma" w:eastAsia="Tahoma" w:hAnsi="Tahoma"/>
          <w:b/>
          <w:bCs/>
          <w:color w:val="1F4E79"/>
          <w:sz w:val="24"/>
          <w:szCs w:val="24"/>
          <w:rtl/>
        </w:rPr>
        <w:t xml:space="preserve">۶.۵.۱ نتایج</w:t>
      </w:r>
    </w:p>
    <w:p>
      <w:pPr>
        <w:bidi/>
        <w:spacing w:after="160" w:line="312"/>
        <w:jc w:val="left"/>
      </w:pPr>
      <w:r>
        <w:rPr>
          <w:rFonts w:ascii="Tahoma" w:cs="Tahoma" w:eastAsia="Tahoma" w:hAnsi="Tahoma"/>
          <w:sz w:val="21"/>
          <w:szCs w:val="21"/>
          <w:rtl/>
        </w:rPr>
        <w:t xml:space="preserve">تحلیل نسل اعطا، قراردادها را بر اساس </w:t>
      </w:r>
      <w:r>
        <w:rPr>
          <w:rFonts w:ascii="Tahoma" w:cs="Tahoma" w:eastAsia="Tahoma" w:hAnsi="Tahoma"/>
          <w:b/>
          <w:bCs/>
          <w:sz w:val="21"/>
          <w:szCs w:val="21"/>
          <w:rtl/>
        </w:rPr>
        <w:t xml:space="preserve">سال اعطا</w:t>
      </w:r>
      <w:r>
        <w:rPr>
          <w:rFonts w:ascii="Tahoma" w:cs="Tahoma" w:eastAsia="Tahoma" w:hAnsi="Tahoma"/>
          <w:sz w:val="21"/>
          <w:szCs w:val="21"/>
          <w:rtl/>
        </w:rPr>
        <w:t xml:space="preserve"> گروه‌بندی می‌کند و نشان می‌دهد کیفیت تصمیم‌گیری اعتباری بانک در هر سال چگونه بوده است. این یکی از معتبرترین ابزارهای ارزیابی سیاست اعتباری است، زیرا اثر رشد پرتفوی را خنثی می‌کند.</w:t>
      </w:r>
    </w:p>
    <w:p>
      <w:pPr>
        <w:keepNext/>
        <w:spacing w:after="60" w:before="160"/>
        <w:jc w:val="center"/>
      </w:pPr>
      <w:r>
        <w:drawing>
          <wp:inline distT="0" distB="0" distL="0" distR="0">
            <wp:extent cx="5715000" cy="31718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۶-۶: نسبت مطالبات غیرجاری به تفکیک سال اعطای تسهیلات</w:t>
      </w:r>
    </w:p>
    <w:p>
      <w:pPr>
        <w:keepNext/>
        <w:bidi/>
        <w:spacing w:after="100" w:before="200"/>
        <w:jc w:val="left"/>
      </w:pPr>
      <w:r>
        <w:rPr>
          <w:rFonts w:ascii="Tahoma" w:cs="Tahoma" w:eastAsia="Tahoma" w:hAnsi="Tahoma"/>
          <w:b/>
          <w:bCs/>
          <w:sz w:val="21"/>
          <w:szCs w:val="21"/>
          <w:rtl/>
        </w:rPr>
        <w:t xml:space="preserve">جدول ۶-۱۰: کیفیت نسل‌های اعطا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806"/>
        <w:gridCol w:w="2368"/>
        <w:gridCol w:w="1907"/>
        <w:gridCol w:w="1755"/>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اعطا</w:t>
            </w:r>
          </w:p>
        </w:tc>
        <w:tc>
          <w:tcPr>
            <w:tcW w:type="dxa" w:w="18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3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۱۰,۰۴۸</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۲۹,۳۳۷</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۶۲,۰۷۹</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۸.۵۶٪</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۹۶,۷۴۰</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۹.۳۳٪</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۱۱۶,۵۵۱</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۲۰.۳</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۲۶.۵</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۱۴۶,۸۶۴</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۵۹.۲</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۶.۵.۲ تحلیل</w:t>
      </w:r>
    </w:p>
    <w:p>
      <w:pPr>
        <w:bidi/>
        <w:spacing w:after="160" w:line="312"/>
        <w:jc w:val="left"/>
      </w:pPr>
      <w:r>
        <w:rPr>
          <w:rFonts w:ascii="Tahoma" w:cs="Tahoma" w:eastAsia="Tahoma" w:hAnsi="Tahoma"/>
          <w:b/>
          <w:bCs/>
          <w:sz w:val="21"/>
          <w:szCs w:val="21"/>
          <w:rtl/>
        </w:rPr>
        <w:t xml:space="preserve">نسل ۱۴۰۳ بدترین عملکرد را دارد.</w:t>
      </w:r>
      <w:r>
        <w:rPr>
          <w:rFonts w:ascii="Tahoma" w:cs="Tahoma" w:eastAsia="Tahoma" w:hAnsi="Tahoma"/>
          <w:sz w:val="21"/>
          <w:szCs w:val="21"/>
          <w:rtl/>
        </w:rPr>
        <w:t xml:space="preserve"> با نسبت غیرجاری ۱۳.۰۵ درصد، این نسل به‌طور محسوس از تمام نسل‌های پیشین بدتر است. ۲.۶ هزار میلیارد تومان مطالبات غیرجاری این نسل، </w:t>
      </w:r>
      <w:r>
        <w:rPr>
          <w:rFonts w:ascii="Tahoma" w:cs="Tahoma" w:eastAsia="Tahoma" w:hAnsi="Tahoma"/>
          <w:b/>
          <w:bCs/>
          <w:sz w:val="21"/>
          <w:szCs w:val="21"/>
          <w:rtl/>
        </w:rPr>
        <w:t xml:space="preserve">۵۱.۱ درصد کل مطالبات غیرجاری بخش شناخته‌شده</w:t>
      </w:r>
      <w:r>
        <w:rPr>
          <w:rFonts w:ascii="Tahoma" w:cs="Tahoma" w:eastAsia="Tahoma" w:hAnsi="Tahoma"/>
          <w:sz w:val="21"/>
          <w:szCs w:val="21"/>
          <w:rtl/>
        </w:rPr>
        <w:t xml:space="preserve"> را تشکیل می‌دهد.</w:t>
      </w:r>
    </w:p>
    <w:p>
      <w:pPr>
        <w:bidi/>
        <w:spacing w:after="160" w:line="312"/>
        <w:jc w:val="left"/>
      </w:pPr>
      <w:r>
        <w:rPr>
          <w:rFonts w:ascii="Tahoma" w:cs="Tahoma" w:eastAsia="Tahoma" w:hAnsi="Tahoma"/>
          <w:b/>
          <w:bCs/>
          <w:sz w:val="21"/>
          <w:szCs w:val="21"/>
          <w:rtl/>
        </w:rPr>
        <w:t xml:space="preserve">روند صعودی نسل‌های ۱۳۹۹ تا ۱۴۰۳.</w:t>
      </w:r>
      <w:r>
        <w:rPr>
          <w:rFonts w:ascii="Tahoma" w:cs="Tahoma" w:eastAsia="Tahoma" w:hAnsi="Tahoma"/>
          <w:sz w:val="21"/>
          <w:szCs w:val="21"/>
          <w:rtl/>
        </w:rPr>
        <w:t xml:space="preserve"> نسبت غیرجاری به‌طور پیوسته از ۱.۵۷ به ۱۳.۰۵ درصد افزایش یافته است. این روند دو تبیین ممکن دارد که هر دو محتمل‌اند و لزوماً متعارض نیستند: تنزل تدریجی معیارهای اعطا در طول زمان، یا بدتر شدن شرایط اقتصادی مؤثر بر توان بازپرداخت وام‌گیرندگان.</w:t>
      </w:r>
    </w:p>
    <w:p>
      <w:pPr>
        <w:bidi/>
        <w:spacing w:after="160" w:line="312"/>
        <w:jc w:val="left"/>
      </w:pPr>
      <w:r>
        <w:rPr>
          <w:rFonts w:ascii="Tahoma" w:cs="Tahoma" w:eastAsia="Tahoma" w:hAnsi="Tahoma"/>
          <w:b/>
          <w:bCs/>
          <w:sz w:val="21"/>
          <w:szCs w:val="21"/>
          <w:rtl/>
        </w:rPr>
        <w:t xml:space="preserve">تذکر روش‌شناختی درباره‌ی نسل ۱۴۰۴.</w:t>
      </w:r>
      <w:r>
        <w:rPr>
          <w:rFonts w:ascii="Tahoma" w:cs="Tahoma" w:eastAsia="Tahoma" w:hAnsi="Tahoma"/>
          <w:sz w:val="21"/>
          <w:szCs w:val="21"/>
          <w:rtl/>
        </w:rPr>
        <w:t xml:space="preserve"> رقم ۲.۱۳ درصد برای نسل ۱۴۰۴ </w:t>
      </w:r>
      <w:r>
        <w:rPr>
          <w:rFonts w:ascii="Tahoma" w:cs="Tahoma" w:eastAsia="Tahoma" w:hAnsi="Tahoma"/>
          <w:b/>
          <w:bCs/>
          <w:sz w:val="21"/>
          <w:szCs w:val="21"/>
          <w:rtl/>
        </w:rPr>
        <w:t xml:space="preserve">نباید به‌عنوان بهبود کیفیت تفسیر شود</w:t>
      </w:r>
      <w:r>
        <w:rPr>
          <w:rFonts w:ascii="Tahoma" w:cs="Tahoma" w:eastAsia="Tahoma" w:hAnsi="Tahoma"/>
          <w:sz w:val="21"/>
          <w:szCs w:val="21"/>
          <w:rtl/>
        </w:rPr>
        <w:t xml:space="preserve">. تسهیلات اعطاشده در سال ۱۴۰۴ در مقطع اسفند همان سال، حداکثر دوازده ماه عمر دارند و بخش عمده‌ی آن‌ها هنوز به مرحله‌ی نکول نرسیده‌اند. در ادبیات ریسک اعتباری، نسبت غیرجاری یک نسل معمولاً پس از دو تا سه سال به سطح پایدار می‌رسد.</w:t>
      </w:r>
    </w:p>
    <w:p>
      <w:pPr>
        <w:bidi/>
        <w:spacing w:after="160" w:line="312"/>
        <w:jc w:val="left"/>
      </w:pPr>
      <w:r>
        <w:rPr>
          <w:rFonts w:ascii="Tahoma" w:cs="Tahoma" w:eastAsia="Tahoma" w:hAnsi="Tahoma"/>
          <w:sz w:val="21"/>
          <w:szCs w:val="21"/>
          <w:rtl/>
        </w:rPr>
        <w:t xml:space="preserve">مقایسه‌ی مسیر نسل‌های پیشین این نکته را روشن می‌کند: نسل ۱۴۰۳ نیز در پایان نخستین سال خود نسبت پایینی داشت و اکنون در سال دوم به ۱۳.۰۵ درصد رسیده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هشدار پیش‌نگر:</w:t>
      </w:r>
      <w:r>
        <w:rPr>
          <w:rFonts w:ascii="Tahoma" w:cs="Tahoma" w:eastAsia="Tahoma" w:hAnsi="Tahoma"/>
          <w:i/>
          <w:iCs/>
          <w:sz w:val="20"/>
          <w:szCs w:val="20"/>
          <w:rtl/>
        </w:rPr>
        <w:t xml:space="preserve"> نسل ۱۴۰۴ با </w:t>
      </w:r>
      <w:r>
        <w:rPr>
          <w:rFonts w:ascii="Tahoma" w:cs="Tahoma" w:eastAsia="Tahoma" w:hAnsi="Tahoma"/>
          <w:b/>
          <w:bCs/>
          <w:i/>
          <w:iCs/>
          <w:sz w:val="20"/>
          <w:szCs w:val="20"/>
          <w:rtl/>
        </w:rPr>
        <w:t xml:space="preserve">۵۹.۲ هزار میلیارد تومان</w:t>
      </w:r>
      <w:r>
        <w:rPr>
          <w:rFonts w:ascii="Tahoma" w:cs="Tahoma" w:eastAsia="Tahoma" w:hAnsi="Tahoma"/>
          <w:i/>
          <w:iCs/>
          <w:sz w:val="20"/>
          <w:szCs w:val="20"/>
          <w:rtl/>
        </w:rPr>
        <w:t xml:space="preserve"> مانده، بزرگ‌ترین نسل تاریخ بانک است — بزرگ‌تر از مجموع تمام نسل‌های پیشین. چنانچه این نسل مسیری مشابه نسل ۱۴۰۳ را طی کند، مطالبات غیرجاری ناشی از آن به‌تنهایی می‌تواند از کل مطالبات غیرجاری فعلی بانک فراتر رود. این مهم‌ترین یافته‌ی پیش‌نگر این فصل است و مستقیماً به شاخص‌های بخش ۶.۷ متصل می‌شود.</w:t>
      </w:r>
    </w:p>
    <w:p>
      <w:pPr>
        <w:pBdr>
          <w:bottom w:val="single" w:color="BBBBBB" w:sz="6"/>
        </w:pBdr>
        <w:spacing w:after="100" w:before="100"/>
      </w:pPr>
    </w:p>
    <w:p>
      <w:pPr>
        <w:pStyle w:val="Heading2"/>
        <w:keepNext/>
        <w:bidi/>
        <w:spacing w:after="160" w:before="300"/>
        <w:jc w:val="left"/>
      </w:pPr>
      <w:bookmarkStart w:name="_Toc57" w:id="57"/>
      <w:r>
        <w:rPr>
          <w:rFonts w:ascii="Tahoma" w:cs="Tahoma" w:eastAsia="Tahoma" w:hAnsi="Tahoma"/>
          <w:b/>
          <w:bCs/>
          <w:color w:val="1F4E79"/>
          <w:sz w:val="28"/>
          <w:szCs w:val="28"/>
          <w:rtl/>
        </w:rPr>
        <w:t xml:space="preserve">۶.۶ ساختار ضمانت و رابطه‌ی آن با ریسک</w:t>
      </w:r>
      <w:bookmarkEnd w:id="57"/>
    </w:p>
    <w:p>
      <w:pPr>
        <w:pStyle w:val="Heading3"/>
        <w:keepNext/>
        <w:bidi/>
        <w:spacing w:after="160" w:before="300"/>
        <w:jc w:val="left"/>
      </w:pPr>
      <w:r>
        <w:rPr>
          <w:rFonts w:ascii="Tahoma" w:cs="Tahoma" w:eastAsia="Tahoma" w:hAnsi="Tahoma"/>
          <w:b/>
          <w:bCs/>
          <w:color w:val="1F4E79"/>
          <w:sz w:val="24"/>
          <w:szCs w:val="24"/>
          <w:rtl/>
        </w:rPr>
        <w:t xml:space="preserve">۶.۶.۱ تصحیح یک روایت پیشین</w:t>
      </w:r>
    </w:p>
    <w:p>
      <w:pPr>
        <w:bidi/>
        <w:spacing w:after="160" w:line="312"/>
        <w:jc w:val="left"/>
      </w:pPr>
      <w:r>
        <w:rPr>
          <w:rFonts w:ascii="Tahoma" w:cs="Tahoma" w:eastAsia="Tahoma" w:hAnsi="Tahoma"/>
          <w:sz w:val="21"/>
          <w:szCs w:val="21"/>
          <w:rtl/>
        </w:rPr>
        <w:t xml:space="preserve">در اسناد کاری این پروژه، ساختار چندضامنی به‌عنوان نشانه‌ی «پیچیدگی و لذا ریسک بیشتر» تفسیر شده بود. داده این تفسیر را رد می‌کند.</w:t>
      </w:r>
    </w:p>
    <w:p>
      <w:pPr>
        <w:keepNext/>
        <w:spacing w:after="60" w:before="160"/>
        <w:jc w:val="center"/>
      </w:pPr>
      <w:r>
        <w:drawing>
          <wp:inline distT="0" distB="0" distL="0" distR="0">
            <wp:extent cx="5715000" cy="3171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۶-۷: نسبت مطالبات غیرجاری بر حسب تعداد ضامن</w:t>
      </w:r>
    </w:p>
    <w:p>
      <w:pPr>
        <w:keepNext/>
        <w:bidi/>
        <w:spacing w:after="100" w:before="200"/>
        <w:jc w:val="left"/>
      </w:pPr>
      <w:r>
        <w:rPr>
          <w:rFonts w:ascii="Tahoma" w:cs="Tahoma" w:eastAsia="Tahoma" w:hAnsi="Tahoma"/>
          <w:b/>
          <w:bCs/>
          <w:sz w:val="21"/>
          <w:szCs w:val="21"/>
          <w:rtl/>
        </w:rPr>
        <w:t xml:space="preserve">جدول ۶-۱۱: مطالبات غیرجاری بر حسب تعداد طرفین قرارداد (مبنای الف —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1"/>
        <w:gridCol w:w="1751"/>
        <w:gridCol w:w="2296"/>
        <w:gridCol w:w="1849"/>
        <w:gridCol w:w="1703"/>
      </w:tblGrid>
      <w:tr>
        <w:trPr>
          <w:cantSplit/>
          <w:tblHeader/>
        </w:trPr>
        <w:tc>
          <w:tcPr>
            <w:tcW w:type="dxa" w:w="17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ضامن</w:t>
            </w:r>
          </w:p>
        </w:tc>
        <w:tc>
          <w:tcPr>
            <w:tcW w:type="dxa" w:w="17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(تک‌ضامنی)</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۹۷۲,۷۳۴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۸۰.۹</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۸۵.۶</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۱۰.۵۸٪</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دو تا سه</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۳۳۲,۹۲۲</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۴۲.۹</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۵.۳۳٪</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تا شش</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۱۶,۵۸۹</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۸.۸۵٪</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هفت تا ده</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یازده و بیشتر</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۶.۶.۲ تحلیل</w:t>
      </w:r>
    </w:p>
    <w:p>
      <w:pPr>
        <w:bidi/>
        <w:spacing w:after="160" w:line="312"/>
        <w:jc w:val="left"/>
      </w:pPr>
      <w:r>
        <w:rPr>
          <w:rFonts w:ascii="Tahoma" w:cs="Tahoma" w:eastAsia="Tahoma" w:hAnsi="Tahoma"/>
          <w:b/>
          <w:bCs/>
          <w:sz w:val="21"/>
          <w:szCs w:val="21"/>
          <w:rtl/>
        </w:rPr>
        <w:t xml:space="preserve">یافته‌ی معکوس.</w:t>
      </w:r>
      <w:r>
        <w:rPr>
          <w:rFonts w:ascii="Tahoma" w:cs="Tahoma" w:eastAsia="Tahoma" w:hAnsi="Tahoma"/>
          <w:sz w:val="21"/>
          <w:szCs w:val="21"/>
          <w:rtl/>
        </w:rPr>
        <w:t xml:space="preserve"> وام‌های تک‌ضامنی با نسبت </w:t>
      </w:r>
      <w:r>
        <w:rPr>
          <w:rFonts w:ascii="Tahoma" w:cs="Tahoma" w:eastAsia="Tahoma" w:hAnsi="Tahoma"/>
          <w:b/>
          <w:bCs/>
          <w:sz w:val="21"/>
          <w:szCs w:val="21"/>
          <w:rtl/>
        </w:rPr>
        <w:t xml:space="preserve">۱۰.۵۸ درصد</w:t>
      </w:r>
      <w:r>
        <w:rPr>
          <w:rFonts w:ascii="Tahoma" w:cs="Tahoma" w:eastAsia="Tahoma" w:hAnsi="Tahoma"/>
          <w:sz w:val="21"/>
          <w:szCs w:val="21"/>
          <w:rtl/>
        </w:rPr>
        <w:t xml:space="preserve">، تقریباً </w:t>
      </w:r>
      <w:r>
        <w:rPr>
          <w:rFonts w:ascii="Tahoma" w:cs="Tahoma" w:eastAsia="Tahoma" w:hAnsi="Tahoma"/>
          <w:b/>
          <w:bCs/>
          <w:sz w:val="21"/>
          <w:szCs w:val="21"/>
          <w:rtl/>
        </w:rPr>
        <w:t xml:space="preserve">دو برابر</w:t>
      </w:r>
      <w:r>
        <w:rPr>
          <w:rFonts w:ascii="Tahoma" w:cs="Tahoma" w:eastAsia="Tahoma" w:hAnsi="Tahoma"/>
          <w:sz w:val="21"/>
          <w:szCs w:val="21"/>
          <w:rtl/>
        </w:rPr>
        <w:t xml:space="preserve"> وام‌های دارای دو تا سه ضامن (۵.۳۳ درصد) نکول دارند. رابطه یکنواخت نیست — بازه‌ی چهار تا شش ضامن با ۸.۸۵ درصد دوباره بالا می‌رود — اما جهت کلی روشن است: </w:t>
      </w:r>
      <w:r>
        <w:rPr>
          <w:rFonts w:ascii="Tahoma" w:cs="Tahoma" w:eastAsia="Tahoma" w:hAnsi="Tahoma"/>
          <w:b/>
          <w:bCs/>
          <w:sz w:val="21"/>
          <w:szCs w:val="21"/>
          <w:rtl/>
        </w:rPr>
        <w:t xml:space="preserve">افزایش تعداد ضامن با ریسک بیشتر همراه نیست.</w:t>
      </w:r>
    </w:p>
    <w:p>
      <w:pPr>
        <w:bidi/>
        <w:spacing w:after="160" w:line="312"/>
        <w:jc w:val="left"/>
      </w:pPr>
      <w:r>
        <w:rPr>
          <w:rFonts w:ascii="Tahoma" w:cs="Tahoma" w:eastAsia="Tahoma" w:hAnsi="Tahoma"/>
          <w:sz w:val="21"/>
          <w:szCs w:val="21"/>
          <w:rtl/>
        </w:rPr>
        <w:t xml:space="preserve">این نتیجه از منظر اقتصادی قابل انتظار است: الزام به ارائه‌ی ضامن بیشتر معمولاً بخشی از فرآیند کاهش ریسک است، نه نشانه‌ی آن.</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تصحیح رسمی:</w:t>
      </w:r>
      <w:r>
        <w:rPr>
          <w:rFonts w:ascii="Tahoma" w:cs="Tahoma" w:eastAsia="Tahoma" w:hAnsi="Tahoma"/>
          <w:i/>
          <w:iCs/>
          <w:sz w:val="20"/>
          <w:szCs w:val="20"/>
          <w:rtl/>
        </w:rPr>
        <w:t xml:space="preserve"> گزاره‌ی «چندضامنی معادل پیچیدگی و لذا ریسک بیشتر» </w:t>
      </w:r>
      <w:r>
        <w:rPr>
          <w:rFonts w:ascii="Tahoma" w:cs="Tahoma" w:eastAsia="Tahoma" w:hAnsi="Tahoma"/>
          <w:b/>
          <w:bCs/>
          <w:i/>
          <w:iCs/>
          <w:sz w:val="20"/>
          <w:szCs w:val="20"/>
          <w:rtl/>
        </w:rPr>
        <w:t xml:space="preserve">نادرست است</w:t>
      </w:r>
      <w:r>
        <w:rPr>
          <w:rFonts w:ascii="Tahoma" w:cs="Tahoma" w:eastAsia="Tahoma" w:hAnsi="Tahoma"/>
          <w:i/>
          <w:iCs/>
          <w:sz w:val="20"/>
          <w:szCs w:val="20"/>
          <w:rtl/>
        </w:rPr>
        <w:t xml:space="preserve"> و نباید در گزارش‌های مدیریتی یا سیاست اعتباری بانک تکرار شود.</w:t>
      </w:r>
    </w:p>
    <w:p>
      <w:pPr>
        <w:bidi/>
        <w:spacing w:after="160" w:line="312"/>
        <w:jc w:val="left"/>
      </w:pPr>
      <w:r>
        <w:rPr>
          <w:rFonts w:ascii="Tahoma" w:cs="Tahoma" w:eastAsia="Tahoma" w:hAnsi="Tahoma"/>
          <w:b/>
          <w:bCs/>
          <w:sz w:val="21"/>
          <w:szCs w:val="21"/>
          <w:rtl/>
        </w:rPr>
        <w:t xml:space="preserve">اعتبار این جدول.</w:t>
      </w:r>
      <w:r>
        <w:rPr>
          <w:rFonts w:ascii="Tahoma" w:cs="Tahoma" w:eastAsia="Tahoma" w:hAnsi="Tahoma"/>
          <w:sz w:val="21"/>
          <w:szCs w:val="21"/>
          <w:rtl/>
        </w:rPr>
        <w:t xml:space="preserve"> برخلاف بیشتر تحلیل‌های این فصل، جدول ۶-۱۱ بر مبنای الف استوار است و </w:t>
      </w:r>
      <w:r>
        <w:rPr>
          <w:rFonts w:ascii="Tahoma" w:cs="Tahoma" w:eastAsia="Tahoma" w:hAnsi="Tahoma"/>
          <w:b/>
          <w:bCs/>
          <w:sz w:val="21"/>
          <w:szCs w:val="21"/>
          <w:rtl/>
        </w:rPr>
        <w:t xml:space="preserve">۱۰۰ درصد پرتفوی</w:t>
      </w:r>
      <w:r>
        <w:rPr>
          <w:rFonts w:ascii="Tahoma" w:cs="Tahoma" w:eastAsia="Tahoma" w:hAnsi="Tahoma"/>
          <w:sz w:val="21"/>
          <w:szCs w:val="21"/>
          <w:rtl/>
        </w:rPr>
        <w:t xml:space="preserve"> را پوشش می‌دهد؛ مجموع مانده‌ی آن دقیقاً ۱,۲۸۱.۶ و مجموع مطالبات غیرجاری آن دقیقاً ۱۱.۲ هزار میلیارد تومان است. لذا این یکی از مستحکم‌ترین یافته‌های فصل است.</w:t>
      </w:r>
    </w:p>
    <w:p>
      <w:pPr>
        <w:bidi/>
        <w:spacing w:after="160" w:line="312"/>
        <w:jc w:val="left"/>
      </w:pPr>
      <w:r>
        <w:rPr>
          <w:rFonts w:ascii="Tahoma" w:cs="Tahoma" w:eastAsia="Tahoma" w:hAnsi="Tahoma"/>
          <w:b/>
          <w:bCs/>
          <w:sz w:val="21"/>
          <w:szCs w:val="21"/>
          <w:rtl/>
        </w:rPr>
        <w:t xml:space="preserve">نکته‌ی کمّی مهم.</w:t>
      </w:r>
      <w:r>
        <w:rPr>
          <w:rFonts w:ascii="Tahoma" w:cs="Tahoma" w:eastAsia="Tahoma" w:hAnsi="Tahoma"/>
          <w:sz w:val="21"/>
          <w:szCs w:val="21"/>
          <w:rtl/>
        </w:rPr>
        <w:t xml:space="preserve"> وام‌های تک‌ضامنی </w:t>
      </w:r>
      <w:r>
        <w:rPr>
          <w:rFonts w:ascii="Tahoma" w:cs="Tahoma" w:eastAsia="Tahoma" w:hAnsi="Tahoma"/>
          <w:b/>
          <w:bCs/>
          <w:sz w:val="21"/>
          <w:szCs w:val="21"/>
          <w:rtl/>
        </w:rPr>
        <w:t xml:space="preserve">۶۳.۱ درصد پرتفوی و ۷۶.۲ درصد کل مطالبات غیرجاری بانک</w:t>
      </w:r>
      <w:r>
        <w:rPr>
          <w:rFonts w:ascii="Tahoma" w:cs="Tahoma" w:eastAsia="Tahoma" w:hAnsi="Tahoma"/>
          <w:sz w:val="21"/>
          <w:szCs w:val="21"/>
          <w:rtl/>
        </w:rPr>
        <w:t xml:space="preserve"> را تشکیل می‌دهند. بنابراین بازنگری در سیاست ضمانت برای این دسته، بزرگ‌ترین اهرم بالقوه‌ی کاهش ریسک اعتباری در اختیار بانک است.</w:t>
      </w:r>
    </w:p>
    <w:p>
      <w:pPr>
        <w:bidi/>
        <w:spacing w:after="160" w:line="312"/>
        <w:jc w:val="left"/>
      </w:pPr>
      <w:r>
        <w:rPr>
          <w:rFonts w:ascii="Tahoma" w:cs="Tahoma" w:eastAsia="Tahoma" w:hAnsi="Tahoma"/>
          <w:b/>
          <w:bCs/>
          <w:sz w:val="21"/>
          <w:szCs w:val="21"/>
          <w:rtl/>
        </w:rPr>
        <w:t xml:space="preserve">احتیاط در تفسیر.</w:t>
      </w:r>
      <w:r>
        <w:rPr>
          <w:rFonts w:ascii="Tahoma" w:cs="Tahoma" w:eastAsia="Tahoma" w:hAnsi="Tahoma"/>
          <w:sz w:val="21"/>
          <w:szCs w:val="21"/>
          <w:rtl/>
        </w:rPr>
        <w:t xml:space="preserve"> دو بازه‌ی آخر جدول (هفت ضامن و بیشتر) روی‌هم تنها ۵۸ قرارداد دارند و نسبت صفر درصدی آن‌ها از نظر آماری بی‌معناست. این ارقام صرفاً برای کامل بودن جدول درج شده‌اند.</w:t>
      </w:r>
    </w:p>
    <w:p>
      <w:pPr>
        <w:pBdr>
          <w:bottom w:val="single" w:color="BBBBBB" w:sz="6"/>
        </w:pBdr>
        <w:spacing w:after="100" w:before="100"/>
      </w:pPr>
    </w:p>
    <w:p>
      <w:pPr>
        <w:pStyle w:val="Heading2"/>
        <w:keepNext/>
        <w:bidi/>
        <w:spacing w:after="160" w:before="300"/>
        <w:jc w:val="left"/>
      </w:pPr>
      <w:bookmarkStart w:name="_Toc58" w:id="58"/>
      <w:r>
        <w:rPr>
          <w:rFonts w:ascii="Tahoma" w:cs="Tahoma" w:eastAsia="Tahoma" w:hAnsi="Tahoma"/>
          <w:b/>
          <w:bCs/>
          <w:color w:val="1F4E79"/>
          <w:sz w:val="28"/>
          <w:szCs w:val="28"/>
          <w:rtl/>
        </w:rPr>
        <w:t xml:space="preserve">۶.۷ ماتریس انتقال وضعیت</w:t>
      </w:r>
      <w:bookmarkEnd w:id="58"/>
    </w:p>
    <w:p>
      <w:pPr>
        <w:pStyle w:val="Heading3"/>
        <w:keepNext/>
        <w:bidi/>
        <w:spacing w:after="160" w:before="300"/>
        <w:jc w:val="left"/>
      </w:pPr>
      <w:r>
        <w:rPr>
          <w:rFonts w:ascii="Tahoma" w:cs="Tahoma" w:eastAsia="Tahoma" w:hAnsi="Tahoma"/>
          <w:b/>
          <w:bCs/>
          <w:color w:val="1F4E79"/>
          <w:sz w:val="24"/>
          <w:szCs w:val="24"/>
          <w:rtl/>
        </w:rPr>
        <w:t xml:space="preserve">۶.۷.۱ ماهیت و اهمیت این شاخص</w:t>
      </w:r>
    </w:p>
    <w:p>
      <w:pPr>
        <w:bidi/>
        <w:spacing w:after="160" w:line="312"/>
        <w:jc w:val="left"/>
      </w:pPr>
      <w:r>
        <w:rPr>
          <w:rFonts w:ascii="Tahoma" w:cs="Tahoma" w:eastAsia="Tahoma" w:hAnsi="Tahoma"/>
          <w:sz w:val="21"/>
          <w:szCs w:val="21"/>
          <w:rtl/>
        </w:rPr>
        <w:t xml:space="preserve">نسبت‌های ارائه‌شده تا اینجا همگی </w:t>
      </w:r>
      <w:r>
        <w:rPr>
          <w:rFonts w:ascii="Tahoma" w:cs="Tahoma" w:eastAsia="Tahoma" w:hAnsi="Tahoma"/>
          <w:b/>
          <w:bCs/>
          <w:sz w:val="21"/>
          <w:szCs w:val="21"/>
          <w:rtl/>
        </w:rPr>
        <w:t xml:space="preserve">ایستا</w:t>
      </w:r>
      <w:r>
        <w:rPr>
          <w:rFonts w:ascii="Tahoma" w:cs="Tahoma" w:eastAsia="Tahoma" w:hAnsi="Tahoma"/>
          <w:sz w:val="21"/>
          <w:szCs w:val="21"/>
          <w:rtl/>
        </w:rPr>
        <w:t xml:space="preserve"> هستند؛ وضعیت را در یک مقطع نشان می‌دهند. ماتریس انتقال وضعیت، </w:t>
      </w:r>
      <w:r>
        <w:rPr>
          <w:rFonts w:ascii="Tahoma" w:cs="Tahoma" w:eastAsia="Tahoma" w:hAnsi="Tahoma"/>
          <w:b/>
          <w:bCs/>
          <w:sz w:val="21"/>
          <w:szCs w:val="21"/>
          <w:rtl/>
        </w:rPr>
        <w:t xml:space="preserve">پویایی</w:t>
      </w:r>
      <w:r>
        <w:rPr>
          <w:rFonts w:ascii="Tahoma" w:cs="Tahoma" w:eastAsia="Tahoma" w:hAnsi="Tahoma"/>
          <w:sz w:val="21"/>
          <w:szCs w:val="21"/>
          <w:rtl/>
        </w:rPr>
        <w:t xml:space="preserve"> را می‌سنجد: چه سهمی از قراردادهایی که در یک مقطع در طبقه‌ی مشخصی بودند، یک سال بعد به طبقه‌ی دیگری منتقل شده‌اند.</w:t>
      </w:r>
    </w:p>
    <w:p>
      <w:pPr>
        <w:bidi/>
        <w:spacing w:after="160" w:line="312"/>
        <w:jc w:val="left"/>
      </w:pPr>
      <w:r>
        <w:rPr>
          <w:rFonts w:ascii="Tahoma" w:cs="Tahoma" w:eastAsia="Tahoma" w:hAnsi="Tahoma"/>
          <w:sz w:val="21"/>
          <w:szCs w:val="21"/>
          <w:rtl/>
        </w:rPr>
        <w:t xml:space="preserve">اهمیت این شاخص در پیش‌نگر بودن آن است. نرخ مهاجرت از طبقه‌ی جاری به طبقات غیرجاری، </w:t>
      </w:r>
      <w:r>
        <w:rPr>
          <w:rFonts w:ascii="Tahoma" w:cs="Tahoma" w:eastAsia="Tahoma" w:hAnsi="Tahoma"/>
          <w:b/>
          <w:bCs/>
          <w:sz w:val="21"/>
          <w:szCs w:val="21"/>
          <w:rtl/>
        </w:rPr>
        <w:t xml:space="preserve">مطالبات غیرجاری سال آینده را پیش‌بینی می‌کند</w:t>
      </w:r>
      <w:r>
        <w:rPr>
          <w:rFonts w:ascii="Tahoma" w:cs="Tahoma" w:eastAsia="Tahoma" w:hAnsi="Tahoma"/>
          <w:sz w:val="21"/>
          <w:szCs w:val="21"/>
          <w:rtl/>
        </w:rPr>
        <w:t xml:space="preserve">، پیش از آن‌که در نسبت‌های ایستا ظاهر شود.</w:t>
      </w:r>
    </w:p>
    <w:p>
      <w:pPr>
        <w:keepNext/>
        <w:spacing w:after="60" w:before="160"/>
        <w:jc w:val="center"/>
      </w:pPr>
      <w:r>
        <w:drawing>
          <wp:inline distT="0" distB="0" distL="0" distR="0">
            <wp:extent cx="5715000" cy="27622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762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۶-۸: ماتریس انتقال وضعیت طبقه‌بندی مطالبات</w:t>
      </w:r>
    </w:p>
    <w:p>
      <w:pPr>
        <w:pStyle w:val="Heading3"/>
        <w:keepNext/>
        <w:bidi/>
        <w:spacing w:after="160" w:before="300"/>
        <w:jc w:val="left"/>
      </w:pPr>
      <w:r>
        <w:rPr>
          <w:rFonts w:ascii="Tahoma" w:cs="Tahoma" w:eastAsia="Tahoma" w:hAnsi="Tahoma"/>
          <w:b/>
          <w:bCs/>
          <w:color w:val="1F4E79"/>
          <w:sz w:val="24"/>
          <w:szCs w:val="24"/>
          <w:rtl/>
        </w:rPr>
        <w:t xml:space="preserve">۶.۷.۲ نتایج</w:t>
      </w:r>
    </w:p>
    <w:p>
      <w:pPr>
        <w:keepNext/>
        <w:bidi/>
        <w:spacing w:after="100" w:before="200"/>
        <w:jc w:val="left"/>
      </w:pPr>
      <w:r>
        <w:rPr>
          <w:rFonts w:ascii="Tahoma" w:cs="Tahoma" w:eastAsia="Tahoma" w:hAnsi="Tahoma"/>
          <w:b/>
          <w:bCs/>
          <w:sz w:val="21"/>
          <w:szCs w:val="21"/>
          <w:rtl/>
        </w:rPr>
        <w:t xml:space="preserve">جدول ۶-۱۲: نرخ‌های کلیدی انتقال وضعیت در دو دوره‌ی متوالی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21"/>
        <w:gridCol w:w="2370"/>
        <w:gridCol w:w="2370"/>
        <w:gridCol w:w="1989"/>
      </w:tblGrid>
      <w:tr>
        <w:trPr>
          <w:cantSplit/>
          <w:tblHeader/>
        </w:trPr>
        <w:tc>
          <w:tcPr>
            <w:tcW w:type="dxa" w:w="26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23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دوره‌ی ۱۱/۱۴۰۲ تا ۱۱/۱۴۰۳</w:t>
            </w:r>
          </w:p>
        </w:tc>
        <w:tc>
          <w:tcPr>
            <w:tcW w:type="dxa" w:w="23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دوره‌ی ۱۱/۱۴۰۳ تا ۱۱/۱۴۰۴</w:t>
            </w:r>
          </w:p>
        </w:tc>
        <w:tc>
          <w:tcPr>
            <w:tcW w:type="dxa" w:w="1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تغییر</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طبقه‌ی جاری</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۹۵.۷۲٪</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۹۴.۴۴٪</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 واحد</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مهاجرت از جاری به سررسیدگذشته</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 افزایش نسبی</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بهبود از سررسیدگذشته به جاری</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۳۷.۴۴٪</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۲۳.۱۶٪</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۳۸٪− کاهش نسبی</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سررسیدگذشته</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۵۵.۶۵٪</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۶۹.۸۲٪</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۱۴.۱۷+ واحد</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مشکوک‌الوصول</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۸۳.۶۱٪</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۹۶.۲۱٪</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۱۲.۶۰+ واحد</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۶.۷.۳ تحلیل</w:t>
      </w:r>
    </w:p>
    <w:p>
      <w:pPr>
        <w:bidi/>
        <w:spacing w:after="160" w:line="312"/>
        <w:jc w:val="left"/>
      </w:pPr>
      <w:r>
        <w:rPr>
          <w:rFonts w:ascii="Tahoma" w:cs="Tahoma" w:eastAsia="Tahoma" w:hAnsi="Tahoma"/>
          <w:b/>
          <w:bCs/>
          <w:sz w:val="21"/>
          <w:szCs w:val="21"/>
          <w:rtl/>
        </w:rPr>
        <w:t xml:space="preserve">سیگنال نخست — تسریع نکول.</w:t>
      </w:r>
      <w:r>
        <w:rPr>
          <w:rFonts w:ascii="Tahoma" w:cs="Tahoma" w:eastAsia="Tahoma" w:hAnsi="Tahoma"/>
          <w:sz w:val="21"/>
          <w:szCs w:val="21"/>
          <w:rtl/>
        </w:rPr>
        <w:t xml:space="preserve"> نرخ مهاجرت از طبقه‌ی جاری به سررسیدگذشته در یک سال از ۲.۵۲ به ۴.۳۰ درصد رسیده است؛ </w:t>
      </w:r>
      <w:r>
        <w:rPr>
          <w:rFonts w:ascii="Tahoma" w:cs="Tahoma" w:eastAsia="Tahoma" w:hAnsi="Tahoma"/>
          <w:b/>
          <w:bCs/>
          <w:sz w:val="21"/>
          <w:szCs w:val="21"/>
          <w:rtl/>
        </w:rPr>
        <w:t xml:space="preserve">۷۰ درصد افزایش نسبی</w:t>
      </w:r>
      <w:r>
        <w:rPr>
          <w:rFonts w:ascii="Tahoma" w:cs="Tahoma" w:eastAsia="Tahoma" w:hAnsi="Tahoma"/>
          <w:sz w:val="21"/>
          <w:szCs w:val="21"/>
          <w:rtl/>
        </w:rPr>
        <w:t xml:space="preserve">. این بدان معناست که جریان ورودی به مطالبات غیرجاری در حال شتاب‌گیری است و فشار مشاهده‌شده در بخش ۶.۱ صرفاً ادامه‌ی روند گذشته نیست، بلکه در حال تشدید است.</w:t>
      </w:r>
    </w:p>
    <w:p>
      <w:pPr>
        <w:bidi/>
        <w:spacing w:after="160" w:line="312"/>
        <w:jc w:val="left"/>
      </w:pPr>
      <w:r>
        <w:rPr>
          <w:rFonts w:ascii="Tahoma" w:cs="Tahoma" w:eastAsia="Tahoma" w:hAnsi="Tahoma"/>
          <w:b/>
          <w:bCs/>
          <w:sz w:val="21"/>
          <w:szCs w:val="21"/>
          <w:rtl/>
        </w:rPr>
        <w:t xml:space="preserve">سیگنال دوم — تضعیف بازیافت.</w:t>
      </w:r>
      <w:r>
        <w:rPr>
          <w:rFonts w:ascii="Tahoma" w:cs="Tahoma" w:eastAsia="Tahoma" w:hAnsi="Tahoma"/>
          <w:sz w:val="21"/>
          <w:szCs w:val="21"/>
          <w:rtl/>
        </w:rPr>
        <w:t xml:space="preserve"> نرخ بازگشت از سررسیدگذشته به جاری از ۳۷.۴۴ به ۲۳.۱۶ درصد کاهش یافته است؛ </w:t>
      </w:r>
      <w:r>
        <w:rPr>
          <w:rFonts w:ascii="Tahoma" w:cs="Tahoma" w:eastAsia="Tahoma" w:hAnsi="Tahoma"/>
          <w:b/>
          <w:bCs/>
          <w:sz w:val="21"/>
          <w:szCs w:val="21"/>
          <w:rtl/>
        </w:rPr>
        <w:t xml:space="preserve">۳۸ درصد افت نسبی</w:t>
      </w:r>
      <w:r>
        <w:rPr>
          <w:rFonts w:ascii="Tahoma" w:cs="Tahoma" w:eastAsia="Tahoma" w:hAnsi="Tahoma"/>
          <w:sz w:val="21"/>
          <w:szCs w:val="21"/>
          <w:rtl/>
        </w:rPr>
        <w:t xml:space="preserve">. این شاخص توان بانک در وصول مطالبات تازه‌معوق را می‌سنجد و افت آن دو تبیین ممکن دارد: تضعیف توان مالی وام‌گیرندگان، یا کاهش اثربخشی فرآیند وصول بانک.</w:t>
      </w:r>
    </w:p>
    <w:p>
      <w:pPr>
        <w:bidi/>
        <w:spacing w:after="160" w:line="312"/>
        <w:jc w:val="left"/>
      </w:pPr>
      <w:r>
        <w:rPr>
          <w:rFonts w:ascii="Tahoma" w:cs="Tahoma" w:eastAsia="Tahoma" w:hAnsi="Tahoma"/>
          <w:b/>
          <w:bCs/>
          <w:sz w:val="21"/>
          <w:szCs w:val="21"/>
          <w:rtl/>
        </w:rPr>
        <w:t xml:space="preserve">ترکیب دو سیگنال.</w:t>
      </w:r>
      <w:r>
        <w:rPr>
          <w:rFonts w:ascii="Tahoma" w:cs="Tahoma" w:eastAsia="Tahoma" w:hAnsi="Tahoma"/>
          <w:sz w:val="21"/>
          <w:szCs w:val="21"/>
          <w:rtl/>
        </w:rPr>
        <w:t xml:space="preserve"> این دو تحول در یک جهت عمل می‌کنند و اثرشان تجمعی است: ورودی به مطالبات غیرجاری بیشتر شده و خروجی از آن کمتر. نتیجه‌ی مستقیم آن، افزایش ماندگاری در طبقات غیرجاری است که در دو سطر آخر جدول ۶-۱۲ دیده می‌شود — ماندگاری در سررسیدگذشته ۱۴ واحد و در مشکوک‌الوصول ۱۳ واحد افزایش یافته است.</w:t>
      </w:r>
    </w:p>
    <w:p>
      <w:pPr>
        <w:bidi/>
        <w:spacing w:after="160" w:line="312"/>
        <w:jc w:val="left"/>
      </w:pPr>
      <w:r>
        <w:rPr>
          <w:rFonts w:ascii="Tahoma" w:cs="Tahoma" w:eastAsia="Tahoma" w:hAnsi="Tahoma"/>
          <w:b/>
          <w:bCs/>
          <w:sz w:val="21"/>
          <w:szCs w:val="21"/>
          <w:rtl/>
        </w:rPr>
        <w:t xml:space="preserve">ماندگاری ۹۶.۲۱ درصدی در طبقه‌ی مشکوک‌الوصول</w:t>
      </w:r>
      <w:r>
        <w:rPr>
          <w:rFonts w:ascii="Tahoma" w:cs="Tahoma" w:eastAsia="Tahoma" w:hAnsi="Tahoma"/>
          <w:sz w:val="21"/>
          <w:szCs w:val="21"/>
          <w:rtl/>
        </w:rPr>
        <w:t xml:space="preserve"> به‌طور خاص قابل تأمل است: از هر صد قرارداد مشکوک‌الوصول، بیش از نود و شش مورد یک سال بعد همچنان در همان طبقه باقی مانده‌اند و تنها نیم درصد به طبقه‌ی جاری بازگشته‌اند. این عملاً به معنای </w:t>
      </w:r>
      <w:r>
        <w:rPr>
          <w:rFonts w:ascii="Tahoma" w:cs="Tahoma" w:eastAsia="Tahoma" w:hAnsi="Tahoma"/>
          <w:b/>
          <w:bCs/>
          <w:sz w:val="21"/>
          <w:szCs w:val="21"/>
          <w:rtl/>
        </w:rPr>
        <w:t xml:space="preserve">توقف کامل بازیافت در این طبقه</w:t>
      </w:r>
      <w:r>
        <w:rPr>
          <w:rFonts w:ascii="Tahoma" w:cs="Tahoma" w:eastAsia="Tahoma" w:hAnsi="Tahoma"/>
          <w:sz w:val="21"/>
          <w:szCs w:val="21"/>
          <w:rtl/>
        </w:rPr>
        <w:t xml:space="preserve">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جمع‌بندی پیش‌نگر:</w:t>
      </w:r>
      <w:r>
        <w:rPr>
          <w:rFonts w:ascii="Tahoma" w:cs="Tahoma" w:eastAsia="Tahoma" w:hAnsi="Tahoma"/>
          <w:i/>
          <w:iCs/>
          <w:sz w:val="20"/>
          <w:szCs w:val="20"/>
          <w:rtl/>
        </w:rPr>
        <w:t xml:space="preserve"> هر سه شاخص پویا در جهت وخامت حرکت می‌کنند. با توجه به آن‌که نسل ۱۴۰۴ بزرگ‌ترین نسل تاریخ بانک است (بخش ۶.۵.۲) و هنوز به بلوغ ریسکی نرسیده، </w:t>
      </w:r>
      <w:r>
        <w:rPr>
          <w:rFonts w:ascii="Tahoma" w:cs="Tahoma" w:eastAsia="Tahoma" w:hAnsi="Tahoma"/>
          <w:b/>
          <w:bCs/>
          <w:i/>
          <w:iCs/>
          <w:sz w:val="20"/>
          <w:szCs w:val="20"/>
          <w:rtl/>
        </w:rPr>
        <w:t xml:space="preserve">انتظار می‌رود نسبت مطالبات غیرجاری در سال ۱۴۰۵ از سطح فعلی ۸.۷۶ درصد فراتر رود.</w:t>
      </w:r>
      <w:r>
        <w:rPr>
          <w:rFonts w:ascii="Tahoma" w:cs="Tahoma" w:eastAsia="Tahoma" w:hAnsi="Tahoma"/>
          <w:i/>
          <w:iCs/>
          <w:sz w:val="20"/>
          <w:szCs w:val="20"/>
          <w:rtl/>
        </w:rPr>
        <w:t xml:space="preserve"> این گزارش برآورد کمّی از این افزایش ارائه نمی‌کند، زیرا چنین برآوردی مستلزم مدل‌سازی است که در دامنه‌ی فاز ۱ قرار ندارد و در فهرست پیشنهادهای فاز ۲ ثبت شده است.</w:t>
      </w:r>
    </w:p>
    <w:p>
      <w:pPr>
        <w:pStyle w:val="Heading3"/>
        <w:keepNext/>
        <w:bidi/>
        <w:spacing w:after="160" w:before="300"/>
        <w:jc w:val="left"/>
      </w:pPr>
      <w:r>
        <w:rPr>
          <w:rFonts w:ascii="Tahoma" w:cs="Tahoma" w:eastAsia="Tahoma" w:hAnsi="Tahoma"/>
          <w:b/>
          <w:bCs/>
          <w:color w:val="1F4E79"/>
          <w:sz w:val="24"/>
          <w:szCs w:val="24"/>
          <w:rtl/>
        </w:rPr>
        <w:t xml:space="preserve">۶.۷.۴ تذکر درباره‌ی طبقه‌ی بدون برچسب</w:t>
      </w:r>
    </w:p>
    <w:p>
      <w:pPr>
        <w:bidi/>
        <w:spacing w:after="160" w:line="312"/>
        <w:jc w:val="left"/>
      </w:pPr>
      <w:r>
        <w:rPr>
          <w:rFonts w:ascii="Tahoma" w:cs="Tahoma" w:eastAsia="Tahoma" w:hAnsi="Tahoma"/>
          <w:sz w:val="21"/>
          <w:szCs w:val="21"/>
          <w:rtl/>
        </w:rPr>
        <w:t xml:space="preserve">در داده‌ی مبنای این تحلیل، یک وضعیت با شناسه‌ی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وجود دارد که </w:t>
      </w:r>
      <w:r>
        <w:rPr>
          <w:rFonts w:ascii="Tahoma" w:cs="Tahoma" w:eastAsia="Tahoma" w:hAnsi="Tahoma"/>
          <w:b/>
          <w:bCs/>
          <w:sz w:val="21"/>
          <w:szCs w:val="21"/>
          <w:rtl/>
        </w:rPr>
        <w:t xml:space="preserve">۷۲۳,۰۲۵ قرارداد</w:t>
      </w:r>
      <w:r>
        <w:rPr>
          <w:rFonts w:ascii="Tahoma" w:cs="Tahoma" w:eastAsia="Tahoma" w:hAnsi="Tahoma"/>
          <w:sz w:val="21"/>
          <w:szCs w:val="21"/>
          <w:rtl/>
        </w:rPr>
        <w:t xml:space="preserve"> را در بر می‌گیرد و فاقد برچسب توصیفی است. شواهد زیر حاکی از آن است که این وضعیت به معنای </w:t>
      </w:r>
      <w:r>
        <w:rPr>
          <w:rFonts w:ascii="Tahoma" w:cs="Tahoma" w:eastAsia="Tahoma" w:hAnsi="Tahoma"/>
          <w:b/>
          <w:bCs/>
          <w:sz w:val="21"/>
          <w:szCs w:val="21"/>
          <w:rtl/>
        </w:rPr>
        <w:t xml:space="preserve">قرارداد تسویه‌شده یا فاقد مانده</w:t>
      </w:r>
      <w:r>
        <w:rPr>
          <w:rFonts w:ascii="Tahoma" w:cs="Tahoma" w:eastAsia="Tahoma" w:hAnsi="Tahoma"/>
          <w:sz w:val="21"/>
          <w:szCs w:val="21"/>
          <w:rtl/>
        </w:rPr>
        <w:t xml:space="preserve">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تعداد آن (۷۲۳,۰۲۵) به رقم قراردادهای دارای مانده‌ی صفر در اسفند ۱۴۰۴ (۷۳۲,۰۴۵ مورد، مبنای</w:t>
      </w:r>
    </w:p>
    <w:p>
      <w:pPr>
        <w:bidi/>
        <w:spacing w:after="160" w:line="312"/>
        <w:jc w:val="left"/>
      </w:pPr>
      <w:r>
        <w:rPr>
          <w:rFonts w:ascii="Tahoma" w:cs="Tahoma" w:eastAsia="Tahoma" w:hAnsi="Tahoma"/>
          <w:sz w:val="21"/>
          <w:szCs w:val="21"/>
          <w:rtl/>
        </w:rPr>
        <w:t xml:space="preserve">ت منهای ت-۰) بسیار نزدیک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جریان ورودی به آن عمدتاً از طبقه‌ی جاری است (۶,۴۷۶ مورد در دوره‌ی اخیر) که با الگوی تسویه‌ی</w:t>
      </w:r>
    </w:p>
    <w:p>
      <w:pPr>
        <w:bidi/>
        <w:spacing w:after="160" w:line="312"/>
        <w:jc w:val="left"/>
      </w:pPr>
      <w:r>
        <w:rPr>
          <w:rFonts w:ascii="Tahoma" w:cs="Tahoma" w:eastAsia="Tahoma" w:hAnsi="Tahoma"/>
          <w:sz w:val="21"/>
          <w:szCs w:val="21"/>
          <w:rtl/>
        </w:rPr>
        <w:t xml:space="preserve">عادی سازگار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جریان خروجی از آن بسیار اندک است (۶۵۵ مورد)، که با ماهیت جذب‌کننده‌ی یک وضعیت پایانی</w:t>
      </w:r>
    </w:p>
    <w:p>
      <w:pPr>
        <w:bidi/>
        <w:spacing w:after="160" w:line="312"/>
        <w:jc w:val="left"/>
      </w:pPr>
      <w:r>
        <w:rPr>
          <w:rFonts w:ascii="Tahoma" w:cs="Tahoma" w:eastAsia="Tahoma" w:hAnsi="Tahoma"/>
          <w:sz w:val="21"/>
          <w:szCs w:val="21"/>
          <w:rtl/>
        </w:rPr>
        <w:t xml:space="preserve">تطابق دارد.</w:t>
      </w:r>
    </w:p>
    <w:p>
      <w:pPr>
        <w:bidi/>
        <w:spacing w:after="160" w:line="312"/>
        <w:jc w:val="left"/>
      </w:pPr>
      <w:r>
        <w:rPr>
          <w:rFonts w:ascii="Tahoma" w:cs="Tahoma" w:eastAsia="Tahoma" w:hAnsi="Tahoma"/>
          <w:sz w:val="21"/>
          <w:szCs w:val="21"/>
          <w:rtl/>
        </w:rPr>
        <w:t xml:space="preserve">این استنباط قطعی نیست و تأیید آن از بانک درخواست شده است. تحلیل‌های این بخش، وضعیت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را از محاسبه‌ی نرخ‌های انتقال کنار گذاشته‌اند تا نتایج مخدوش نشود.</w:t>
      </w:r>
    </w:p>
    <w:p>
      <w:pPr>
        <w:pBdr>
          <w:bottom w:val="single" w:color="BBBBBB" w:sz="6"/>
        </w:pBdr>
        <w:spacing w:after="100" w:before="100"/>
      </w:pPr>
    </w:p>
    <w:p>
      <w:pPr>
        <w:pStyle w:val="Heading2"/>
        <w:keepNext/>
        <w:bidi/>
        <w:spacing w:after="160" w:before="300"/>
        <w:jc w:val="left"/>
      </w:pPr>
      <w:bookmarkStart w:name="_Toc59" w:id="59"/>
      <w:r>
        <w:rPr>
          <w:rFonts w:ascii="Tahoma" w:cs="Tahoma" w:eastAsia="Tahoma" w:hAnsi="Tahoma"/>
          <w:b/>
          <w:bCs/>
          <w:color w:val="1F4E79"/>
          <w:sz w:val="28"/>
          <w:szCs w:val="28"/>
          <w:rtl/>
        </w:rPr>
        <w:t xml:space="preserve">۶.۸ الگوی دیرکرد اقساط</w:t>
      </w:r>
      <w:bookmarkEnd w:id="59"/>
    </w:p>
    <w:p>
      <w:pPr>
        <w:pStyle w:val="Heading3"/>
        <w:keepNext/>
        <w:bidi/>
        <w:spacing w:after="160" w:before="300"/>
        <w:jc w:val="left"/>
      </w:pPr>
      <w:r>
        <w:rPr>
          <w:rFonts w:ascii="Tahoma" w:cs="Tahoma" w:eastAsia="Tahoma" w:hAnsi="Tahoma"/>
          <w:b/>
          <w:bCs/>
          <w:color w:val="1F4E79"/>
          <w:sz w:val="24"/>
          <w:szCs w:val="24"/>
          <w:rtl/>
        </w:rPr>
        <w:t xml:space="preserve">۶.۸.۱ تفکیک اقساط آتی</w:t>
      </w:r>
    </w:p>
    <w:p>
      <w:pPr>
        <w:bidi/>
        <w:spacing w:after="160" w:line="312"/>
        <w:jc w:val="left"/>
      </w:pPr>
      <w:r>
        <w:rPr>
          <w:rFonts w:ascii="Tahoma" w:cs="Tahoma" w:eastAsia="Tahoma" w:hAnsi="Tahoma"/>
          <w:sz w:val="21"/>
          <w:szCs w:val="21"/>
          <w:rtl/>
        </w:rPr>
        <w:t xml:space="preserve">حدود ۱۰.۲ درصد رکوردهای جدول اقساط، </w:t>
      </w:r>
      <w:r>
        <w:rPr>
          <w:rFonts w:ascii="Tahoma" w:cs="Tahoma" w:eastAsia="Tahoma" w:hAnsi="Tahoma"/>
          <w:b/>
          <w:bCs/>
          <w:sz w:val="21"/>
          <w:szCs w:val="21"/>
          <w:rtl/>
        </w:rPr>
        <w:t xml:space="preserve">اقساط برنامه‌ریزی‌شده‌ی آینده</w:t>
      </w:r>
      <w:r>
        <w:rPr>
          <w:rFonts w:ascii="Tahoma" w:cs="Tahoma" w:eastAsia="Tahoma" w:hAnsi="Tahoma"/>
          <w:sz w:val="21"/>
          <w:szCs w:val="21"/>
          <w:rtl/>
        </w:rPr>
        <w:t xml:space="preserve"> هستند و نه رویداد پرداخت. تحلیل حاضر این دسته را تفکیک کرده است.</w:t>
      </w:r>
    </w:p>
    <w:p>
      <w:pPr>
        <w:keepNext/>
        <w:spacing w:after="60" w:before="160"/>
        <w:jc w:val="center"/>
      </w:pPr>
      <w:r>
        <w:drawing>
          <wp:inline distT="0" distB="0" distL="0" distR="0">
            <wp:extent cx="5715000" cy="2286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۶-۹: توزیع دیرکرد پرداخت اقساط</w:t>
      </w:r>
    </w:p>
    <w:p>
      <w:pPr>
        <w:keepNext/>
        <w:bidi/>
        <w:spacing w:after="100" w:before="200"/>
        <w:jc w:val="left"/>
      </w:pPr>
      <w:r>
        <w:rPr>
          <w:rFonts w:ascii="Tahoma" w:cs="Tahoma" w:eastAsia="Tahoma" w:hAnsi="Tahoma"/>
          <w:b/>
          <w:bCs/>
          <w:sz w:val="21"/>
          <w:szCs w:val="21"/>
          <w:rtl/>
        </w:rPr>
        <w:t xml:space="preserve">جدول ۶-۱۳: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83"/>
        <w:gridCol w:w="1841"/>
        <w:gridCol w:w="1841"/>
        <w:gridCol w:w="2585"/>
      </w:tblGrid>
      <w:tr>
        <w:trPr>
          <w:cantSplit/>
          <w:tblHeader/>
        </w:trPr>
        <w:tc>
          <w:tcPr>
            <w:tcW w:type="dxa" w:w="3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18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قسط</w:t>
            </w:r>
          </w:p>
        </w:tc>
        <w:tc>
          <w:tcPr>
            <w:tcW w:type="dxa" w:w="18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w:t>
            </w:r>
          </w:p>
        </w:tc>
        <w:tc>
          <w:tcPr>
            <w:tcW w:type="dxa" w:w="25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اقساط سررسیدشده</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قسط آتی (سررسید نشده)</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۱,۷۴۲,۷۱۰</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پرداخت زودتر یا به‌موقع (تا ۳۰ روز)</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۶,۱۵۴,۱۹۲</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۳۶.۱۵٪</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۴۰.۲۷٪</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تا هفت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۲,۱۸۵,۵۲۷</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۱۲.۸۴٪</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۱۴.۳۰٪</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هشت تا سی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۲,۵۰۲,۹۵۱</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۱۴.۷۰٪</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۱۶.۳۸٪</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سی‌ویک تا نود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۳,۳۹۷,۷۴۰</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۱۹.۹۶٪</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۲۲.۲۳٪</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نود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۱,۰۴۱,۶۶۳</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۶.۱۲٪</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۶.۸.۲ تحلیل</w:t>
      </w:r>
    </w:p>
    <w:p>
      <w:pPr>
        <w:bidi/>
        <w:spacing w:after="160" w:line="312"/>
        <w:jc w:val="left"/>
      </w:pPr>
      <w:r>
        <w:rPr>
          <w:rFonts w:ascii="Tahoma" w:cs="Tahoma" w:eastAsia="Tahoma" w:hAnsi="Tahoma"/>
          <w:b/>
          <w:bCs/>
          <w:sz w:val="21"/>
          <w:szCs w:val="21"/>
          <w:rtl/>
        </w:rPr>
        <w:t xml:space="preserve">تصویر کلی.</w:t>
      </w:r>
      <w:r>
        <w:rPr>
          <w:rFonts w:ascii="Tahoma" w:cs="Tahoma" w:eastAsia="Tahoma" w:hAnsi="Tahoma"/>
          <w:sz w:val="21"/>
          <w:szCs w:val="21"/>
          <w:rtl/>
        </w:rPr>
        <w:t xml:space="preserve"> از میان اقساط سررسیدشده، تنها </w:t>
      </w:r>
      <w:r>
        <w:rPr>
          <w:rFonts w:ascii="Tahoma" w:cs="Tahoma" w:eastAsia="Tahoma" w:hAnsi="Tahoma"/>
          <w:b/>
          <w:bCs/>
          <w:sz w:val="21"/>
          <w:szCs w:val="21"/>
          <w:rtl/>
        </w:rPr>
        <w:t xml:space="preserve">۴۰.۲۷ درصد</w:t>
      </w:r>
      <w:r>
        <w:rPr>
          <w:rFonts w:ascii="Tahoma" w:cs="Tahoma" w:eastAsia="Tahoma" w:hAnsi="Tahoma"/>
          <w:sz w:val="21"/>
          <w:szCs w:val="21"/>
          <w:rtl/>
        </w:rPr>
        <w:t xml:space="preserve"> به‌موقع یا زودتر پرداخت شده‌اند. به بیان دیگر، </w:t>
      </w:r>
      <w:r>
        <w:rPr>
          <w:rFonts w:ascii="Tahoma" w:cs="Tahoma" w:eastAsia="Tahoma" w:hAnsi="Tahoma"/>
          <w:b/>
          <w:bCs/>
          <w:sz w:val="21"/>
          <w:szCs w:val="21"/>
          <w:rtl/>
        </w:rPr>
        <w:t xml:space="preserve">نزدیک به شصت درصد اقساط با تأخیر پرداخت می‌شوند.</w:t>
      </w:r>
    </w:p>
    <w:p>
      <w:pPr>
        <w:bidi/>
        <w:spacing w:after="160" w:line="312"/>
        <w:jc w:val="left"/>
      </w:pPr>
      <w:r>
        <w:rPr>
          <w:rFonts w:ascii="Tahoma" w:cs="Tahoma" w:eastAsia="Tahoma" w:hAnsi="Tahoma"/>
          <w:b/>
          <w:bCs/>
          <w:sz w:val="21"/>
          <w:szCs w:val="21"/>
          <w:rtl/>
        </w:rPr>
        <w:t xml:space="preserve">تفکیک شدت تأخیر.</w:t>
      </w:r>
      <w:r>
        <w:rPr>
          <w:rFonts w:ascii="Tahoma" w:cs="Tahoma" w:eastAsia="Tahoma" w:hAnsi="Tahoma"/>
          <w:sz w:val="21"/>
          <w:szCs w:val="21"/>
          <w:rtl/>
        </w:rPr>
        <w:t xml:space="preserve"> تأخیرهای کوتاه (تا سی روز) روی‌هم ۳۰.۶۸ درصد اقساط سررسیدشده را تشکیل می‌دهند. این دسته معمولاً نشانه‌ی مشکل ساختاری نیست و می‌تواند ناشی از عوامل عملیاتی — مانند عدم تطابق تاریخ سررسید با چرخه‌ی دریافتی وام‌گیرنده — باشد.</w:t>
      </w:r>
    </w:p>
    <w:p>
      <w:pPr>
        <w:bidi/>
        <w:spacing w:after="160" w:line="312"/>
        <w:jc w:val="left"/>
      </w:pPr>
      <w:r>
        <w:rPr>
          <w:rFonts w:ascii="Tahoma" w:cs="Tahoma" w:eastAsia="Tahoma" w:hAnsi="Tahoma"/>
          <w:sz w:val="21"/>
          <w:szCs w:val="21"/>
          <w:rtl/>
        </w:rPr>
        <w:t xml:space="preserve">نگران‌کننده‌تر، دسته‌ی سی‌ویک تا نود روز با </w:t>
      </w:r>
      <w:r>
        <w:rPr>
          <w:rFonts w:ascii="Tahoma" w:cs="Tahoma" w:eastAsia="Tahoma" w:hAnsi="Tahoma"/>
          <w:b/>
          <w:bCs/>
          <w:sz w:val="21"/>
          <w:szCs w:val="21"/>
          <w:rtl/>
        </w:rPr>
        <w:t xml:space="preserve">۲۲.۲۳ درصد</w:t>
      </w:r>
      <w:r>
        <w:rPr>
          <w:rFonts w:ascii="Tahoma" w:cs="Tahoma" w:eastAsia="Tahoma" w:hAnsi="Tahoma"/>
          <w:sz w:val="21"/>
          <w:szCs w:val="21"/>
          <w:rtl/>
        </w:rPr>
        <w:t xml:space="preserve"> است. این سطح از تأخیر معمولاً نشانه‌ی فشار نقدینگی واقعی وام‌گیرنده است و در آستانه‌ی ورود به طبقات غیرجاری قرار دارد. سهم ۶.۸۲ درصدی تأخیرهای بیش از نود روز نیز تقریباً با نسبت مطالبات غیرجاری بخش شناخته‌شده (۵.۲۱ درصد) هم‌خوانی دارد که سازگاری درونی داده را تأیید می‌کند.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ارزیابی:</w:t>
      </w:r>
      <w:r>
        <w:rPr>
          <w:rFonts w:ascii="Tahoma" w:cs="Tahoma" w:eastAsia="Tahoma" w:hAnsi="Tahoma"/>
          <w:i/>
          <w:iCs/>
          <w:sz w:val="20"/>
          <w:szCs w:val="20"/>
          <w:rtl/>
        </w:rPr>
        <w:t xml:space="preserve"> رقم ۲۲.۲۳ درصدی دسته‌ی سی‌ویک تا نود روز، مخزن اصلی مطالبات غیرجاری آینده است. این یافته با سیگنال تسریع نکول در ماتریس انتقال (بخش ۶.۷.۳) کاملاً هم‌جهت است.</w:t>
      </w:r>
    </w:p>
    <w:p>
      <w:pPr>
        <w:pStyle w:val="Heading3"/>
        <w:keepNext/>
        <w:bidi/>
        <w:spacing w:after="160" w:before="300"/>
        <w:jc w:val="left"/>
      </w:pPr>
      <w:r>
        <w:rPr>
          <w:rFonts w:ascii="Tahoma" w:cs="Tahoma" w:eastAsia="Tahoma" w:hAnsi="Tahoma"/>
          <w:b/>
          <w:bCs/>
          <w:color w:val="1F4E79"/>
          <w:sz w:val="24"/>
          <w:szCs w:val="24"/>
          <w:rtl/>
        </w:rPr>
        <w:t xml:space="preserve">۶.۸.۳ دو محدودیت</w:t>
      </w:r>
    </w:p>
    <w:p>
      <w:pPr>
        <w:bidi/>
        <w:spacing w:after="160" w:line="312"/>
        <w:jc w:val="left"/>
      </w:pPr>
      <w:r>
        <w:rPr>
          <w:rFonts w:ascii="Tahoma" w:cs="Tahoma" w:eastAsia="Tahoma" w:hAnsi="Tahoma"/>
          <w:b/>
          <w:bCs/>
          <w:sz w:val="21"/>
          <w:szCs w:val="21"/>
          <w:rtl/>
        </w:rPr>
        <w:t xml:space="preserve">محدودیت نخست.</w:t>
      </w:r>
      <w:r>
        <w:rPr>
          <w:rFonts w:ascii="Tahoma" w:cs="Tahoma" w:eastAsia="Tahoma" w:hAnsi="Tahoma"/>
          <w:sz w:val="21"/>
          <w:szCs w:val="21"/>
          <w:rtl/>
        </w:rPr>
        <w:t xml:space="preserve"> سطل «پرداخت زودتر یا به‌موقع» دو رفتار متفاوت را در خود جمع کرده است: پرداخت پیش از موعد و پرداخت در موعد. تفکیک این دو برای سنجش دقیق انضباط پرداخت مفید است و در فهرست اصلاحات فاز ۲ ثبت شده است.</w:t>
      </w:r>
    </w:p>
    <w:p>
      <w:pPr>
        <w:bidi/>
        <w:spacing w:after="160" w:line="312"/>
        <w:jc w:val="left"/>
      </w:pPr>
      <w:r>
        <w:rPr>
          <w:rFonts w:ascii="Tahoma" w:cs="Tahoma" w:eastAsia="Tahoma" w:hAnsi="Tahoma"/>
          <w:b/>
          <w:bCs/>
          <w:sz w:val="21"/>
          <w:szCs w:val="21"/>
          <w:rtl/>
        </w:rPr>
        <w:t xml:space="preserve">محدودیت دوم.</w:t>
      </w:r>
      <w:r>
        <w:rPr>
          <w:rFonts w:ascii="Tahoma" w:cs="Tahoma" w:eastAsia="Tahoma" w:hAnsi="Tahoma"/>
          <w:sz w:val="21"/>
          <w:szCs w:val="21"/>
          <w:rtl/>
        </w:rPr>
        <w:t xml:space="preserve"> تحلیل مشابه به تفکیک نوع عقد، بر روی نمونه‌ای حدود یک میلیون رکوردی اجرا شده و نه سرشماری کامل. لذا ارقام آن دارای خطای نمونه‌گیری است و در این گزارش درج نشده است.</w:t>
      </w:r>
    </w:p>
    <w:p>
      <w:pPr>
        <w:pBdr>
          <w:bottom w:val="single" w:color="BBBBBB" w:sz="6"/>
        </w:pBdr>
        <w:spacing w:after="100" w:before="100"/>
      </w:pPr>
    </w:p>
    <w:p>
      <w:pPr>
        <w:pStyle w:val="Heading2"/>
        <w:keepNext/>
        <w:bidi/>
        <w:spacing w:after="160" w:before="300"/>
        <w:jc w:val="left"/>
      </w:pPr>
      <w:bookmarkStart w:name="_Toc60" w:id="60"/>
      <w:r>
        <w:rPr>
          <w:rFonts w:ascii="Tahoma" w:cs="Tahoma" w:eastAsia="Tahoma" w:hAnsi="Tahoma"/>
          <w:b/>
          <w:bCs/>
          <w:color w:val="1F4E79"/>
          <w:sz w:val="28"/>
          <w:szCs w:val="28"/>
          <w:rtl/>
        </w:rPr>
        <w:t xml:space="preserve">۶.۹ تمرکز تک‌نامی</w:t>
      </w:r>
      <w:bookmarkEnd w:id="60"/>
    </w:p>
    <w:p>
      <w:pPr>
        <w:pStyle w:val="Heading3"/>
        <w:keepNext/>
        <w:bidi/>
        <w:spacing w:after="160" w:before="300"/>
        <w:jc w:val="left"/>
      </w:pPr>
      <w:r>
        <w:rPr>
          <w:rFonts w:ascii="Tahoma" w:cs="Tahoma" w:eastAsia="Tahoma" w:hAnsi="Tahoma"/>
          <w:b/>
          <w:bCs/>
          <w:color w:val="1F4E79"/>
          <w:sz w:val="24"/>
          <w:szCs w:val="24"/>
          <w:rtl/>
        </w:rPr>
        <w:t xml:space="preserve">۶.۹.۱ اهمیت و روش</w:t>
      </w:r>
    </w:p>
    <w:p>
      <w:pPr>
        <w:bidi/>
        <w:spacing w:after="160" w:line="312"/>
        <w:jc w:val="left"/>
      </w:pPr>
      <w:r>
        <w:rPr>
          <w:rFonts w:ascii="Tahoma" w:cs="Tahoma" w:eastAsia="Tahoma" w:hAnsi="Tahoma"/>
          <w:sz w:val="21"/>
          <w:szCs w:val="21"/>
          <w:rtl/>
        </w:rPr>
        <w:t xml:space="preserve">تمرکز تک‌نامی — یعنی سهم بزرگ‌ترین مشتریان منفرد از پرتفوی — متعارف‌ترین سنجه‌ی ریسک تمرکز در مدیریت ریسک بانکی است. محاسبه بر مبنای </w:t>
      </w:r>
      <w:r>
        <w:rPr>
          <w:rFonts w:ascii="Tahoma" w:cs="Tahoma" w:eastAsia="Tahoma" w:hAnsi="Tahoma"/>
          <w:b/>
          <w:bCs/>
          <w:sz w:val="21"/>
          <w:szCs w:val="21"/>
          <w:rtl/>
        </w:rPr>
        <w:t xml:space="preserve">گیرنده‌ی اصلی رسمی</w:t>
      </w:r>
      <w:r>
        <w:rPr>
          <w:rFonts w:ascii="Tahoma" w:cs="Tahoma" w:eastAsia="Tahoma" w:hAnsi="Tahoma"/>
          <w:sz w:val="21"/>
          <w:szCs w:val="21"/>
          <w:rtl/>
        </w:rPr>
        <w:t xml:space="preserve"> انجام شده و نه تمام طرفین قرارداد، زیرا در سنجش تمرکز، آنچه اهمیت دارد هویت متعهد اصلی است.</w:t>
      </w:r>
    </w:p>
    <w:p>
      <w:pPr>
        <w:keepNext/>
        <w:spacing w:after="60" w:before="160"/>
        <w:jc w:val="center"/>
      </w:pPr>
      <w:r>
        <w:drawing>
          <wp:inline distT="0" distB="0" distL="0" distR="0">
            <wp:extent cx="5715000" cy="5715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715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۶-۱۰: تمرکز تک‌نامی — مانده‌ی بیست مشتری بزرگ تسهیلاتی</w:t>
      </w:r>
    </w:p>
    <w:p>
      <w:pPr>
        <w:keepNext/>
        <w:bidi/>
        <w:spacing w:after="100" w:before="200"/>
        <w:jc w:val="left"/>
      </w:pPr>
      <w:r>
        <w:rPr>
          <w:rFonts w:ascii="Tahoma" w:cs="Tahoma" w:eastAsia="Tahoma" w:hAnsi="Tahoma"/>
          <w:b/>
          <w:bCs/>
          <w:sz w:val="21"/>
          <w:szCs w:val="21"/>
          <w:rtl/>
        </w:rPr>
        <w:t xml:space="preserve">جدول ۶-۱۴: تمرکز تک‌نامی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88"/>
        <w:gridCol w:w="4362"/>
      </w:tblGrid>
      <w:tr>
        <w:trPr>
          <w:cantSplit/>
          <w:tblHeader/>
        </w:trPr>
        <w:tc>
          <w:tcPr>
            <w:tcW w:type="dxa" w:w="4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43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بیست مشتری برتر</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 هزار میلیارد تومان</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کل پرتفوی بانک</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۹.۵۴٪</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پرتفوی قابل‌انتساب</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۱۲.۳۰٪</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بزرگ‌ترین مشتری منفرد</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 هزار میلیارد تومان</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بزرگ‌ترین مشتری از کل پرتفوی</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قرارداد بزرگ‌ترین مشتری</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یک فقره</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بیست مشتری برتر</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۶.۹.۲ تحلیل</w:t>
      </w:r>
    </w:p>
    <w:p>
      <w:pPr>
        <w:bidi/>
        <w:spacing w:after="160" w:line="312"/>
        <w:jc w:val="left"/>
      </w:pPr>
      <w:r>
        <w:rPr>
          <w:rFonts w:ascii="Tahoma" w:cs="Tahoma" w:eastAsia="Tahoma" w:hAnsi="Tahoma"/>
          <w:b/>
          <w:bCs/>
          <w:sz w:val="21"/>
          <w:szCs w:val="21"/>
          <w:rtl/>
        </w:rPr>
        <w:t xml:space="preserve">بزرگ‌ترین مشتری.</w:t>
      </w:r>
      <w:r>
        <w:rPr>
          <w:rFonts w:ascii="Tahoma" w:cs="Tahoma" w:eastAsia="Tahoma" w:hAnsi="Tahoma"/>
          <w:sz w:val="21"/>
          <w:szCs w:val="21"/>
          <w:rtl/>
        </w:rPr>
        <w:t xml:space="preserve"> یک مشتری با </w:t>
      </w:r>
      <w:r>
        <w:rPr>
          <w:rFonts w:ascii="Tahoma" w:cs="Tahoma" w:eastAsia="Tahoma" w:hAnsi="Tahoma"/>
          <w:b/>
          <w:bCs/>
          <w:sz w:val="21"/>
          <w:szCs w:val="21"/>
          <w:rtl/>
        </w:rPr>
        <w:t xml:space="preserve">یک فقره قرارداد</w:t>
      </w:r>
      <w:r>
        <w:rPr>
          <w:rFonts w:ascii="Tahoma" w:cs="Tahoma" w:eastAsia="Tahoma" w:hAnsi="Tahoma"/>
          <w:sz w:val="21"/>
          <w:szCs w:val="21"/>
          <w:rtl/>
        </w:rPr>
        <w:t xml:space="preserve">، معادل </w:t>
      </w:r>
      <w:r>
        <w:rPr>
          <w:rFonts w:ascii="Tahoma" w:cs="Tahoma" w:eastAsia="Tahoma" w:hAnsi="Tahoma"/>
          <w:b/>
          <w:bCs/>
          <w:sz w:val="21"/>
          <w:szCs w:val="21"/>
          <w:rtl/>
        </w:rPr>
        <w:t xml:space="preserve">۴.۳۰ درصد کل پرتفوی تسهیلات بانک</w:t>
      </w:r>
      <w:r>
        <w:rPr>
          <w:rFonts w:ascii="Tahoma" w:cs="Tahoma" w:eastAsia="Tahoma" w:hAnsi="Tahoma"/>
          <w:sz w:val="21"/>
          <w:szCs w:val="21"/>
          <w:rtl/>
        </w:rPr>
        <w:t xml:space="preserve"> را در اختیار دارد. مانده‌ی این قرارداد (۵.۵ هزار میلیارد تومان) از مجموع مانده‌ی نوزده مشتری بعدی (۶.۷ هزار میلیارد تومان) تنها اندکی کمتر است.</w:t>
      </w:r>
    </w:p>
    <w:p>
      <w:pPr>
        <w:bidi/>
        <w:spacing w:after="160" w:line="312"/>
        <w:jc w:val="left"/>
      </w:pPr>
      <w:r>
        <w:rPr>
          <w:rFonts w:ascii="Tahoma" w:cs="Tahoma" w:eastAsia="Tahoma" w:hAnsi="Tahoma"/>
          <w:sz w:val="21"/>
          <w:szCs w:val="21"/>
          <w:rtl/>
        </w:rPr>
        <w:t xml:space="preserve">برای درک مقیاس، این رقم را می‌توان با ارقام دیگر گزارش سنجید: مانده‌ی این یک قرارداد بیش از کل مانده‌ی بخش صنایع تبدیلی کشاورزی (۱۵.۳) و نزدیک به کل مانده‌ی بخش اعتبارات اسنادی (۵۴.۰) است.</w:t>
      </w:r>
    </w:p>
    <w:p>
      <w:pPr>
        <w:bidi/>
        <w:spacing w:after="160" w:line="312"/>
        <w:jc w:val="left"/>
      </w:pPr>
      <w:r>
        <w:rPr>
          <w:rFonts w:ascii="Tahoma" w:cs="Tahoma" w:eastAsia="Tahoma" w:hAnsi="Tahoma"/>
          <w:b/>
          <w:bCs/>
          <w:sz w:val="21"/>
          <w:szCs w:val="21"/>
          <w:rtl/>
        </w:rPr>
        <w:t xml:space="preserve">وضعیت فعلی مطلوب اما نامتقارن.</w:t>
      </w:r>
      <w:r>
        <w:rPr>
          <w:rFonts w:ascii="Tahoma" w:cs="Tahoma" w:eastAsia="Tahoma" w:hAnsi="Tahoma"/>
          <w:sz w:val="21"/>
          <w:szCs w:val="21"/>
          <w:rtl/>
        </w:rPr>
        <w:t xml:space="preserve"> نسبت غیرجاری بیست مشتری برتر تنها ۳.۵۱ درصد است؛ یعنی پایین‌تر از میانگین بخش شناخته‌شده (۵.۲۱ درصد). از میان بیست مشتری، تنها سه مورد مطالبات غیرجاری دارند و بزرگ‌ترین مشتری کاملاً جاری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ارزیابی:</w:t>
      </w:r>
      <w:r>
        <w:rPr>
          <w:rFonts w:ascii="Tahoma" w:cs="Tahoma" w:eastAsia="Tahoma" w:hAnsi="Tahoma"/>
          <w:i/>
          <w:iCs/>
          <w:sz w:val="20"/>
          <w:szCs w:val="20"/>
          <w:rtl/>
        </w:rPr>
        <w:t xml:space="preserve"> این وضعیت را نباید اطمینان‌بخش تلقی کرد. ماهیت ریسک تمرکز آن است که </w:t>
      </w:r>
      <w:r>
        <w:rPr>
          <w:rFonts w:ascii="Tahoma" w:cs="Tahoma" w:eastAsia="Tahoma" w:hAnsi="Tahoma"/>
          <w:b/>
          <w:bCs/>
          <w:i/>
          <w:iCs/>
          <w:sz w:val="20"/>
          <w:szCs w:val="20"/>
          <w:rtl/>
        </w:rPr>
        <w:t xml:space="preserve">نامتقارن</w:t>
      </w:r>
      <w:r>
        <w:rPr>
          <w:rFonts w:ascii="Tahoma" w:cs="Tahoma" w:eastAsia="Tahoma" w:hAnsi="Tahoma"/>
          <w:i/>
          <w:iCs/>
          <w:sz w:val="20"/>
          <w:szCs w:val="20"/>
          <w:rtl/>
        </w:rPr>
        <w:t xml:space="preserve"> است: تا زمانی که مشتری بزرگ عملکرد مناسبی دارد، هیچ اثری در نسبت‌ها دیده نمی‌شود؛ اما نکول همان یک مشتری به‌تنهایی نسبت مطالبات غیرجاری بانک را از ۸.۷۶ به حدود </w:t>
      </w:r>
      <w:r>
        <w:rPr>
          <w:rFonts w:ascii="Tahoma" w:cs="Tahoma" w:eastAsia="Tahoma" w:hAnsi="Tahoma"/>
          <w:b/>
          <w:bCs/>
          <w:i/>
          <w:iCs/>
          <w:sz w:val="20"/>
          <w:szCs w:val="20"/>
          <w:rtl/>
        </w:rPr>
        <w:t xml:space="preserve">۱۳.۰۶ درصد</w:t>
      </w:r>
      <w:r>
        <w:rPr>
          <w:rFonts w:ascii="Tahoma" w:cs="Tahoma" w:eastAsia="Tahoma" w:hAnsi="Tahoma"/>
          <w:i/>
          <w:iCs/>
          <w:sz w:val="20"/>
          <w:szCs w:val="20"/>
          <w:rtl/>
        </w:rPr>
        <w:t xml:space="preserve"> می‌رساند. به بیان دیگر، بانک در معرض ریسکی قرار دارد که در هیچ‌یک از شاخص‌های جاری‌اش منعکس نمی‌شود.</w:t>
      </w:r>
    </w:p>
    <w:p>
      <w:pPr>
        <w:bidi/>
        <w:spacing w:after="160" w:line="312"/>
        <w:jc w:val="left"/>
      </w:pPr>
      <w:r>
        <w:rPr>
          <w:rFonts w:ascii="Tahoma" w:cs="Tahoma" w:eastAsia="Tahoma" w:hAnsi="Tahoma"/>
          <w:b/>
          <w:bCs/>
          <w:sz w:val="21"/>
          <w:szCs w:val="21"/>
          <w:rtl/>
        </w:rPr>
        <w:t xml:space="preserve">پیوند با یافته‌ی اندازه.</w:t>
      </w:r>
      <w:r>
        <w:rPr>
          <w:rFonts w:ascii="Tahoma" w:cs="Tahoma" w:eastAsia="Tahoma" w:hAnsi="Tahoma"/>
          <w:sz w:val="21"/>
          <w:szCs w:val="21"/>
          <w:rtl/>
        </w:rPr>
        <w:t xml:space="preserve"> این نتیجه با جدول ۶-۸ کاملاً سازگار است. در آنجا نشان داده شد ۲,۲۹۵ قرارداد بزرگ، دوسوم مطالبات غیرجاری بخش شناخته‌شده را تولید می‌کنند. بیست مشتری این بخش، نوک همان توزیع‌اند.</w:t>
      </w:r>
    </w:p>
    <w:p>
      <w:pPr>
        <w:pStyle w:val="Heading3"/>
        <w:keepNext/>
        <w:bidi/>
        <w:spacing w:after="160" w:before="300"/>
        <w:jc w:val="left"/>
      </w:pPr>
      <w:r>
        <w:rPr>
          <w:rFonts w:ascii="Tahoma" w:cs="Tahoma" w:eastAsia="Tahoma" w:hAnsi="Tahoma"/>
          <w:b/>
          <w:bCs/>
          <w:color w:val="1F4E79"/>
          <w:sz w:val="24"/>
          <w:szCs w:val="24"/>
          <w:rtl/>
        </w:rPr>
        <w:t xml:space="preserve">۶.۹.۳ محدودیت اساسی</w:t>
      </w:r>
    </w:p>
    <w:p>
      <w:pPr>
        <w:bidi/>
        <w:spacing w:after="160" w:line="312"/>
        <w:jc w:val="left"/>
      </w:pPr>
      <w:r>
        <w:rPr>
          <w:rFonts w:ascii="Tahoma" w:cs="Tahoma" w:eastAsia="Tahoma" w:hAnsi="Tahoma"/>
          <w:sz w:val="21"/>
          <w:szCs w:val="21"/>
          <w:rtl/>
        </w:rPr>
        <w:t xml:space="preserve">ارقام این بخش بر مبنای الف-۱ محاسبه شده‌اند. </w:t>
      </w:r>
      <w:r>
        <w:rPr>
          <w:rFonts w:ascii="Tahoma" w:cs="Tahoma" w:eastAsia="Tahoma" w:hAnsi="Tahoma"/>
          <w:b/>
          <w:bCs/>
          <w:sz w:val="21"/>
          <w:szCs w:val="21"/>
          <w:rtl/>
        </w:rPr>
        <w:t xml:space="preserve">۲۲.۴۰ درصد پرتفوی که رکورد قرارداد ندارد، به هیچ مشتری قابل انتساب نیست و لذا در این تحلیل غایب است.</w:t>
      </w:r>
    </w:p>
    <w:p>
      <w:pPr>
        <w:bidi/>
        <w:spacing w:after="160" w:line="312"/>
        <w:jc w:val="left"/>
      </w:pPr>
      <w:r>
        <w:rPr>
          <w:rFonts w:ascii="Tahoma" w:cs="Tahoma" w:eastAsia="Tahoma" w:hAnsi="Tahoma"/>
          <w:sz w:val="21"/>
          <w:szCs w:val="21"/>
          <w:rtl/>
        </w:rPr>
        <w:t xml:space="preserve">پیامد این محدودیت یک‌طرفه است: چنانچه مشتریان بزرگ در بخش فاقد اطلاعات نیز حضور داشته باشند — که با توجه به نسبت غیرجاری ۲۱.۰۴ درصدی آن بخش محتمل است — تمرکز واقعی </w:t>
      </w:r>
      <w:r>
        <w:rPr>
          <w:rFonts w:ascii="Tahoma" w:cs="Tahoma" w:eastAsia="Tahoma" w:hAnsi="Tahoma"/>
          <w:b/>
          <w:bCs/>
          <w:sz w:val="21"/>
          <w:szCs w:val="21"/>
          <w:rtl/>
        </w:rPr>
        <w:t xml:space="preserve">بیش از</w:t>
      </w:r>
      <w:r>
        <w:rPr>
          <w:rFonts w:ascii="Tahoma" w:cs="Tahoma" w:eastAsia="Tahoma" w:hAnsi="Tahoma"/>
          <w:sz w:val="21"/>
          <w:szCs w:val="21"/>
          <w:rtl/>
        </w:rPr>
        <w:t xml:space="preserve"> ارقام جدول ۶-۱۴ خواهد بود.</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بنابراین ارقام این بخش یک </w:t>
      </w:r>
      <w:r>
        <w:rPr>
          <w:rFonts w:ascii="Tahoma" w:cs="Tahoma" w:eastAsia="Tahoma" w:hAnsi="Tahoma"/>
          <w:b/>
          <w:bCs/>
          <w:i/>
          <w:iCs/>
          <w:sz w:val="20"/>
          <w:szCs w:val="20"/>
          <w:rtl/>
        </w:rPr>
        <w:t xml:space="preserve">کف محافظه‌کارانه</w:t>
      </w:r>
      <w:r>
        <w:rPr>
          <w:rFonts w:ascii="Tahoma" w:cs="Tahoma" w:eastAsia="Tahoma" w:hAnsi="Tahoma"/>
          <w:i/>
          <w:iCs/>
          <w:sz w:val="20"/>
          <w:szCs w:val="20"/>
          <w:rtl/>
        </w:rPr>
        <w:t xml:space="preserve"> است و نه برآورد کامل تمرکز.</w:t>
      </w:r>
    </w:p>
    <w:p>
      <w:pPr>
        <w:pStyle w:val="Heading3"/>
        <w:keepNext/>
        <w:bidi/>
        <w:spacing w:after="160" w:before="300"/>
        <w:jc w:val="left"/>
      </w:pPr>
      <w:r>
        <w:rPr>
          <w:rFonts w:ascii="Tahoma" w:cs="Tahoma" w:eastAsia="Tahoma" w:hAnsi="Tahoma"/>
          <w:b/>
          <w:bCs/>
          <w:color w:val="1F4E79"/>
          <w:sz w:val="24"/>
          <w:szCs w:val="24"/>
          <w:rtl/>
        </w:rPr>
        <w:t xml:space="preserve">۶.۹.۴ ملاحظه‌ی محرمانگی</w:t>
      </w:r>
    </w:p>
    <w:p>
      <w:pPr>
        <w:bidi/>
        <w:spacing w:after="160" w:line="312"/>
        <w:jc w:val="left"/>
      </w:pPr>
      <w:r>
        <w:rPr>
          <w:rFonts w:ascii="Tahoma" w:cs="Tahoma" w:eastAsia="Tahoma" w:hAnsi="Tahoma"/>
          <w:sz w:val="21"/>
          <w:szCs w:val="21"/>
          <w:rtl/>
        </w:rPr>
        <w:t xml:space="preserve">شناسه‌ی مشتریان در متن این گزارش درج نشده است. فهرست کامل بیست مشتری برتر به‌همراه شناسه، تعداد قرارداد، مانده و وضعیت طبقه‌بندی هر یک، در </w:t>
      </w:r>
      <w:r>
        <w:rPr>
          <w:rFonts w:ascii="Tahoma" w:cs="Tahoma" w:eastAsia="Tahoma" w:hAnsi="Tahoma"/>
          <w:b/>
          <w:bCs/>
          <w:sz w:val="21"/>
          <w:szCs w:val="21"/>
          <w:rtl/>
        </w:rPr>
        <w:t xml:space="preserve">پیوست ج</w:t>
      </w:r>
      <w:r>
        <w:rPr>
          <w:rFonts w:ascii="Tahoma" w:cs="Tahoma" w:eastAsia="Tahoma" w:hAnsi="Tahoma"/>
          <w:sz w:val="21"/>
          <w:szCs w:val="21"/>
          <w:rtl/>
        </w:rPr>
        <w:t xml:space="preserve"> و صرفاً جهت استفاده‌ی کمیته‌ی ریسک بانک ارائه شده است.</w:t>
      </w:r>
    </w:p>
    <w:p>
      <w:pPr>
        <w:pBdr>
          <w:bottom w:val="single" w:color="BBBBBB" w:sz="6"/>
        </w:pBdr>
        <w:spacing w:after="100" w:before="100"/>
      </w:pPr>
    </w:p>
    <w:p>
      <w:pPr>
        <w:pStyle w:val="Heading2"/>
        <w:keepNext/>
        <w:bidi/>
        <w:spacing w:after="160" w:before="300"/>
        <w:jc w:val="left"/>
      </w:pPr>
      <w:bookmarkStart w:name="_Toc61" w:id="61"/>
      <w:r>
        <w:rPr>
          <w:rFonts w:ascii="Tahoma" w:cs="Tahoma" w:eastAsia="Tahoma" w:hAnsi="Tahoma"/>
          <w:b/>
          <w:bCs/>
          <w:color w:val="1F4E79"/>
          <w:sz w:val="28"/>
          <w:szCs w:val="28"/>
          <w:rtl/>
        </w:rPr>
        <w:t xml:space="preserve">۶.۱۰ نیمرخ تمرکز و جمع‌بندی ریسک</w:t>
      </w:r>
      <w:bookmarkEnd w:id="61"/>
    </w:p>
    <w:p>
      <w:pPr>
        <w:pStyle w:val="Heading3"/>
        <w:keepNext/>
        <w:bidi/>
        <w:spacing w:after="160" w:before="300"/>
        <w:jc w:val="left"/>
      </w:pPr>
      <w:r>
        <w:rPr>
          <w:rFonts w:ascii="Tahoma" w:cs="Tahoma" w:eastAsia="Tahoma" w:hAnsi="Tahoma"/>
          <w:b/>
          <w:bCs/>
          <w:color w:val="1F4E79"/>
          <w:sz w:val="24"/>
          <w:szCs w:val="24"/>
          <w:rtl/>
        </w:rPr>
        <w:t xml:space="preserve">۶.۱۰.۱ مقایسه‌ی تمرکز در دو سمت ترازنامه</w:t>
      </w:r>
    </w:p>
    <w:p>
      <w:pPr>
        <w:keepNext/>
        <w:bidi/>
        <w:spacing w:after="100" w:before="200"/>
        <w:jc w:val="left"/>
      </w:pPr>
      <w:r>
        <w:rPr>
          <w:rFonts w:ascii="Tahoma" w:cs="Tahoma" w:eastAsia="Tahoma" w:hAnsi="Tahoma"/>
          <w:b/>
          <w:bCs/>
          <w:sz w:val="21"/>
          <w:szCs w:val="21"/>
          <w:rtl/>
        </w:rPr>
        <w:t xml:space="preserve">جدول ۶-۱۵: تمرکز در سمت منابع و مصارف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96"/>
        <w:gridCol w:w="2890"/>
        <w:gridCol w:w="3964"/>
      </w:tblGrid>
      <w:tr>
        <w:trPr>
          <w:cantSplit/>
          <w:tblHeader/>
        </w:trPr>
        <w:tc>
          <w:tcPr>
            <w:tcW w:type="dxa" w:w="24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w:t>
            </w:r>
          </w:p>
        </w:tc>
        <w:tc>
          <w:tcPr>
            <w:tcW w:type="dxa" w:w="28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سپرده</w:t>
            </w:r>
          </w:p>
        </w:tc>
        <w:tc>
          <w:tcPr>
            <w:tcW w:type="dxa" w:w="39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 (تمام طرفین)</w:t>
            </w:r>
          </w:p>
        </w:tc>
      </w:tr>
      <w:tr>
        <w:trPr>
          <w:cantSplit/>
        </w:trPr>
        <w:tc>
          <w:tcPr>
            <w:tcW w:type="dxa" w:w="2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9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۵۳.۲٪</w:t>
            </w:r>
          </w:p>
        </w:tc>
      </w:tr>
      <w:tr>
        <w:trPr>
          <w:cantSplit/>
        </w:trPr>
        <w:tc>
          <w:tcPr>
            <w:tcW w:type="dxa" w:w="2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w:t>
            </w:r>
          </w:p>
        </w:tc>
        <w:tc>
          <w:tcPr>
            <w:tcW w:type="dxa" w:w="39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۸۰.۶٪</w:t>
            </w:r>
          </w:p>
        </w:tc>
      </w:tr>
    </w:tbl>
    <w:p>
      <w:pPr>
        <w:spacing w:after="200"/>
      </w:pPr>
    </w:p>
    <w:p>
      <w:pPr>
        <w:bidi/>
        <w:spacing w:after="160" w:line="312"/>
        <w:jc w:val="left"/>
      </w:pPr>
      <w:r>
        <w:rPr>
          <w:rFonts w:ascii="Tahoma" w:cs="Tahoma" w:eastAsia="Tahoma" w:hAnsi="Tahoma"/>
          <w:sz w:val="21"/>
          <w:szCs w:val="21"/>
          <w:rtl/>
        </w:rPr>
        <w:t xml:space="preserve">چنان‌که در بخش ۴.۴.۲ تصریح شد، ستون دوم بر مبنای تمام طرفین محاسبه شده و لذا تمرکز واقعی تسهیلات را کمتر از واقع نشان می‌دهد. مقایسه‌ی دقیق‌تر مستلزم محاسبه‌ی هر دو ستون بر مبنای یکسان است که در فهرست کارهای فاز ۲ ثبت شده است.</w:t>
      </w:r>
    </w:p>
    <w:p>
      <w:pPr>
        <w:pStyle w:val="Heading3"/>
        <w:keepNext/>
        <w:bidi/>
        <w:spacing w:after="160" w:before="300"/>
        <w:jc w:val="left"/>
      </w:pPr>
      <w:r>
        <w:rPr>
          <w:rFonts w:ascii="Tahoma" w:cs="Tahoma" w:eastAsia="Tahoma" w:hAnsi="Tahoma"/>
          <w:b/>
          <w:bCs/>
          <w:color w:val="1F4E79"/>
          <w:sz w:val="24"/>
          <w:szCs w:val="24"/>
          <w:rtl/>
        </w:rPr>
        <w:t xml:space="preserve">۶.۱۰.۲ نیمرخ ریسک بانک</w:t>
      </w:r>
    </w:p>
    <w:p>
      <w:pPr>
        <w:bidi/>
        <w:spacing w:after="160" w:line="312"/>
        <w:jc w:val="left"/>
      </w:pPr>
      <w:r>
        <w:rPr>
          <w:rFonts w:ascii="Tahoma" w:cs="Tahoma" w:eastAsia="Tahoma" w:hAnsi="Tahoma"/>
          <w:sz w:val="21"/>
          <w:szCs w:val="21"/>
          <w:rtl/>
        </w:rPr>
        <w:t xml:space="preserve">جمع‌بندی یافته‌های این فصل، چهار کانون ریسک متمایز را مشخص می‌کند:</w:t>
      </w:r>
    </w:p>
    <w:p>
      <w:pPr>
        <w:keepNext/>
        <w:bidi/>
        <w:spacing w:after="100" w:before="200"/>
        <w:jc w:val="left"/>
      </w:pPr>
      <w:r>
        <w:rPr>
          <w:rFonts w:ascii="Tahoma" w:cs="Tahoma" w:eastAsia="Tahoma" w:hAnsi="Tahoma"/>
          <w:b/>
          <w:bCs/>
          <w:sz w:val="21"/>
          <w:szCs w:val="21"/>
          <w:rtl/>
        </w:rPr>
        <w:t xml:space="preserve">جدول ۶-۱۶: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99"/>
        <w:gridCol w:w="2391"/>
        <w:gridCol w:w="2804"/>
        <w:gridCol w:w="1456"/>
      </w:tblGrid>
      <w:tr>
        <w:trPr>
          <w:cantSplit/>
          <w:tblHeader/>
        </w:trPr>
        <w:tc>
          <w:tcPr>
            <w:tcW w:type="dxa" w:w="26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کانون</w:t>
            </w:r>
          </w:p>
        </w:tc>
        <w:tc>
          <w:tcPr>
            <w:tcW w:type="dxa" w:w="2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در معرض</w:t>
            </w:r>
          </w:p>
        </w:tc>
        <w:tc>
          <w:tcPr>
            <w:tcW w:type="dxa" w:w="2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 کلیدی</w:t>
            </w:r>
          </w:p>
        </w:tc>
        <w:tc>
          <w:tcPr>
            <w:tcW w:type="dxa" w:w="1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۸۴.۰۱٪ غیرجاری، ۸۷٪ غیرقابل‌انتساب</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بحرانی</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نسل ۱۴۰۴</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نسل، هنوز نابالغ</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تمرکز تک‌نامی</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مشتری با ۴.۳۰٪ پرتفوی</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وام‌های بزرگ (بیش از ۵ میلیارد)</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 غیرجاری، ۶۸.۳٪ غیرجاری بخش شناخته‌شده</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w:t>
            </w:r>
          </w:p>
        </w:tc>
      </w:tr>
    </w:tbl>
    <w:p>
      <w:pPr>
        <w:spacing w:after="200"/>
      </w:pPr>
    </w:p>
    <w:p>
      <w:pPr>
        <w:pBdr>
          <w:bottom w:val="single" w:color="BBBBBB" w:sz="6"/>
        </w:pBdr>
        <w:spacing w:after="100" w:before="100"/>
      </w:pPr>
    </w:p>
    <w:p>
      <w:pPr>
        <w:pStyle w:val="Heading2"/>
        <w:keepNext/>
        <w:bidi/>
        <w:spacing w:after="160" w:before="300"/>
        <w:jc w:val="left"/>
      </w:pPr>
      <w:bookmarkStart w:name="_Toc62" w:id="62"/>
      <w:r>
        <w:rPr>
          <w:rFonts w:ascii="Tahoma" w:cs="Tahoma" w:eastAsia="Tahoma" w:hAnsi="Tahoma"/>
          <w:b/>
          <w:bCs/>
          <w:color w:val="1F4E79"/>
          <w:sz w:val="28"/>
          <w:szCs w:val="28"/>
          <w:rtl/>
        </w:rPr>
        <w:t xml:space="preserve">۶.۱۱ جمع‌بندی فصل</w:t>
      </w:r>
      <w:bookmarkEnd w:id="62"/>
    </w:p>
    <w:p>
      <w:pPr>
        <w:pStyle w:val="Heading3"/>
        <w:keepNext/>
        <w:bidi/>
        <w:spacing w:after="160" w:before="300"/>
        <w:jc w:val="left"/>
      </w:pPr>
      <w:r>
        <w:rPr>
          <w:rFonts w:ascii="Tahoma" w:cs="Tahoma" w:eastAsia="Tahoma" w:hAnsi="Tahoma"/>
          <w:b/>
          <w:bCs/>
          <w:color w:val="1F4E79"/>
          <w:sz w:val="24"/>
          <w:szCs w:val="24"/>
          <w:rtl/>
        </w:rPr>
        <w:t xml:space="preserve">۶.۱۱.۱ وضعیت کنونی</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نسبت مطالبات غیرجاری در اسفند ۱۴۰۴ برابر </w:t>
      </w:r>
      <w:r>
        <w:rPr>
          <w:rFonts w:ascii="Tahoma" w:cs="Tahoma" w:eastAsia="Tahoma" w:hAnsi="Tahoma"/>
          <w:b/>
          <w:bCs/>
          <w:sz w:val="21"/>
          <w:szCs w:val="21"/>
          <w:rtl/>
        </w:rPr>
        <w:t xml:space="preserve">۸.۷۶ درصد</w:t>
      </w:r>
      <w:r>
        <w:rPr>
          <w:rFonts w:ascii="Tahoma" w:cs="Tahoma" w:eastAsia="Tahoma" w:hAnsi="Tahoma"/>
          <w:sz w:val="21"/>
          <w:szCs w:val="21"/>
          <w:rtl/>
        </w:rPr>
        <w:t xml:space="preserve"> است، اما این رقم یک میانگین</w:t>
      </w:r>
    </w:p>
    <w:p>
      <w:pPr>
        <w:bidi/>
        <w:spacing w:after="160" w:line="312"/>
        <w:jc w:val="left"/>
      </w:pPr>
      <w:r>
        <w:rPr>
          <w:rFonts w:ascii="Tahoma" w:cs="Tahoma" w:eastAsia="Tahoma" w:hAnsi="Tahoma"/>
          <w:sz w:val="21"/>
          <w:szCs w:val="21"/>
          <w:rtl/>
        </w:rPr>
        <w:t xml:space="preserve">گمراه‌کننده از سه پرتفوی متمایز است: بخش اصلی با ۴.۵۹ درصد، بخش فاقد اطلاعات با ۸.۹۹ درصد، و اعتبارات اسنادی با ۸۴.۰۱ درصد.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وخامت کیفیت دارایی پدیده‌ای </w:t>
      </w:r>
      <w:r>
        <w:rPr>
          <w:rFonts w:ascii="Tahoma" w:cs="Tahoma" w:eastAsia="Tahoma" w:hAnsi="Tahoma"/>
          <w:b/>
          <w:bCs/>
          <w:sz w:val="21"/>
          <w:szCs w:val="21"/>
          <w:rtl/>
        </w:rPr>
        <w:t xml:space="preserve">تازه</w:t>
      </w:r>
      <w:r>
        <w:rPr>
          <w:rFonts w:ascii="Tahoma" w:cs="Tahoma" w:eastAsia="Tahoma" w:hAnsi="Tahoma"/>
          <w:sz w:val="21"/>
          <w:szCs w:val="21"/>
          <w:rtl/>
        </w:rPr>
        <w:t xml:space="preserve"> است: نسبت غیرجاری تا اسفند ۱۴۰۲ در حال بهبود بود</w:t>
      </w:r>
    </w:p>
    <w:p>
      <w:pPr>
        <w:bidi/>
        <w:spacing w:after="160" w:line="312"/>
        <w:jc w:val="left"/>
      </w:pPr>
      <w:r>
        <w:rPr>
          <w:rFonts w:ascii="Tahoma" w:cs="Tahoma" w:eastAsia="Tahoma" w:hAnsi="Tahoma"/>
          <w:sz w:val="21"/>
          <w:szCs w:val="21"/>
          <w:rtl/>
        </w:rPr>
        <w:t xml:space="preserve">(۲.۸۴ درصد) و سپس در دو سال به بیش از سه برابر رسید.</w:t>
      </w:r>
    </w:p>
    <w:p>
      <w:pPr>
        <w:pStyle w:val="Heading3"/>
        <w:keepNext/>
        <w:bidi/>
        <w:spacing w:after="160" w:before="300"/>
        <w:jc w:val="left"/>
      </w:pPr>
      <w:r>
        <w:rPr>
          <w:rFonts w:ascii="Tahoma" w:cs="Tahoma" w:eastAsia="Tahoma" w:hAnsi="Tahoma"/>
          <w:b/>
          <w:bCs/>
          <w:color w:val="1F4E79"/>
          <w:sz w:val="24"/>
          <w:szCs w:val="24"/>
          <w:rtl/>
        </w:rPr>
        <w:t xml:space="preserve">۶.۱۱.۲ منابع ریسک</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اعتبارات اسنادی</w:t>
      </w:r>
      <w:r>
        <w:rPr>
          <w:rFonts w:ascii="Tahoma" w:cs="Tahoma" w:eastAsia="Tahoma" w:hAnsi="Tahoma"/>
          <w:sz w:val="21"/>
          <w:szCs w:val="21"/>
          <w:rtl/>
        </w:rPr>
        <w:t xml:space="preserve"> حادترین کانون است: ۴.۲۲ درصد پرتفوی، ۴۰.۴۴ درصد مطالبات غیرجاری، رشد</w:t>
      </w:r>
    </w:p>
    <w:p>
      <w:pPr>
        <w:bidi/>
        <w:spacing w:after="160" w:line="312"/>
        <w:jc w:val="left"/>
      </w:pPr>
      <w:r>
        <w:rPr>
          <w:rFonts w:ascii="Tahoma" w:cs="Tahoma" w:eastAsia="Tahoma" w:hAnsi="Tahoma"/>
          <w:sz w:val="21"/>
          <w:szCs w:val="21"/>
          <w:rtl/>
        </w:rPr>
        <w:t xml:space="preserve">۱۲.۵ برابری مانده، و پایین‌ترین پوشش وثیقه.</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با این حال، **بیش از نیمی از افزایش مطالبات غیرجاری به‌صورت مطلق از خارج اعتبارات اسنادی</w:t>
      </w:r>
    </w:p>
    <w:p>
      <w:pPr>
        <w:bidi/>
        <w:spacing w:after="160" w:line="312"/>
        <w:jc w:val="left"/>
      </w:pPr>
      <w:r>
        <w:rPr>
          <w:rFonts w:ascii="Tahoma" w:cs="Tahoma" w:eastAsia="Tahoma" w:hAnsi="Tahoma"/>
          <w:sz w:val="21"/>
          <w:szCs w:val="21"/>
          <w:rtl/>
        </w:rPr>
        <w:t xml:space="preserve">آمده است**. نسبت غیرجاری سایر پرتفوی نیز در سال ۱۴۰۴ دو برابر شده (۲.۶ به ۵.۴ درصد).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رابطه‌ی اندازه و ریسک یکنواخت و صعودی است: **۲,۲۹۵ قرارداد بزرگ، ۶۸.۳ درصد مطالبات غیرجاری</w:t>
      </w:r>
    </w:p>
    <w:p>
      <w:pPr>
        <w:bidi/>
        <w:spacing w:after="160" w:line="312"/>
        <w:jc w:val="left"/>
      </w:pPr>
      <w:r>
        <w:rPr>
          <w:rFonts w:ascii="Tahoma" w:cs="Tahoma" w:eastAsia="Tahoma" w:hAnsi="Tahoma"/>
          <w:sz w:val="21"/>
          <w:szCs w:val="21"/>
          <w:rtl/>
        </w:rPr>
        <w:t xml:space="preserve">بخش شناخته‌شده** را تولید می‌کنند. در مقابل، تسهیلات خرد بهترین کیفیت را دارند (۰.۶ درصد).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نسل ۱۴۰۳</w:t>
      </w:r>
      <w:r>
        <w:rPr>
          <w:rFonts w:ascii="Tahoma" w:cs="Tahoma" w:eastAsia="Tahoma" w:hAnsi="Tahoma"/>
          <w:sz w:val="21"/>
          <w:szCs w:val="21"/>
          <w:rtl/>
        </w:rPr>
        <w:t xml:space="preserve"> بدترین نسل اعطاست (۱۳.۰۵ درصد) و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w:t>
      </w:r>
    </w:p>
    <w:p>
      <w:pPr>
        <w:bidi/>
        <w:spacing w:after="160" w:line="312"/>
        <w:jc w:val="left"/>
      </w:pPr>
      <w:r>
        <w:rPr>
          <w:rFonts w:ascii="Tahoma" w:cs="Tahoma" w:eastAsia="Tahoma" w:hAnsi="Tahoma"/>
          <w:sz w:val="21"/>
          <w:szCs w:val="21"/>
          <w:rtl/>
        </w:rPr>
        <w:t xml:space="preserve">بزرگ‌ترین نسل تاریخ بانک و هنوز نابالغ است.</w:t>
      </w:r>
    </w:p>
    <w:p>
      <w:pPr>
        <w:pStyle w:val="Heading3"/>
        <w:keepNext/>
        <w:bidi/>
        <w:spacing w:after="160" w:before="300"/>
        <w:jc w:val="left"/>
      </w:pPr>
      <w:r>
        <w:rPr>
          <w:rFonts w:ascii="Tahoma" w:cs="Tahoma" w:eastAsia="Tahoma" w:hAnsi="Tahoma"/>
          <w:b/>
          <w:bCs/>
          <w:color w:val="1F4E79"/>
          <w:sz w:val="24"/>
          <w:szCs w:val="24"/>
          <w:rtl/>
        </w:rPr>
        <w:t xml:space="preserve">۶.۱۱.۳ سیگنال‌های پیش‌نگر</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نرخ مهاجرت از جاری به سررسیدگذشته </w:t>
      </w:r>
      <w:r>
        <w:rPr>
          <w:rFonts w:ascii="Tahoma" w:cs="Tahoma" w:eastAsia="Tahoma" w:hAnsi="Tahoma"/>
          <w:b/>
          <w:bCs/>
          <w:sz w:val="21"/>
          <w:szCs w:val="21"/>
          <w:rtl/>
        </w:rPr>
        <w:t xml:space="preserve">۷۰ درصد افزایش نسبی</w:t>
      </w:r>
      <w:r>
        <w:rPr>
          <w:rFonts w:ascii="Tahoma" w:cs="Tahoma" w:eastAsia="Tahoma" w:hAnsi="Tahoma"/>
          <w:sz w:val="21"/>
          <w:szCs w:val="21"/>
          <w:rtl/>
        </w:rPr>
        <w:t xml:space="preserve"> داشته (۲.۵۲ به ۴.۳۰ درصد).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نرخ بازیافت از سررسیدگذشته به جاری </w:t>
      </w:r>
      <w:r>
        <w:rPr>
          <w:rFonts w:ascii="Tahoma" w:cs="Tahoma" w:eastAsia="Tahoma" w:hAnsi="Tahoma"/>
          <w:b/>
          <w:bCs/>
          <w:sz w:val="21"/>
          <w:szCs w:val="21"/>
          <w:rtl/>
        </w:rPr>
        <w:t xml:space="preserve">۳۸ درصد کاهش نسبی</w:t>
      </w:r>
      <w:r>
        <w:rPr>
          <w:rFonts w:ascii="Tahoma" w:cs="Tahoma" w:eastAsia="Tahoma" w:hAnsi="Tahoma"/>
          <w:sz w:val="21"/>
          <w:szCs w:val="21"/>
          <w:rtl/>
        </w:rPr>
        <w:t xml:space="preserve"> داشته (۳۷.۴۴ به ۲۳.۱۶ درصد).</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b/>
          <w:bCs/>
          <w:sz w:val="21"/>
          <w:szCs w:val="21"/>
          <w:rtl/>
        </w:rPr>
        <w:t xml:space="preserve">۲۲.۲۳ درصد اقساط سررسیدشده</w:t>
      </w:r>
      <w:r>
        <w:rPr>
          <w:rFonts w:ascii="Tahoma" w:cs="Tahoma" w:eastAsia="Tahoma" w:hAnsi="Tahoma"/>
          <w:sz w:val="21"/>
          <w:szCs w:val="21"/>
          <w:rtl/>
        </w:rPr>
        <w:t xml:space="preserve"> میان سی‌ویک تا نود روز تأخیر دارند؛ مخزن اصلی مطالبات</w:t>
      </w:r>
    </w:p>
    <w:p>
      <w:pPr>
        <w:bidi/>
        <w:spacing w:after="160" w:line="312"/>
        <w:jc w:val="left"/>
      </w:pPr>
      <w:r>
        <w:rPr>
          <w:rFonts w:ascii="Tahoma" w:cs="Tahoma" w:eastAsia="Tahoma" w:hAnsi="Tahoma"/>
          <w:sz w:val="21"/>
          <w:szCs w:val="21"/>
          <w:rtl/>
        </w:rPr>
        <w:t xml:space="preserve">غیرجاری آینده.</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جمع‌بندی: انتظار می‌رود نسبت مطالبات غیرجاری در سال ۱۴۰۵ از سطح فعلی فراتر رود.</w:t>
      </w:r>
    </w:p>
    <w:p>
      <w:pPr>
        <w:pStyle w:val="Heading3"/>
        <w:keepNext/>
        <w:bidi/>
        <w:spacing w:after="160" w:before="300"/>
        <w:jc w:val="left"/>
      </w:pPr>
      <w:r>
        <w:rPr>
          <w:rFonts w:ascii="Tahoma" w:cs="Tahoma" w:eastAsia="Tahoma" w:hAnsi="Tahoma"/>
          <w:b/>
          <w:bCs/>
          <w:color w:val="1F4E79"/>
          <w:sz w:val="24"/>
          <w:szCs w:val="24"/>
          <w:rtl/>
        </w:rPr>
        <w:t xml:space="preserve">۶.۱۱.۴ تصحیح انجام‌شده</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sz w:val="21"/>
          <w:szCs w:val="21"/>
          <w:rtl/>
        </w:rPr>
        <w:t xml:space="preserve">گزاره‌ی «چندضامنی معادل ریسک بیشتر» </w:t>
      </w:r>
      <w:r>
        <w:rPr>
          <w:rFonts w:ascii="Tahoma" w:cs="Tahoma" w:eastAsia="Tahoma" w:hAnsi="Tahoma"/>
          <w:b/>
          <w:bCs/>
          <w:sz w:val="21"/>
          <w:szCs w:val="21"/>
          <w:rtl/>
        </w:rPr>
        <w:t xml:space="preserve">نادرست است</w:t>
      </w:r>
      <w:r>
        <w:rPr>
          <w:rFonts w:ascii="Tahoma" w:cs="Tahoma" w:eastAsia="Tahoma" w:hAnsi="Tahoma"/>
          <w:sz w:val="21"/>
          <w:szCs w:val="21"/>
          <w:rtl/>
        </w:rPr>
        <w:t xml:space="preserve">. وام‌های تک‌ضامنی با ۱۰.۵۸ درصد،</w:t>
      </w:r>
    </w:p>
    <w:p>
      <w:pPr>
        <w:bidi/>
        <w:spacing w:after="160" w:line="312"/>
        <w:jc w:val="left"/>
      </w:pPr>
      <w:r>
        <w:rPr>
          <w:rFonts w:ascii="Tahoma" w:cs="Tahoma" w:eastAsia="Tahoma" w:hAnsi="Tahoma"/>
          <w:sz w:val="21"/>
          <w:szCs w:val="21"/>
          <w:rtl/>
        </w:rPr>
        <w:t xml:space="preserve">تقریباً دو برابر وام‌های دو تا سه ضامنی (۵.۳۳ درصد) نکول دارند. این یافته بر مبنای پوشش ۱۰۰ درصدی پرتفوی است و از مستحکم‌ترین نتایج فصل محسوب می‌شود.</w:t>
      </w:r>
    </w:p>
    <w:p>
      <w:pPr>
        <w:pStyle w:val="Heading3"/>
        <w:keepNext/>
        <w:bidi/>
        <w:spacing w:after="160" w:before="300"/>
        <w:jc w:val="left"/>
      </w:pPr>
      <w:r>
        <w:rPr>
          <w:rFonts w:ascii="Tahoma" w:cs="Tahoma" w:eastAsia="Tahoma" w:hAnsi="Tahoma"/>
          <w:b/>
          <w:bCs/>
          <w:color w:val="1F4E79"/>
          <w:sz w:val="24"/>
          <w:szCs w:val="24"/>
          <w:rtl/>
        </w:rPr>
        <w:t xml:space="preserve">۶.۱۱.۵ محدودیت‌ها</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sz w:val="21"/>
          <w:szCs w:val="21"/>
          <w:rtl/>
        </w:rPr>
        <w:t xml:space="preserve">تمرکز تک‌نامی یک </w:t>
      </w:r>
      <w:r>
        <w:rPr>
          <w:rFonts w:ascii="Tahoma" w:cs="Tahoma" w:eastAsia="Tahoma" w:hAnsi="Tahoma"/>
          <w:b/>
          <w:bCs/>
          <w:sz w:val="21"/>
          <w:szCs w:val="21"/>
          <w:rtl/>
        </w:rPr>
        <w:t xml:space="preserve">کف محافظه‌کارانه</w:t>
      </w:r>
      <w:r>
        <w:rPr>
          <w:rFonts w:ascii="Tahoma" w:cs="Tahoma" w:eastAsia="Tahoma" w:hAnsi="Tahoma"/>
          <w:sz w:val="21"/>
          <w:szCs w:val="21"/>
          <w:rtl/>
        </w:rPr>
        <w:t xml:space="preserve"> است؛ ۲۲.۴۰ درصد پرتفوی قابل انتساب به مشتری نیست.</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sz w:val="21"/>
          <w:szCs w:val="21"/>
          <w:rtl/>
        </w:rPr>
        <w:t xml:space="preserve">تحلیل تمرکز اعتبارات اسنادی تنها </w:t>
      </w:r>
      <w:r>
        <w:rPr>
          <w:rFonts w:ascii="Tahoma" w:cs="Tahoma" w:eastAsia="Tahoma" w:hAnsi="Tahoma"/>
          <w:b/>
          <w:bCs/>
          <w:sz w:val="21"/>
          <w:szCs w:val="21"/>
          <w:rtl/>
        </w:rPr>
        <w:t xml:space="preserve">۱۲.۸۶ درصد ارزشی</w:t>
      </w:r>
      <w:r>
        <w:rPr>
          <w:rFonts w:ascii="Tahoma" w:cs="Tahoma" w:eastAsia="Tahoma" w:hAnsi="Tahoma"/>
          <w:sz w:val="21"/>
          <w:szCs w:val="21"/>
          <w:rtl/>
        </w:rPr>
        <w:t xml:space="preserve"> آن بخش را پوشش می‌دهد.</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sz w:val="21"/>
          <w:szCs w:val="21"/>
          <w:rtl/>
        </w:rPr>
        <w:t xml:space="preserve">یک بازطبقه‌بندی حسابداری در بهمن ۱۴۰۴ روند تک‌تک طبقات را در ماه‌های پایانی غیرقابل اتکا</w:t>
      </w:r>
    </w:p>
    <w:p>
      <w:pPr>
        <w:bidi/>
        <w:spacing w:after="160" w:line="312"/>
        <w:jc w:val="left"/>
      </w:pPr>
      <w:r>
        <w:rPr>
          <w:rFonts w:ascii="Tahoma" w:cs="Tahoma" w:eastAsia="Tahoma" w:hAnsi="Tahoma"/>
          <w:sz w:val="21"/>
          <w:szCs w:val="21"/>
          <w:rtl/>
        </w:rPr>
        <w:t xml:space="preserve">کرده است (جمع کل معتبر است).</w:t>
      </w:r>
    </w:p>
    <w:p>
      <w:pPr>
        <w:bidi/>
        <w:spacing w:after="120" w:line="300"/>
        <w:ind w:start="300"/>
        <w:jc w:val="left"/>
      </w:pPr>
      <w:r>
        <w:rPr>
          <w:rFonts w:ascii="Tahoma" w:cs="Tahoma" w:eastAsia="Tahoma" w:hAnsi="Tahoma"/>
          <w:sz w:val="21"/>
          <w:szCs w:val="21"/>
          <w:rtl/>
        </w:rPr>
        <w:t xml:space="preserve">۱۵. </w:t>
      </w:r>
      <w:r>
        <w:rPr>
          <w:rFonts w:ascii="Tahoma" w:cs="Tahoma" w:eastAsia="Tahoma" w:hAnsi="Tahoma"/>
          <w:sz w:val="21"/>
          <w:szCs w:val="21"/>
          <w:rtl/>
        </w:rPr>
        <w:t xml:space="preserve">تفکیک اثر اندازه‌ی وام از اثر عملکرد شعبه، مستلزم تحلیل چندمتغیره‌ی خارج از دامنه‌ی فاز ۱ است.</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63" w:id="63"/>
      <w:r>
        <w:rPr>
          <w:rFonts w:ascii="Tahoma" w:cs="Tahoma" w:eastAsia="Tahoma" w:hAnsi="Tahoma"/>
          <w:b/>
          <w:bCs/>
          <w:color w:val="1F4E79"/>
          <w:sz w:val="34"/>
          <w:szCs w:val="34"/>
          <w:rtl/>
        </w:rPr>
        <w:t xml:space="preserve">فصل ۷ — شبکه‌ی شعب و توزیع جغرافیایی</w:t>
      </w:r>
      <w:bookmarkEnd w:id="63"/>
    </w:p>
    <w:p>
      <w:pPr>
        <w:pStyle w:val="Heading2"/>
        <w:keepNext/>
        <w:bidi/>
        <w:spacing w:after="160" w:before="300"/>
        <w:jc w:val="left"/>
      </w:pPr>
      <w:bookmarkStart w:name="_Toc64" w:id="64"/>
      <w:r>
        <w:rPr>
          <w:rFonts w:ascii="Tahoma" w:cs="Tahoma" w:eastAsia="Tahoma" w:hAnsi="Tahoma"/>
          <w:b/>
          <w:bCs/>
          <w:color w:val="1F4E79"/>
          <w:sz w:val="28"/>
          <w:szCs w:val="28"/>
          <w:rtl/>
        </w:rPr>
        <w:t xml:space="preserve">۷.۰ هدف و دامنه‌ی فصل</w:t>
      </w:r>
      <w:bookmarkEnd w:id="64"/>
    </w:p>
    <w:p>
      <w:pPr>
        <w:bidi/>
        <w:spacing w:after="160" w:line="312"/>
        <w:jc w:val="left"/>
      </w:pPr>
      <w:r>
        <w:rPr>
          <w:rFonts w:ascii="Tahoma" w:cs="Tahoma" w:eastAsia="Tahoma" w:hAnsi="Tahoma"/>
          <w:sz w:val="21"/>
          <w:szCs w:val="21"/>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Tahoma" w:cs="Tahoma" w:eastAsia="Tahoma" w:hAnsi="Tahoma"/>
          <w:sz w:val="21"/>
          <w:szCs w:val="21"/>
          <w:rtl/>
        </w:rPr>
        <w:t xml:space="preserve">ارقام بخش‌های ۷.۱ تا ۷.۶ بر </w:t>
      </w:r>
      <w:r>
        <w:rPr>
          <w:rFonts w:ascii="Tahoma" w:cs="Tahoma" w:eastAsia="Tahoma" w:hAnsi="Tahoma"/>
          <w:b/>
          <w:bCs/>
          <w:sz w:val="21"/>
          <w:szCs w:val="21"/>
          <w:rtl/>
        </w:rPr>
        <w:t xml:space="preserve">آمار رسمی ماهانه‌ی کل بانک</w:t>
      </w:r>
      <w:r>
        <w:rPr>
          <w:rFonts w:ascii="Tahoma" w:cs="Tahoma" w:eastAsia="Tahoma" w:hAnsi="Tahoma"/>
          <w:sz w:val="21"/>
          <w:szCs w:val="21"/>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5" w:id="65"/>
      <w:r>
        <w:rPr>
          <w:rFonts w:ascii="Tahoma" w:cs="Tahoma" w:eastAsia="Tahoma" w:hAnsi="Tahoma"/>
          <w:b/>
          <w:bCs/>
          <w:color w:val="1F4E79"/>
          <w:sz w:val="28"/>
          <w:szCs w:val="28"/>
          <w:rtl/>
        </w:rPr>
        <w:t xml:space="preserve">۷.۱ ساختار استانی منابع و مصارف</w:t>
      </w:r>
      <w:bookmarkEnd w:id="65"/>
    </w:p>
    <w:p>
      <w:pPr>
        <w:bidi/>
        <w:spacing w:after="160" w:line="312"/>
        <w:jc w:val="left"/>
      </w:pPr>
      <w:r>
        <w:rPr>
          <w:rFonts w:ascii="Tahoma" w:cs="Tahoma" w:eastAsia="Tahoma" w:hAnsi="Tahoma"/>
          <w:sz w:val="21"/>
          <w:szCs w:val="21"/>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Tahoma" w:cs="Tahoma" w:eastAsia="Tahoma" w:hAnsi="Tahoma"/>
          <w:b/>
          <w:bCs/>
          <w:sz w:val="21"/>
          <w:szCs w:val="21"/>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۷-۱: نقشه‌ی استانی توزیع منابع و کیفیت دارایی‌ها</w:t>
      </w:r>
    </w:p>
    <w:p>
      <w:pPr>
        <w:bidi/>
        <w:spacing w:after="160" w:line="312"/>
        <w:jc w:val="left"/>
      </w:pPr>
      <w:r>
        <w:rPr>
          <w:rFonts w:ascii="Tahoma" w:cs="Tahoma" w:eastAsia="Tahoma" w:hAnsi="Tahoma"/>
          <w:sz w:val="21"/>
          <w:szCs w:val="21"/>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۷-۲: سهم ۱۵ استان بزرگ از منابع ریالی و تسهیلات بانک (۱۲/۱۴۰۴)</w:t>
      </w:r>
    </w:p>
    <w:p>
      <w:pPr>
        <w:bidi/>
        <w:spacing w:after="160" w:line="312"/>
        <w:jc w:val="left"/>
      </w:pPr>
      <w:r>
        <w:rPr>
          <w:rFonts w:ascii="Tahoma" w:cs="Tahoma" w:eastAsia="Tahoma" w:hAnsi="Tahoma"/>
          <w:sz w:val="21"/>
          <w:szCs w:val="21"/>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Tahoma" w:cs="Tahoma" w:eastAsia="Tahoma" w:hAnsi="Tahoma"/>
          <w:b/>
          <w:bCs/>
          <w:sz w:val="21"/>
          <w:szCs w:val="21"/>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مازاد (+) یا کسری (−)،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pBdr>
          <w:bottom w:val="single" w:color="BBBBBB" w:sz="6"/>
        </w:pBdr>
        <w:spacing w:after="100" w:before="100"/>
      </w:pPr>
    </w:p>
    <w:p>
      <w:pPr>
        <w:pStyle w:val="Heading2"/>
        <w:keepNext/>
        <w:bidi/>
        <w:spacing w:after="160" w:before="300"/>
        <w:jc w:val="left"/>
      </w:pPr>
      <w:bookmarkStart w:name="_Toc66" w:id="66"/>
      <w:r>
        <w:rPr>
          <w:rFonts w:ascii="Tahoma" w:cs="Tahoma" w:eastAsia="Tahoma" w:hAnsi="Tahoma"/>
          <w:b/>
          <w:bCs/>
          <w:color w:val="1F4E79"/>
          <w:sz w:val="28"/>
          <w:szCs w:val="28"/>
          <w:rtl/>
        </w:rPr>
        <w:t xml:space="preserve">۷.۲ توازن منابع و مصارف استان‌ها</w:t>
      </w:r>
      <w:bookmarkEnd w:id="66"/>
    </w:p>
    <w:p>
      <w:pPr>
        <w:bidi/>
        <w:spacing w:after="160" w:line="312"/>
        <w:jc w:val="left"/>
      </w:pPr>
      <w:r>
        <w:rPr>
          <w:rFonts w:ascii="Tahoma" w:cs="Tahoma" w:eastAsia="Tahoma" w:hAnsi="Tahoma"/>
          <w:sz w:val="21"/>
          <w:szCs w:val="21"/>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۷-۳: نسبت تسهیلات به منابع ریالی به تفکیک استان (۱۲/۱۴۰۴)</w:t>
      </w:r>
    </w:p>
    <w:p>
      <w:pPr>
        <w:bidi/>
        <w:spacing w:after="160" w:line="312"/>
        <w:jc w:val="left"/>
      </w:pPr>
      <w:r>
        <w:rPr>
          <w:rFonts w:ascii="Tahoma" w:cs="Tahoma" w:eastAsia="Tahoma" w:hAnsi="Tahoma"/>
          <w:sz w:val="21"/>
          <w:szCs w:val="21"/>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این استان‌ها تسهیلات خود را به‌طور عمده از منابع جمع‌آوری‌شده در سایر استان‌ها تأمین می‌کنند؛ بنابراین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7" w:id="67"/>
      <w:r>
        <w:rPr>
          <w:rFonts w:ascii="Tahoma" w:cs="Tahoma" w:eastAsia="Tahoma" w:hAnsi="Tahoma"/>
          <w:b/>
          <w:bCs/>
          <w:color w:val="1F4E79"/>
          <w:sz w:val="28"/>
          <w:szCs w:val="28"/>
          <w:rtl/>
        </w:rPr>
        <w:t xml:space="preserve">۷.۳ کیفیت دارایی در استان‌ها</w:t>
      </w:r>
      <w:bookmarkEnd w:id="67"/>
    </w:p>
    <w:p>
      <w:pPr>
        <w:bidi/>
        <w:spacing w:after="160" w:line="312"/>
        <w:jc w:val="left"/>
      </w:pPr>
      <w:r>
        <w:rPr>
          <w:rFonts w:ascii="Tahoma" w:cs="Tahoma" w:eastAsia="Tahoma" w:hAnsi="Tahoma"/>
          <w:sz w:val="21"/>
          <w:szCs w:val="21"/>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Tahoma" w:cs="Tahoma" w:eastAsia="Tahoma" w:hAnsi="Tahoma"/>
          <w:sz w:val="21"/>
          <w:szCs w:val="21"/>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Tahoma" w:cs="Tahoma" w:eastAsia="Tahoma" w:hAnsi="Tahoma"/>
          <w:b/>
          <w:bCs/>
          <w:sz w:val="21"/>
          <w:szCs w:val="21"/>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bl>
    <w:p>
      <w:pPr>
        <w:spacing w:after="200"/>
      </w:pPr>
    </w:p>
    <w:p>
      <w:pPr>
        <w:bidi/>
        <w:spacing w:after="160" w:line="312"/>
        <w:jc w:val="left"/>
      </w:pPr>
      <w:r>
        <w:rPr>
          <w:rFonts w:ascii="Tahoma" w:cs="Tahoma" w:eastAsia="Tahoma" w:hAnsi="Tahoma"/>
          <w:sz w:val="21"/>
          <w:szCs w:val="21"/>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با کمترین دامنه‌ی اقدام، بیشترین اثر را بر نسبت غیرجاری کل بانک خواهد داشت.</w:t>
      </w:r>
    </w:p>
    <w:p>
      <w:pPr>
        <w:pBdr>
          <w:bottom w:val="single" w:color="BBBBBB" w:sz="6"/>
        </w:pBdr>
        <w:spacing w:after="100" w:before="100"/>
      </w:pPr>
    </w:p>
    <w:p>
      <w:pPr>
        <w:pStyle w:val="Heading2"/>
        <w:keepNext/>
        <w:bidi/>
        <w:spacing w:after="160" w:before="300"/>
        <w:jc w:val="left"/>
      </w:pPr>
      <w:bookmarkStart w:name="_Toc68" w:id="68"/>
      <w:r>
        <w:rPr>
          <w:rFonts w:ascii="Tahoma" w:cs="Tahoma" w:eastAsia="Tahoma" w:hAnsi="Tahoma"/>
          <w:b/>
          <w:bCs/>
          <w:color w:val="1F4E79"/>
          <w:sz w:val="28"/>
          <w:szCs w:val="28"/>
          <w:rtl/>
        </w:rPr>
        <w:t xml:space="preserve">۷.۴ روند رشد استانی در ۶۰ ماه</w:t>
      </w:r>
      <w:bookmarkEnd w:id="68"/>
    </w:p>
    <w:p>
      <w:pPr>
        <w:bidi/>
        <w:spacing w:after="160" w:line="312"/>
        <w:jc w:val="left"/>
      </w:pPr>
      <w:r>
        <w:rPr>
          <w:rFonts w:ascii="Tahoma" w:cs="Tahoma" w:eastAsia="Tahoma" w:hAnsi="Tahoma"/>
          <w:sz w:val="21"/>
          <w:szCs w:val="21"/>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۷-۵: چند برابر شدن منابع و تسهیلات هر استان از ۰۱/۱۴۰۰ تا ۱۲/۱۴۰۴</w:t>
      </w:r>
    </w:p>
    <w:p>
      <w:pPr>
        <w:bidi/>
        <w:spacing w:after="160" w:line="312"/>
        <w:jc w:val="left"/>
      </w:pPr>
      <w:r>
        <w:rPr>
          <w:rFonts w:ascii="Tahoma" w:cs="Tahoma" w:eastAsia="Tahoma" w:hAnsi="Tahoma"/>
          <w:sz w:val="21"/>
          <w:szCs w:val="21"/>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69" w:id="69"/>
      <w:r>
        <w:rPr>
          <w:rFonts w:ascii="Tahoma" w:cs="Tahoma" w:eastAsia="Tahoma" w:hAnsi="Tahoma"/>
          <w:b/>
          <w:bCs/>
          <w:color w:val="1F4E79"/>
          <w:sz w:val="28"/>
          <w:szCs w:val="28"/>
          <w:rtl/>
        </w:rPr>
        <w:t xml:space="preserve">۷.۵ ترکیب منابع در استان‌ها</w:t>
      </w:r>
      <w:bookmarkEnd w:id="69"/>
    </w:p>
    <w:p>
      <w:pPr>
        <w:bidi/>
        <w:spacing w:after="160" w:line="312"/>
        <w:jc w:val="left"/>
      </w:pPr>
      <w:r>
        <w:rPr>
          <w:rFonts w:ascii="Tahoma" w:cs="Tahoma" w:eastAsia="Tahoma" w:hAnsi="Tahoma"/>
          <w:sz w:val="21"/>
          <w:szCs w:val="21"/>
          <w:rtl/>
        </w:rPr>
        <w:t xml:space="preserve">ترکیب منابع هر استان بر هزینه‌ی تأمین مالی آن اثر مستقیم دارد: قرض‌الحسنه (جاری و پس‌انداز) بدون هزینه‌ی سود است و سپرده‌ی بلندمدت گران‌ترین منبع. نمودار ۷-۶ ترکیب منابع هر استان را در ۱۰/۱۴۰۴ نشان می‌دهد؛ این مقطع آخرین مقطعی است که جمع انواع سپرده در فایل رسمی با جمع منابع هم‌خوان است (بخش ۹.۵).</w:t>
      </w:r>
    </w:p>
    <w:p>
      <w:pPr>
        <w:keepNext/>
        <w:spacing w:after="60" w:before="160"/>
        <w:jc w:val="center"/>
      </w:pPr>
      <w:r>
        <w:drawing>
          <wp:inline distT="0" distB="0" distL="0" distR="0">
            <wp:extent cx="5715000" cy="54387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۷-۶: ترکیب منابع ریالی هر استان بر حسب نوع سپرده (۱۰/۱۴۰۴)</w:t>
      </w:r>
    </w:p>
    <w:p>
      <w:pPr>
        <w:bidi/>
        <w:spacing w:after="160" w:line="312"/>
        <w:jc w:val="left"/>
      </w:pPr>
      <w:r>
        <w:rPr>
          <w:rFonts w:ascii="Tahoma" w:cs="Tahoma" w:eastAsia="Tahoma" w:hAnsi="Tahoma"/>
          <w:sz w:val="21"/>
          <w:szCs w:val="21"/>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بنابراین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70" w:id="70"/>
      <w:r>
        <w:rPr>
          <w:rFonts w:ascii="Tahoma" w:cs="Tahoma" w:eastAsia="Tahoma" w:hAnsi="Tahoma"/>
          <w:b/>
          <w:bCs/>
          <w:color w:val="1F4E79"/>
          <w:sz w:val="28"/>
          <w:szCs w:val="28"/>
          <w:rtl/>
        </w:rPr>
        <w:t xml:space="preserve">۷.۶ ساختار شبکه‌ی شعب</w:t>
      </w:r>
      <w:bookmarkEnd w:id="70"/>
    </w:p>
    <w:p>
      <w:pPr>
        <w:bidi/>
        <w:spacing w:after="160" w:line="312"/>
        <w:jc w:val="left"/>
      </w:pPr>
      <w:r>
        <w:rPr>
          <w:rFonts w:ascii="Tahoma" w:cs="Tahoma" w:eastAsia="Tahoma" w:hAnsi="Tahoma"/>
          <w:sz w:val="21"/>
          <w:szCs w:val="21"/>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Tahoma" w:cs="Tahoma" w:eastAsia="Tahoma" w:hAnsi="Tahoma"/>
          <w:sz w:val="21"/>
          <w:szCs w:val="21"/>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بنابراین مدیریت ریسک اعتباری شعب بزرگ اهمیت ویژه‌ای دارد.</w:t>
      </w:r>
    </w:p>
    <w:p>
      <w:pPr>
        <w:keepNext/>
        <w:spacing w:after="60" w:before="160"/>
        <w:jc w:val="center"/>
      </w:pPr>
      <w:r>
        <w:drawing>
          <wp:inline distT="0" distB="0" distL="0" distR="0">
            <wp:extent cx="5715000" cy="49053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1" w:id="71"/>
      <w:r>
        <w:rPr>
          <w:rFonts w:ascii="Tahoma" w:cs="Tahoma" w:eastAsia="Tahoma" w:hAnsi="Tahoma"/>
          <w:b/>
          <w:bCs/>
          <w:color w:val="1F4E79"/>
          <w:sz w:val="28"/>
          <w:szCs w:val="28"/>
          <w:rtl/>
        </w:rPr>
        <w:t xml:space="preserve">۷.۷ هم‌خوانی الگوی استانی نمونه با بانک</w:t>
      </w:r>
      <w:bookmarkEnd w:id="71"/>
    </w:p>
    <w:p>
      <w:pPr>
        <w:bidi/>
        <w:spacing w:after="160" w:line="312"/>
        <w:jc w:val="left"/>
      </w:pPr>
      <w:r>
        <w:rPr>
          <w:rFonts w:ascii="Tahoma" w:cs="Tahoma" w:eastAsia="Tahoma" w:hAnsi="Tahoma"/>
          <w:sz w:val="21"/>
          <w:szCs w:val="21"/>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۷-۸: مقایسه‌ی سهم استانی تسهیلات نمونه با آمار رسمی و پوشش هر استان (۱۲/۱۴۰۴)</w:t>
      </w:r>
    </w:p>
    <w:p>
      <w:pPr>
        <w:bidi/>
        <w:spacing w:after="160" w:line="312"/>
        <w:jc w:val="left"/>
      </w:pPr>
      <w:r>
        <w:rPr>
          <w:rFonts w:ascii="Tahoma" w:cs="Tahoma" w:eastAsia="Tahoma" w:hAnsi="Tahoma"/>
          <w:sz w:val="21"/>
          <w:szCs w:val="21"/>
          <w:rtl/>
        </w:rPr>
        <w:t xml:space="preserve">پوشش تسهیلات نمونه در استان‌ها (بخش دارای نگاشت شعبه) به‌طور متوسط ۶۶ درصد و از ۵۴ درصد (سمنان) تا ۸۲ درصد (البرز) است. پوشش تقریباً یکنواخت استان‌ها به این معناست که ساختار استانی نمونه با بانک سازگار است و تحلیل‌های استانی فازهای بعد بدون نیاز به وزن‌دهی مجدد استانی قابل انجام است.</w:t>
      </w:r>
    </w:p>
    <w:p>
      <w:pPr>
        <w:pBdr>
          <w:bottom w:val="single" w:color="BBBBBB" w:sz="6"/>
        </w:pBdr>
        <w:spacing w:after="100" w:before="100"/>
      </w:pPr>
    </w:p>
    <w:p>
      <w:pPr>
        <w:pStyle w:val="Heading2"/>
        <w:keepNext/>
        <w:bidi/>
        <w:spacing w:after="160" w:before="300"/>
        <w:jc w:val="left"/>
      </w:pPr>
      <w:bookmarkStart w:name="_Toc72" w:id="72"/>
      <w:r>
        <w:rPr>
          <w:rFonts w:ascii="Tahoma" w:cs="Tahoma" w:eastAsia="Tahoma" w:hAnsi="Tahoma"/>
          <w:b/>
          <w:bCs/>
          <w:color w:val="1F4E79"/>
          <w:sz w:val="28"/>
          <w:szCs w:val="28"/>
          <w:rtl/>
        </w:rPr>
        <w:t xml:space="preserve">۷.۸ پراکندگی جغرافیایی مشتریان</w:t>
      </w:r>
      <w:bookmarkEnd w:id="72"/>
    </w:p>
    <w:p>
      <w:pPr>
        <w:bidi/>
        <w:spacing w:after="160" w:line="312"/>
        <w:jc w:val="left"/>
      </w:pPr>
      <w:r>
        <w:rPr>
          <w:rFonts w:ascii="Tahoma" w:cs="Tahoma" w:eastAsia="Tahoma" w:hAnsi="Tahoma"/>
          <w:sz w:val="21"/>
          <w:szCs w:val="21"/>
          <w:rtl/>
        </w:rPr>
        <w:t xml:space="preserve">استان هر مشتری بر اساس شعبه‌ی اصلی او، یعنی شعبه‌ای که بیشترین فعالیت را در آن دارد، تعیین می‌شود. این نگاشت ۸۴.۴ درصد مشتریان نمونه (۶۰۲,۳۳۷ نفر) را در بر می‌گیرد که ۹۰.۵ درصد گردش عملیاتی را تولید می‌کنند. ۱۵.۶ درصد مشتریان باقی‌مانده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Tahoma" w:cs="Tahoma" w:eastAsia="Tahoma" w:hAnsi="Tahoma"/>
          <w:sz w:val="21"/>
          <w:szCs w:val="21"/>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3438525" cy="6096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438525" cy="609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۷-۹: سهم ۱۲ استان بزرگ از مشتریان نمونه در مقایسه با سهم آن‌ها از منابع رسمی بانک</w:t>
      </w:r>
    </w:p>
    <w:p>
      <w:pPr>
        <w:bidi/>
        <w:spacing w:after="160" w:line="312"/>
        <w:jc w:val="left"/>
      </w:pPr>
      <w:r>
        <w:rPr>
          <w:rFonts w:ascii="Tahoma" w:cs="Tahoma" w:eastAsia="Tahoma" w:hAnsi="Tahoma"/>
          <w:sz w:val="21"/>
          <w:szCs w:val="21"/>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3" w:id="73"/>
      <w:r>
        <w:rPr>
          <w:rFonts w:ascii="Tahoma" w:cs="Tahoma" w:eastAsia="Tahoma" w:hAnsi="Tahoma"/>
          <w:b/>
          <w:bCs/>
          <w:color w:val="1F4E79"/>
          <w:sz w:val="28"/>
          <w:szCs w:val="28"/>
          <w:rtl/>
        </w:rPr>
        <w:t xml:space="preserve">۷.۹ جمع‌بندی فصل</w:t>
      </w:r>
      <w:bookmarkEnd w:id="73"/>
    </w:p>
    <w:p>
      <w:pPr>
        <w:bidi/>
        <w:spacing w:after="160" w:line="312"/>
        <w:jc w:val="left"/>
      </w:pPr>
      <w:r>
        <w:rPr>
          <w:rFonts w:ascii="Tahoma" w:cs="Tahoma" w:eastAsia="Tahoma" w:hAnsi="Tahoma"/>
          <w:sz w:val="21"/>
          <w:szCs w:val="21"/>
          <w:rtl/>
        </w:rPr>
        <w:t xml:space="preserve">نتایج قابل استناد این فصل به شرح زیر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ساختار:</w:t>
      </w:r>
      <w:r>
        <w:rPr>
          <w:rFonts w:ascii="Tahoma" w:cs="Tahoma" w:eastAsia="Tahoma" w:hAnsi="Tahoma"/>
          <w:sz w:val="21"/>
          <w:szCs w:val="21"/>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توازن:</w:t>
      </w:r>
      <w:r>
        <w:rPr>
          <w:rFonts w:ascii="Tahoma" w:cs="Tahoma" w:eastAsia="Tahoma" w:hAnsi="Tahoma"/>
          <w:sz w:val="21"/>
          <w:szCs w:val="21"/>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ریسک جغرافیایی:</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ترکیب منابع:</w:t>
      </w:r>
      <w:r>
        <w:rPr>
          <w:rFonts w:ascii="Tahoma" w:cs="Tahoma" w:eastAsia="Tahoma" w:hAnsi="Tahoma"/>
          <w:sz w:val="21"/>
          <w:szCs w:val="21"/>
          <w:rtl/>
        </w:rPr>
        <w:t xml:space="preserve"> سهم قرض‌الحسنه در استان‌ها از ۲۲ تا ۶۳ درصد تغییر می‌کند و تهران گران‌ترین ترکیب منابع را دارد.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شبکه:</w:t>
      </w:r>
      <w:r>
        <w:rPr>
          <w:rFonts w:ascii="Tahoma" w:cs="Tahoma" w:eastAsia="Tahoma" w:hAnsi="Tahoma"/>
          <w:sz w:val="21"/>
          <w:szCs w:val="21"/>
          <w:rtl/>
        </w:rPr>
        <w:t xml:space="preserve"> ۵۰۳ واحد، با تمرکز تسهیلات بیشتر از منابع (جینی ۰.۵۱ در برابر ۰.۴۲).</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اعتبار نمونه:</w:t>
      </w:r>
      <w:r>
        <w:rPr>
          <w:rFonts w:ascii="Tahoma" w:cs="Tahoma" w:eastAsia="Tahoma" w:hAnsi="Tahoma"/>
          <w:sz w:val="21"/>
          <w:szCs w:val="21"/>
          <w:rtl/>
        </w:rPr>
        <w:t xml:space="preserve"> الگوی استانی نمونه با آمار رسمی همبستگی ۰.۹۹ دارد و پوشش استان‌ها ۵۴ تا ۸۲ درصد است.</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مشتریان:</w:t>
      </w:r>
      <w:r>
        <w:rPr>
          <w:rFonts w:ascii="Tahoma" w:cs="Tahoma" w:eastAsia="Tahoma" w:hAnsi="Tahoma"/>
          <w:sz w:val="21"/>
          <w:szCs w:val="21"/>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4" w:id="74"/>
      <w:r>
        <w:rPr>
          <w:rFonts w:ascii="Tahoma" w:cs="Tahoma" w:eastAsia="Tahoma" w:hAnsi="Tahoma"/>
          <w:b/>
          <w:bCs/>
          <w:color w:val="1F4E79"/>
          <w:sz w:val="34"/>
          <w:szCs w:val="34"/>
          <w:rtl/>
        </w:rPr>
        <w:t xml:space="preserve">فصل ۸ — برآورد سودآوری</w:t>
      </w:r>
      <w:bookmarkEnd w:id="74"/>
    </w:p>
    <w:p>
      <w:pPr>
        <w:pStyle w:val="Heading2"/>
        <w:keepNext/>
        <w:bidi/>
        <w:spacing w:after="160" w:before="300"/>
        <w:jc w:val="left"/>
      </w:pPr>
      <w:bookmarkStart w:name="_Toc75" w:id="75"/>
      <w:r>
        <w:rPr>
          <w:rFonts w:ascii="Tahoma" w:cs="Tahoma" w:eastAsia="Tahoma" w:hAnsi="Tahoma"/>
          <w:b/>
          <w:bCs/>
          <w:color w:val="1F4E79"/>
          <w:sz w:val="28"/>
          <w:szCs w:val="28"/>
          <w:rtl/>
        </w:rPr>
        <w:t xml:space="preserve">۸.۰ هدف، مبنا و دامنه</w:t>
      </w:r>
      <w:bookmarkEnd w:id="75"/>
    </w:p>
    <w:p>
      <w:pPr>
        <w:bidi/>
        <w:spacing w:after="160" w:line="312"/>
        <w:jc w:val="left"/>
      </w:pPr>
      <w:r>
        <w:rPr>
          <w:rFonts w:ascii="Tahoma" w:cs="Tahoma" w:eastAsia="Tahoma" w:hAnsi="Tahoma"/>
          <w:sz w:val="21"/>
          <w:szCs w:val="21"/>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Tahoma" w:cs="Tahoma" w:eastAsia="Tahoma" w:hAnsi="Tahoma"/>
          <w:sz w:val="21"/>
          <w:szCs w:val="21"/>
          <w:rtl/>
        </w:rPr>
        <w:t xml:space="preserve">برآورد از سه مبنای مکمل ساخته شده است. نخست، </w:t>
      </w:r>
      <w:r>
        <w:rPr>
          <w:rFonts w:ascii="Tahoma" w:cs="Tahoma" w:eastAsia="Tahoma" w:hAnsi="Tahoma"/>
          <w:b/>
          <w:bCs/>
          <w:sz w:val="21"/>
          <w:szCs w:val="21"/>
          <w:rtl/>
        </w:rPr>
        <w:t xml:space="preserve">هزینه‌ی تأمین مالی</w:t>
      </w:r>
      <w:r>
        <w:rPr>
          <w:rFonts w:ascii="Tahoma" w:cs="Tahoma" w:eastAsia="Tahoma" w:hAnsi="Tahoma"/>
          <w:sz w:val="21"/>
          <w:szCs w:val="21"/>
          <w:rtl/>
        </w:rPr>
        <w:t xml:space="preserve"> که از جدول مرجع سود پرداختی خود بانک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و میانگین منابع رسمی کل بانک به دست می‌آید و به نمونه وابسته نیست (۸.۱ و ۸.۲). دوم، </w:t>
      </w:r>
      <w:r>
        <w:rPr>
          <w:rFonts w:ascii="Tahoma" w:cs="Tahoma" w:eastAsia="Tahoma" w:hAnsi="Tahoma"/>
          <w:b/>
          <w:bCs/>
          <w:sz w:val="21"/>
          <w:szCs w:val="21"/>
          <w:rtl/>
        </w:rPr>
        <w:t xml:space="preserve">نرخ قراردادی تسهیلات</w:t>
      </w:r>
      <w:r>
        <w:rPr>
          <w:rFonts w:ascii="Tahoma" w:cs="Tahoma" w:eastAsia="Tahoma" w:hAnsi="Tahoma"/>
          <w:sz w:val="21"/>
          <w:szCs w:val="21"/>
          <w:rtl/>
        </w:rPr>
        <w:t xml:space="preserve"> که از شرایط قراردادها و بر پایه‌ی مبلغ اعطایی محاسبه می‌شود (۸.۳). سوم، </w:t>
      </w:r>
      <w:r>
        <w:rPr>
          <w:rFonts w:ascii="Tahoma" w:cs="Tahoma" w:eastAsia="Tahoma" w:hAnsi="Tahoma"/>
          <w:b/>
          <w:bCs/>
          <w:sz w:val="21"/>
          <w:szCs w:val="21"/>
          <w:rtl/>
        </w:rPr>
        <w:t xml:space="preserve">درآمد دریافتی تسهیلات</w:t>
      </w:r>
      <w:r>
        <w:rPr>
          <w:rFonts w:ascii="Tahoma" w:cs="Tahoma" w:eastAsia="Tahoma" w:hAnsi="Tahoma"/>
          <w:sz w:val="21"/>
          <w:szCs w:val="21"/>
          <w:rtl/>
        </w:rPr>
        <w:t xml:space="preserve"> که از دفتر اقساط نمونه استخراج می‌شود و بازده نقدی را نشان می‌دهد (۸.۳). بخش ۸.۴ این مبناها را در یک برآورد مرکزی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6" w:id="76"/>
      <w:r>
        <w:rPr>
          <w:rFonts w:ascii="Tahoma" w:cs="Tahoma" w:eastAsia="Tahoma" w:hAnsi="Tahoma"/>
          <w:b/>
          <w:bCs/>
          <w:color w:val="1F4E79"/>
          <w:sz w:val="28"/>
          <w:szCs w:val="28"/>
          <w:rtl/>
        </w:rPr>
        <w:t xml:space="preserve">۸.۱ هزینه‌ی تأمین مالی بانک</w:t>
      </w:r>
      <w:bookmarkEnd w:id="76"/>
    </w:p>
    <w:p>
      <w:pPr>
        <w:bidi/>
        <w:spacing w:after="160" w:line="312"/>
        <w:jc w:val="left"/>
      </w:pPr>
      <w:r>
        <w:rPr>
          <w:rFonts w:ascii="Tahoma" w:cs="Tahoma" w:eastAsia="Tahoma" w:hAnsi="Tahoma"/>
          <w:sz w:val="21"/>
          <w:szCs w:val="21"/>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w:t>
      </w:r>
    </w:p>
    <w:p>
      <w:pPr>
        <w:keepNext/>
        <w:bidi/>
        <w:spacing w:after="100" w:before="200"/>
        <w:jc w:val="left"/>
      </w:pPr>
      <w:r>
        <w:rPr>
          <w:rFonts w:ascii="Tahoma" w:cs="Tahoma" w:eastAsia="Tahoma" w:hAnsi="Tahoma"/>
          <w:b/>
          <w:bCs/>
          <w:sz w:val="21"/>
          <w:szCs w:val="21"/>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w:t>
            </w:r>
          </w:p>
        </w:tc>
      </w:tr>
    </w:tbl>
    <w:p>
      <w:pPr>
        <w:spacing w:after="200"/>
      </w:pPr>
    </w:p>
    <w:p>
      <w:pPr>
        <w:keepNext/>
        <w:spacing w:after="60" w:before="160"/>
        <w:jc w:val="center"/>
      </w:pPr>
      <w:r>
        <w:drawing>
          <wp:inline distT="0" distB="0" distL="0" distR="0">
            <wp:extent cx="5715000" cy="21526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۸-۱: منابع، سود پرداختی سالانه و نرخ هزینه‌ی تأمین مالی بانک</w:t>
      </w:r>
    </w:p>
    <w:p>
      <w:pPr>
        <w:bidi/>
        <w:spacing w:after="160" w:line="312"/>
        <w:jc w:val="left"/>
      </w:pPr>
      <w:r>
        <w:rPr>
          <w:rFonts w:ascii="Tahoma" w:cs="Tahoma" w:eastAsia="Tahoma" w:hAnsi="Tahoma"/>
          <w:sz w:val="21"/>
          <w:szCs w:val="21"/>
          <w:rtl/>
        </w:rPr>
        <w:t xml:space="preserve">سود پرداختی بانک در پنج سال ۴.۸ برابر شده (از ۲.۴ به ۱۱.۳ هزار میلیارد تومان) در حالی که میانگین منابع ۳.۷ برابر شده است. در نتیجه نرخ هزینه‌ی تأمین مالی از ۸.۲ درصد در ۱۴۰۰ به ۱۰.۵ درصد در ۱۴۰۴ رسیده و ۲.۳ واحد درصد افزایش یافته است. بیشترین جهش در ۱۴۰۲ رخ داده (از ۸.۱ به ۹.۶ درصد) و از ۱۴۰۳ به بعد افزایش ملایم‌تر شده است. این روند نشان می‌دهد فشار هزینه‌ی منابع، مستقل از رشد مانده‌ها، در حال افزایش است.</w:t>
      </w:r>
    </w:p>
    <w:p>
      <w:pPr>
        <w:pBdr>
          <w:bottom w:val="single" w:color="BBBBBB" w:sz="6"/>
        </w:pBdr>
        <w:spacing w:after="100" w:before="100"/>
      </w:pPr>
    </w:p>
    <w:p>
      <w:pPr>
        <w:pStyle w:val="Heading2"/>
        <w:keepNext/>
        <w:bidi/>
        <w:spacing w:after="160" w:before="300"/>
        <w:jc w:val="left"/>
      </w:pPr>
      <w:bookmarkStart w:name="_Toc77" w:id="77"/>
      <w:r>
        <w:rPr>
          <w:rFonts w:ascii="Tahoma" w:cs="Tahoma" w:eastAsia="Tahoma" w:hAnsi="Tahoma"/>
          <w:b/>
          <w:bCs/>
          <w:color w:val="1F4E79"/>
          <w:sz w:val="28"/>
          <w:szCs w:val="28"/>
          <w:rtl/>
        </w:rPr>
        <w:t xml:space="preserve">۸.۲ ترکیب منابع و ساختار هزینه</w:t>
      </w:r>
      <w:bookmarkEnd w:id="77"/>
    </w:p>
    <w:p>
      <w:pPr>
        <w:bidi/>
        <w:spacing w:after="160" w:line="312"/>
        <w:jc w:val="left"/>
      </w:pPr>
      <w:r>
        <w:rPr>
          <w:rFonts w:ascii="Tahoma" w:cs="Tahoma" w:eastAsia="Tahoma" w:hAnsi="Tahoma"/>
          <w:sz w:val="21"/>
          <w:szCs w:val="21"/>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۸-۲: ترکیب منابع ریالی بانک بر حسب نوع سپرده (۰۱/۱۴۰۰ تا ۱۰/۱۴۰۴)</w:t>
      </w:r>
    </w:p>
    <w:p>
      <w:pPr>
        <w:bidi/>
        <w:spacing w:after="160" w:line="312"/>
        <w:jc w:val="left"/>
      </w:pPr>
      <w:r>
        <w:rPr>
          <w:rFonts w:ascii="Tahoma" w:cs="Tahoma" w:eastAsia="Tahoma" w:hAnsi="Tahoma"/>
          <w:sz w:val="21"/>
          <w:szCs w:val="21"/>
          <w:rtl/>
        </w:rPr>
        <w:t xml:space="preserve">سهم قرض‌الحسنه (جاری و پس‌انداز)، که هزینه‌ی سود ندارد، از ۲۷.۶ درصد به ۳۳.۴ درصد افزایش یافته است. سهم سپرده‌ی کوتاه‌مدت از ۲۸.۱ به ۲۰.۱ درصد کاهش یافته و سهم سپرده‌ی بلندمدت، که گران‌ترین منبع است، از ۴۴.۴ به ۴۶.۵ درصد رسیده است. بنابراین بهبود ترکیب منابع اثر محدودی داشته و افزایش نرخ هزینه (۲.۳ واحد درصد) عمدتاً ناشی از افزایش نرخ سود پرداختی است، نه تغییر ترکیب.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8" w:id="78"/>
      <w:r>
        <w:rPr>
          <w:rFonts w:ascii="Tahoma" w:cs="Tahoma" w:eastAsia="Tahoma" w:hAnsi="Tahoma"/>
          <w:b/>
          <w:bCs/>
          <w:color w:val="1F4E79"/>
          <w:sz w:val="28"/>
          <w:szCs w:val="28"/>
          <w:rtl/>
        </w:rPr>
        <w:t xml:space="preserve">۸.۳ بازده تسهیلات</w:t>
      </w:r>
      <w:bookmarkEnd w:id="78"/>
    </w:p>
    <w:p>
      <w:pPr>
        <w:pStyle w:val="Heading3"/>
        <w:keepNext/>
        <w:bidi/>
        <w:spacing w:after="160" w:before="300"/>
        <w:jc w:val="left"/>
      </w:pPr>
      <w:r>
        <w:rPr>
          <w:rFonts w:ascii="Tahoma" w:cs="Tahoma" w:eastAsia="Tahoma" w:hAnsi="Tahoma"/>
          <w:b/>
          <w:bCs/>
          <w:color w:val="1F4E79"/>
          <w:sz w:val="24"/>
          <w:szCs w:val="24"/>
          <w:rtl/>
        </w:rPr>
        <w:t xml:space="preserve">۸.۳.۱ نرخ قراردادی</w:t>
      </w:r>
    </w:p>
    <w:p>
      <w:pPr>
        <w:bidi/>
        <w:spacing w:after="160" w:line="312"/>
        <w:jc w:val="left"/>
      </w:pPr>
      <w:r>
        <w:rPr>
          <w:rFonts w:ascii="Tahoma" w:cs="Tahoma" w:eastAsia="Tahoma" w:hAnsi="Tahoma"/>
          <w:sz w:val="21"/>
          <w:szCs w:val="21"/>
          <w:rtl/>
        </w:rPr>
        <w:t xml:space="preserve">نرخ قراردادی هر وام از مجموع نرخ سود مصوب و نرخ ترجیحی آن به دست می‌آید و برای هر نوع قرارداد بر پایه‌ی مبلغ اعطایی وزن‌دهی می‌شود. جدول ۸-۲ و نمودار ۸-۳ این نرخ‌ها را برای ۶۸۴,۳۲۸ قرارداد دارای اطلاعات قرارداد نشان می‌دهند. ستون آخر اختلاف هر نرخ را با نرخ هزینه‌ی تأمین مالی ۱۴۰۴ (۱۰.۵ درصد) نشان می‌دهد.</w:t>
      </w:r>
    </w:p>
    <w:p>
      <w:pPr>
        <w:keepNext/>
        <w:bidi/>
        <w:spacing w:after="100" w:before="200"/>
        <w:jc w:val="left"/>
      </w:pPr>
      <w:r>
        <w:rPr>
          <w:rFonts w:ascii="Tahoma" w:cs="Tahoma" w:eastAsia="Tahoma" w:hAnsi="Tahoma"/>
          <w:b/>
          <w:bCs/>
          <w:sz w:val="21"/>
          <w:szCs w:val="21"/>
          <w:rtl/>
        </w:rPr>
        <w:t xml:space="preserve">جدول ۸-۲: نرخ قراردادی تسهیلات به تفکیک نوع قرارداد و اختلاف آن با هزینه‌ی تأمین مالی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38"/>
        <w:gridCol w:w="1688"/>
        <w:gridCol w:w="1912"/>
        <w:gridCol w:w="1638"/>
        <w:gridCol w:w="2474"/>
      </w:tblGrid>
      <w:tr>
        <w:trPr>
          <w:cantSplit/>
          <w:tblHeader/>
        </w:trPr>
        <w:tc>
          <w:tcPr>
            <w:tcW w:type="dxa" w:w="16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قرارداد</w:t>
            </w:r>
          </w:p>
        </w:tc>
        <w:tc>
          <w:tcPr>
            <w:tcW w:type="dxa" w:w="16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9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مبلغ اعطایی</w:t>
            </w:r>
          </w:p>
        </w:tc>
        <w:tc>
          <w:tcPr>
            <w:tcW w:type="dxa" w:w="16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قراردادی</w:t>
            </w:r>
          </w:p>
        </w:tc>
        <w:tc>
          <w:tcPr>
            <w:tcW w:type="dxa" w:w="24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اختلاف با هزینه‌ی تأمین مالی (واحد درصد)</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۷,۳۴۴</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۲۱.۵٪</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۴۲۶,۲۳۵</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۶۱.۶٪</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۳,۶۷۷</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۱۴,۲۲۱</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۱۷.۶٪</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۳۴,۰۷۰</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۱۳.۴٪</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۵,۶۰۷</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۱۹۳,۱۷۴</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w:t>
            </w:r>
          </w:p>
        </w:tc>
      </w:tr>
      <w:tr>
        <w:trPr>
          <w:cantSplit/>
        </w:trPr>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w:t>
            </w:r>
          </w:p>
        </w:tc>
        <w:tc>
          <w:tcPr>
            <w:tcW w:type="dxa" w:w="16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۶۸۴,۳۲۸</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6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۱۸.۰۸٪</w:t>
            </w:r>
          </w:p>
        </w:tc>
        <w:tc>
          <w:tcPr>
            <w:tcW w:type="dxa" w:w="24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۷.۶+</w:t>
            </w:r>
          </w:p>
        </w:tc>
      </w:tr>
    </w:tbl>
    <w:p>
      <w:pPr>
        <w:spacing w:after="200"/>
      </w:pPr>
    </w:p>
    <w:p>
      <w:pPr>
        <w:keepNext/>
        <w:spacing w:after="60" w:before="160"/>
        <w:jc w:val="center"/>
      </w:pPr>
      <w:r>
        <w:drawing>
          <wp:inline distT="0" distB="0" distL="0" distR="0">
            <wp:extent cx="5715000" cy="29718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۸-۳: نرخ قراردادی تسهیلات به تفکیک نوع قرارداد و نرخ هزینه‌ی تأمین مالی</w:t>
      </w:r>
    </w:p>
    <w:p>
      <w:pPr>
        <w:bidi/>
        <w:spacing w:after="160" w:line="312"/>
        <w:jc w:val="left"/>
      </w:pPr>
      <w:r>
        <w:rPr>
          <w:rFonts w:ascii="Tahoma" w:cs="Tahoma" w:eastAsia="Tahoma" w:hAnsi="Tahoma"/>
          <w:sz w:val="21"/>
          <w:szCs w:val="21"/>
          <w:rtl/>
        </w:rPr>
        <w:t xml:space="preserve">مرابحه با ۶۱.۶ درصد مبلغ اعطایی و نرخ ۲۰.۵ درصد ستون اصلی بازده است و همراه با مشارکت مدنی و مضاربه ۱۰ واحد درصد یا بیشتر بالاتر از هزینه‌ی تأمین مالی است. در مقابل، قرض‌الحسنه با ۱۰.۴ درصد مبلغ اعطایی و نرخ ۴.۰ درصد، ۶.۵ واحد درصد زیر هزینه‌ی تأمین مالی قرار دارد؛ بنابراین هر واحد رشد سهم قرض‌الحسنه در پرتفوی، حاشیه را کاهش می‌دهد. میانگین وزنی نرخ قراردادی ۱۸.۰۸ درصد است.</w:t>
      </w:r>
    </w:p>
    <w:p>
      <w:pPr>
        <w:pStyle w:val="Heading3"/>
        <w:keepNext/>
        <w:bidi/>
        <w:spacing w:after="160" w:before="300"/>
        <w:jc w:val="left"/>
      </w:pPr>
      <w:r>
        <w:rPr>
          <w:rFonts w:ascii="Tahoma" w:cs="Tahoma" w:eastAsia="Tahoma" w:hAnsi="Tahoma"/>
          <w:b/>
          <w:bCs/>
          <w:color w:val="1F4E79"/>
          <w:sz w:val="24"/>
          <w:szCs w:val="24"/>
          <w:rtl/>
        </w:rPr>
        <w:t xml:space="preserve">۸.۳.۲ درآمد دریافتی</w:t>
      </w:r>
    </w:p>
    <w:p>
      <w:pPr>
        <w:bidi/>
        <w:spacing w:after="160" w:line="312"/>
        <w:jc w:val="left"/>
      </w:pPr>
      <w:r>
        <w:rPr>
          <w:rFonts w:ascii="Tahoma" w:cs="Tahoma" w:eastAsia="Tahoma" w:hAnsi="Tahoma"/>
          <w:sz w:val="21"/>
          <w:szCs w:val="21"/>
          <w:rtl/>
        </w:rPr>
        <w:t xml:space="preserve">دفتر اقساط نمونه سود و جریمه‌ی پرداخت‌شده‌ی مشتریان را به‌صورت نقدی ثبت می‌کند. جدول ۸-۳ این درآمد را، بر میانگین مانده‌ی تسهیلات نمونه تقسیم می‌کند و بازده دریافتی هر سال را به دست می‌دهد. چون دفتر اقساط فقط قراردادهای دارای اطلاعات قرارداد (۷۷.۶ درصد مانده‌ی تسهیلات) را در بر دارد، این بازده کران پایین بازده واقعی است.</w:t>
      </w:r>
    </w:p>
    <w:p>
      <w:pPr>
        <w:keepNext/>
        <w:bidi/>
        <w:spacing w:after="100" w:before="200"/>
        <w:jc w:val="left"/>
      </w:pPr>
      <w:r>
        <w:rPr>
          <w:rFonts w:ascii="Tahoma" w:cs="Tahoma" w:eastAsia="Tahoma" w:hAnsi="Tahoma"/>
          <w:b/>
          <w:bCs/>
          <w:sz w:val="21"/>
          <w:szCs w:val="21"/>
          <w:rtl/>
        </w:rPr>
        <w:t xml:space="preserve">جدول ۸-۳: درآمد دریافتی تسهیلات نمونه و بازده آن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47"/>
        <w:gridCol w:w="1337"/>
        <w:gridCol w:w="1502"/>
        <w:gridCol w:w="1950"/>
        <w:gridCol w:w="1865"/>
        <w:gridCol w:w="1749"/>
      </w:tblGrid>
      <w:tr>
        <w:trPr>
          <w:cantSplit/>
          <w:tblHeader/>
        </w:trPr>
        <w:tc>
          <w:tcPr>
            <w:tcW w:type="dxa" w:w="9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13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دریافتی</w:t>
            </w:r>
          </w:p>
        </w:tc>
        <w:tc>
          <w:tcPr>
            <w:tcW w:type="dxa" w:w="15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جریمه‌ی دریافتی</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تسهیلات نمونه</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بازده دریافتی (کران پایین)</w:t>
            </w:r>
          </w:p>
        </w:tc>
        <w:tc>
          <w:tcPr>
            <w:tcW w:type="dxa" w:w="17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۱.۶۷</w:t>
            </w:r>
          </w:p>
        </w:tc>
        <w:tc>
          <w:tcPr>
            <w:tcW w:type="dxa" w:w="1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۰.۱۲</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c>
          <w:tcPr>
            <w:tcW w:type="dxa" w:w="17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r>
      <w:tr>
        <w:trPr>
          <w:cantSplit/>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w:t>
            </w:r>
          </w:p>
        </w:tc>
        <w:tc>
          <w:tcPr>
            <w:tcW w:type="dxa" w:w="1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۰.۲۶</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7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r>
      <w:tr>
        <w:trPr>
          <w:cantSplit/>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۴.۰۱</w:t>
            </w:r>
          </w:p>
        </w:tc>
        <w:tc>
          <w:tcPr>
            <w:tcW w:type="dxa" w:w="1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۰.۳۶</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7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۶.۷۷</w:t>
            </w:r>
          </w:p>
        </w:tc>
        <w:tc>
          <w:tcPr>
            <w:tcW w:type="dxa" w:w="1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۰.۶۵</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7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r>
      <w:tr>
        <w:trPr>
          <w:cantSplit/>
        </w:trPr>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۸.۳۵</w:t>
            </w:r>
          </w:p>
        </w:tc>
        <w:tc>
          <w:tcPr>
            <w:tcW w:type="dxa" w:w="1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۰.۸۹</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۱۰۵.۶</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7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w:t>
            </w:r>
          </w:p>
        </w:tc>
      </w:tr>
    </w:tbl>
    <w:p>
      <w:pPr>
        <w:spacing w:after="200"/>
      </w:pPr>
    </w:p>
    <w:p>
      <w:pPr>
        <w:keepNext/>
        <w:spacing w:after="60" w:before="160"/>
        <w:jc w:val="center"/>
      </w:pPr>
      <w:r>
        <w:drawing>
          <wp:inline distT="0" distB="0" distL="0" distR="0">
            <wp:extent cx="5715000" cy="28194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۸-۴: بازده درآمد دریافتی تسهیلات، نرخ قراردادی و نرخ هزینه‌ی تأمین مالی</w:t>
      </w:r>
    </w:p>
    <w:p>
      <w:pPr>
        <w:bidi/>
        <w:spacing w:after="160" w:line="312"/>
        <w:jc w:val="left"/>
      </w:pPr>
      <w:r>
        <w:rPr>
          <w:rFonts w:ascii="Tahoma" w:cs="Tahoma" w:eastAsia="Tahoma" w:hAnsi="Tahoma"/>
          <w:sz w:val="21"/>
          <w:szCs w:val="21"/>
          <w:rtl/>
        </w:rPr>
        <w:t xml:space="preserve">بازده دریافتی در پنج سال از ۷.۰ به ۸.۸ درصد رسیده و در بازه‌ی ۷ تا ۹.۸ درصد نوسان کرده است. اگر پوشش دفتر اقساط (۷۷.۶ درصد) تعدیل شود، بازده دریافتی ۱۴۰۴ حدود ۱۱.۳ درصد خواهد بود. هر دو رقم پایین‌تر از نرخ قراردادی ۱۸.۰۸ درصد است. شکاف میان نرخ قراردادی و بازده دریافتی از تفاوت مبنای تعهدی و نقدی، تأخیر در پرداخت اقساط و مطالبات غیرجاری (۸.۸ درصد پرتفوی نمونه) ناشی می‌شود؛ تفکیک سهم دقیق هر عامل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79" w:id="79"/>
      <w:r>
        <w:rPr>
          <w:rFonts w:ascii="Tahoma" w:cs="Tahoma" w:eastAsia="Tahoma" w:hAnsi="Tahoma"/>
          <w:b/>
          <w:bCs/>
          <w:color w:val="1F4E79"/>
          <w:sz w:val="28"/>
          <w:szCs w:val="28"/>
          <w:rtl/>
        </w:rPr>
        <w:t xml:space="preserve">۸.۴ حاشیه‌ی ناخالص مالی</w:t>
      </w:r>
      <w:bookmarkEnd w:id="79"/>
    </w:p>
    <w:p>
      <w:pPr>
        <w:bidi/>
        <w:spacing w:after="160" w:line="312"/>
        <w:jc w:val="left"/>
      </w:pPr>
      <w:r>
        <w:rPr>
          <w:rFonts w:ascii="Tahoma" w:cs="Tahoma" w:eastAsia="Tahoma" w:hAnsi="Tahoma"/>
          <w:sz w:val="21"/>
          <w:szCs w:val="21"/>
          <w:rtl/>
        </w:rPr>
        <w:t xml:space="preserve">برآورد مرکزی حاشیه، تفاوت نرخ قراردادی تسهیلات (۱۸.۰۸ درصد) و نرخ هزینه‌ی تأمین مالی رسمی ۱۴۰۴ (۱۰.۴۶ درصد) است:</w:t>
      </w:r>
    </w:p>
    <w:p>
      <w:pPr>
        <w:spacing w:after="160" w:before="120"/>
        <w:jc w:val="center"/>
      </w:pPr>
      <m:oMath>
        <m:r>
          <m:t>حاشیه‌ی ناخالص مالی</m:t>
        </m:r>
        <m:r>
          <m:t>=</m:t>
        </m:r>
        <m:r>
          <m:t>۱۸.۰۸٪ − ۱۰.۴۶٪</m:t>
        </m:r>
        <m:r>
          <m:t>=</m:t>
        </m:r>
        <m:r>
          <m:t>۷.۶ واحد درصد</m:t>
        </m:r>
      </m:oMath>
    </w:p>
    <w:p>
      <w:pPr>
        <w:bidi/>
        <w:spacing w:after="160" w:line="312"/>
        <w:jc w:val="left"/>
      </w:pPr>
      <w:r>
        <w:rPr>
          <w:rFonts w:ascii="Tahoma" w:cs="Tahoma" w:eastAsia="Tahoma" w:hAnsi="Tahoma"/>
          <w:sz w:val="21"/>
          <w:szCs w:val="21"/>
          <w:rtl/>
        </w:rPr>
        <w:t xml:space="preserve">این حاشیه، روی میانگین تسهیلات رسمی بانک در ۱۴۰۴ (۱۲۲.۸ هزار میلیارد تومان)، حدود ۹.۴ هزار میلیارد تومان در سال است. این برآورد بر مبنای تعهدی است.</w:t>
      </w:r>
    </w:p>
    <w:p>
      <w:pPr>
        <w:bidi/>
        <w:spacing w:after="160" w:line="312"/>
        <w:jc w:val="left"/>
      </w:pPr>
      <w:r>
        <w:rPr>
          <w:rFonts w:ascii="Tahoma" w:cs="Tahoma" w:eastAsia="Tahoma" w:hAnsi="Tahoma"/>
          <w:sz w:val="21"/>
          <w:szCs w:val="21"/>
          <w:rtl/>
        </w:rPr>
        <w:t xml:space="preserve">جدول ۸-۴ حساسیت حاشیه را نسبت به دو مبنای بازده و سه مبنای هزینه نشان می‌دهد. دو ستون کناری هزینه از جدول سود پرداختی نمونه به دست آمده‌اند که ۳۷.۵ درصد حساب‌ها را پوشش می‌دهد: ستون ۵.۸۵ درصد پس از حذف ردیف‌های تکراری و ستون ۱۵.۷۵ درصد با تمام ردیف‌ها. این دو، حد پایین و حد بالای هزینه را مشخص می‌کنند و مبنای رسمی (۱۰.۴۶ درصد) میان آن‌هاست.</w:t>
      </w:r>
    </w:p>
    <w:p>
      <w:pPr>
        <w:keepNext/>
        <w:bidi/>
        <w:spacing w:after="100" w:before="200"/>
        <w:jc w:val="left"/>
      </w:pPr>
      <w:r>
        <w:rPr>
          <w:rFonts w:ascii="Tahoma" w:cs="Tahoma" w:eastAsia="Tahoma" w:hAnsi="Tahoma"/>
          <w:b/>
          <w:bCs/>
          <w:sz w:val="21"/>
          <w:szCs w:val="21"/>
          <w:rtl/>
        </w:rPr>
        <w:t xml:space="preserve">جدول ۸-۴: حساسیت حاشیه‌ی ناخالص مالی 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5"/>
        <w:gridCol w:w="2225"/>
        <w:gridCol w:w="2333"/>
        <w:gridCol w:w="2227"/>
      </w:tblGrid>
      <w:tr>
        <w:trPr>
          <w:cantSplit/>
          <w:tblHeader/>
        </w:trPr>
        <w:tc>
          <w:tcPr>
            <w:tcW w:type="dxa" w:w="25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بازده تسهیلات</w:t>
            </w:r>
          </w:p>
        </w:tc>
        <w:tc>
          <w:tcPr>
            <w:tcW w:type="dxa" w:w="222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۵.۸۵٪ (حد پایین)</w:t>
            </w:r>
          </w:p>
        </w:tc>
        <w:tc>
          <w:tcPr>
            <w:tcW w:type="dxa" w:w="23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۱۰.۴۶٪ (مبنای رسمی)</w:t>
            </w:r>
          </w:p>
        </w:tc>
        <w:tc>
          <w:tcPr>
            <w:tcW w:type="dxa" w:w="22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۱۵.۷۵٪ (حد بالا)</w:t>
            </w:r>
          </w:p>
        </w:tc>
      </w:tr>
      <w:tr>
        <w:trPr>
          <w:cantSplit/>
        </w:trPr>
        <w:tc>
          <w:tcPr>
            <w:tcW w:type="dxa" w:w="25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قراردادی (۱۸.۰۸٪)</w:t>
            </w:r>
          </w:p>
        </w:tc>
        <w:tc>
          <w:tcPr>
            <w:tcW w:type="dxa" w:w="22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۷.۶+</w:t>
            </w:r>
          </w:p>
        </w:tc>
        <w:tc>
          <w:tcPr>
            <w:tcW w:type="dxa" w:w="22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5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با تعدیل پوشش (۱۱.۳٪)</w:t>
            </w:r>
          </w:p>
        </w:tc>
        <w:tc>
          <w:tcPr>
            <w:tcW w:type="dxa" w:w="22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22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5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کران پایین (۸.۸٪)</w:t>
            </w:r>
          </w:p>
        </w:tc>
        <w:tc>
          <w:tcPr>
            <w:tcW w:type="dxa" w:w="22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22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r>
    </w:tbl>
    <w:p>
      <w:pPr>
        <w:spacing w:after="200"/>
      </w:pPr>
    </w:p>
    <w:p>
      <w:pPr>
        <w:bidi/>
        <w:spacing w:after="160" w:line="312"/>
        <w:jc w:val="left"/>
      </w:pPr>
      <w:r>
        <w:rPr>
          <w:rFonts w:ascii="Tahoma" w:cs="Tahoma" w:eastAsia="Tahoma" w:hAnsi="Tahoma"/>
          <w:sz w:val="21"/>
          <w:szCs w:val="21"/>
          <w:rtl/>
        </w:rPr>
        <w:t xml:space="preserve">بازه‌ی حاشیه بر مبنای نرخ قراردادی ۲.۳+ تا ۱۲.۲+ واحد درصد با برآورد مرکزی ۷.۶+ است. در صورتی که بازده دریافتی به‌جای نرخ قراردادی مبنا قرار گیرد، حاشیه نزدیک به صفر است. تحقق حاشیه‌ی قراردادی، یعنی نزدیک‌کردن بازده دریافتی به نرخ قراردادی، مهم‌ترین اهرم سودآوری بانک است و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80" w:id="80"/>
      <w:r>
        <w:rPr>
          <w:rFonts w:ascii="Tahoma" w:cs="Tahoma" w:eastAsia="Tahoma" w:hAnsi="Tahoma"/>
          <w:b/>
          <w:bCs/>
          <w:color w:val="1F4E79"/>
          <w:sz w:val="28"/>
          <w:szCs w:val="28"/>
          <w:rtl/>
        </w:rPr>
        <w:t xml:space="preserve">۸.۵ ساختار درآمد</w:t>
      </w:r>
      <w:bookmarkEnd w:id="80"/>
    </w:p>
    <w:p>
      <w:pPr>
        <w:bidi/>
        <w:spacing w:after="160" w:line="312"/>
        <w:jc w:val="left"/>
      </w:pPr>
      <w:r>
        <w:rPr>
          <w:rFonts w:ascii="Tahoma" w:cs="Tahoma" w:eastAsia="Tahoma" w:hAnsi="Tahoma"/>
          <w:sz w:val="21"/>
          <w:szCs w:val="21"/>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تعریف مبلغ کارمزد هنوز از بانک تأیید نشده است (بخش ۲.۶).</w:t>
      </w:r>
    </w:p>
    <w:p>
      <w:pPr>
        <w:keepNext/>
        <w:bidi/>
        <w:spacing w:after="100" w:before="200"/>
        <w:jc w:val="left"/>
      </w:pPr>
      <w:r>
        <w:rPr>
          <w:rFonts w:ascii="Tahoma" w:cs="Tahoma" w:eastAsia="Tahoma" w:hAnsi="Tahoma"/>
          <w:b/>
          <w:bCs/>
          <w:sz w:val="21"/>
          <w:szCs w:val="21"/>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درآمد سود تسهیلات در ۱۴۰۰ تا ۱۴۰۴ ۵.۰ برابر شده (از ۱.۶۷ به ۸.۳۵) و درآمد کارمزد ۱.۷ برابر (از ۰.۳۶ به ۰.۶۰)؛ بنابراین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1" w:id="81"/>
      <w:r>
        <w:rPr>
          <w:rFonts w:ascii="Tahoma" w:cs="Tahoma" w:eastAsia="Tahoma" w:hAnsi="Tahoma"/>
          <w:b/>
          <w:bCs/>
          <w:color w:val="1F4E79"/>
          <w:sz w:val="28"/>
          <w:szCs w:val="28"/>
          <w:rtl/>
        </w:rPr>
        <w:t xml:space="preserve">۸.۶ جمع‌بندی و محدودیت‌ها</w:t>
      </w:r>
      <w:bookmarkEnd w:id="81"/>
    </w:p>
    <w:p>
      <w:pPr>
        <w:bidi/>
        <w:spacing w:after="160" w:line="312"/>
        <w:jc w:val="left"/>
      </w:pPr>
      <w:r>
        <w:rPr>
          <w:rFonts w:ascii="Tahoma" w:cs="Tahoma" w:eastAsia="Tahoma" w:hAnsi="Tahoma"/>
          <w:sz w:val="21"/>
          <w:szCs w:val="21"/>
          <w:rtl/>
        </w:rPr>
        <w:t xml:space="preserve">نتایج قابل استناد این فصل به شرح زیر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هزینه‌ی تأمین مالی</w:t>
      </w:r>
      <w:r>
        <w:rPr>
          <w:rFonts w:ascii="Tahoma" w:cs="Tahoma" w:eastAsia="Tahoma" w:hAnsi="Tahoma"/>
          <w:sz w:val="21"/>
          <w:szCs w:val="21"/>
          <w:rtl/>
        </w:rPr>
        <w:t xml:space="preserve"> از ۸.۲ درصد در ۱۴۰۰ به ۱۰.۵ درصد در ۱۴۰۴ رسیده و سود پرداختی ۴.۸ برابر شده است؛ این افزایش عمدتاً ناشی از نرخ سود است و ترکیب منابع (۳۳.۴ درصد قرض‌الحسنه) اثر محدودی داشته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حاشیه‌ی ناخالص مالی</w:t>
      </w:r>
      <w:r>
        <w:rPr>
          <w:rFonts w:ascii="Tahoma" w:cs="Tahoma" w:eastAsia="Tahoma" w:hAnsi="Tahoma"/>
          <w:sz w:val="21"/>
          <w:szCs w:val="21"/>
          <w:rtl/>
        </w:rPr>
        <w:t xml:space="preserve"> بر مبنای نرخ قراردادی ۷.۶ واحد درصد (بازه‌ی ۲.۳ تا ۱۲.۲) و معادل حدود ۹.۴ هزار میلیارد تومان در سال ۱۴۰۴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نوع قرارداد:</w:t>
      </w:r>
      <w:r>
        <w:rPr>
          <w:rFonts w:ascii="Tahoma" w:cs="Tahoma" w:eastAsia="Tahoma" w:hAnsi="Tahoma"/>
          <w:sz w:val="21"/>
          <w:szCs w:val="21"/>
          <w:rtl/>
        </w:rPr>
        <w:t xml:space="preserve"> مرابحه، مشارکت مدنی و مضاربه بیش از ۱۰ واحد درصد بالاتر از هزینه‌ی تأمین مالی‌اند و قرض‌الحسنه ۶.۵ واحد درصد پایین‌تر از آن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بازده دریافتی</w:t>
      </w:r>
      <w:r>
        <w:rPr>
          <w:rFonts w:ascii="Tahoma" w:cs="Tahoma" w:eastAsia="Tahoma" w:hAnsi="Tahoma"/>
          <w:sz w:val="21"/>
          <w:szCs w:val="21"/>
          <w:rtl/>
        </w:rPr>
        <w:t xml:space="preserve"> (۸.۸ درصد، یا ۱۱.۳ درصد با تعدیل پوشش) از نرخ قراردادی پایین‌تر است؛ تحقق نرخ قراردادی مهم‌ترین ظرفیت بهبود سودآوری است.</w:t>
      </w:r>
    </w:p>
    <w:p>
      <w:pPr>
        <w:bidi/>
        <w:spacing w:after="160" w:line="312"/>
        <w:jc w:val="left"/>
      </w:pPr>
      <w:r>
        <w:rPr>
          <w:rFonts w:ascii="Tahoma" w:cs="Tahoma" w:eastAsia="Tahoma" w:hAnsi="Tahoma"/>
          <w:sz w:val="21"/>
          <w:szCs w:val="21"/>
          <w:rtl/>
        </w:rPr>
        <w:t xml:space="preserve">محدودیت‌های این برآورد: سود خالص را نشان نمی‌دهد و هزینه‌های اداری و پرسنلی، مالیات و ذخیره‌ی مطالبات در آن لحاظ نشده است؛ بازده دریافتی بر دفتر اقساط قراردادهای دارای اطلاعات استوار است؛ و نرخ قراردادی به‌صورت میانگین وزنی بر پایه‌ی مبلغ اعطایی محاسبه شده است.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2" w:id="82"/>
      <w:r>
        <w:rPr>
          <w:rFonts w:ascii="Tahoma" w:cs="Tahoma" w:eastAsia="Tahoma" w:hAnsi="Tahoma"/>
          <w:b/>
          <w:bCs/>
          <w:color w:val="1F4E79"/>
          <w:sz w:val="34"/>
          <w:szCs w:val="34"/>
          <w:rtl/>
        </w:rPr>
        <w:t xml:space="preserve">فصل ۹ — جمع‌بندی، پیشنهادها و مسیر پیش رو</w:t>
      </w:r>
      <w:bookmarkEnd w:id="82"/>
    </w:p>
    <w:p>
      <w:pPr>
        <w:pStyle w:val="Heading2"/>
        <w:keepNext/>
        <w:bidi/>
        <w:spacing w:after="160" w:before="300"/>
        <w:jc w:val="left"/>
      </w:pPr>
      <w:bookmarkStart w:name="_Toc83" w:id="83"/>
      <w:r>
        <w:rPr>
          <w:rFonts w:ascii="Tahoma" w:cs="Tahoma" w:eastAsia="Tahoma" w:hAnsi="Tahoma"/>
          <w:b/>
          <w:bCs/>
          <w:color w:val="1F4E79"/>
          <w:sz w:val="28"/>
          <w:szCs w:val="28"/>
          <w:rtl/>
        </w:rPr>
        <w:t xml:space="preserve">۹.۱ جمع‌بندی یافته‌های فاز ۱</w:t>
      </w:r>
      <w:bookmarkEnd w:id="83"/>
    </w:p>
    <w:p>
      <w:pPr>
        <w:bidi/>
        <w:spacing w:after="160" w:line="312"/>
        <w:jc w:val="left"/>
      </w:pPr>
      <w:r>
        <w:rPr>
          <w:rFonts w:ascii="Tahoma" w:cs="Tahoma" w:eastAsia="Tahoma" w:hAnsi="Tahoma"/>
          <w:sz w:val="21"/>
          <w:szCs w:val="21"/>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60" w:line="312"/>
        <w:jc w:val="left"/>
      </w:pPr>
      <w:r>
        <w:rPr>
          <w:rFonts w:ascii="Tahoma" w:cs="Tahoma" w:eastAsia="Tahoma" w:hAnsi="Tahoma"/>
          <w:b/>
          <w:bCs/>
          <w:sz w:val="21"/>
          <w:szCs w:val="21"/>
          <w:rtl/>
        </w:rPr>
        <w:t xml:space="preserve">نمونه و اعتبار تحلیل‌ها (فصل‌های ۱ و ۲).</w:t>
      </w:r>
      <w:r>
        <w:rPr>
          <w:rFonts w:ascii="Tahoma" w:cs="Tahoma" w:eastAsia="Tahoma" w:hAnsi="Tahoma"/>
          <w:sz w:val="21"/>
          <w:szCs w:val="21"/>
          <w:rtl/>
        </w:rPr>
        <w:t xml:space="preserve"> نمونه‌ی تحلیلی ۹.۵ درصد سپرده‌گذاران و ۱۵.۸ درصد گیرندگان تسهیلات بانک را شامل می‌شود، اما ۶۳.۷ درصد منابع ریالی و ۸۶.۵ درصد مانده‌ی تسهیلات بانک را پوشش می‌دهد. نسبت مطالبات غیرجاری نمونه با آمار رسمی بانک در ۶۰ ماه همبستگی ۰.۹۶ دارد و الگوی استانی آن با بانک همبستگی ۰.۹۹؛ بنابراین روندها و نسبت‌های گزارش برای کل بانک معنادارند.</w:t>
      </w:r>
    </w:p>
    <w:p>
      <w:pPr>
        <w:bidi/>
        <w:spacing w:after="160" w:line="312"/>
        <w:jc w:val="left"/>
      </w:pPr>
      <w:r>
        <w:rPr>
          <w:rFonts w:ascii="Tahoma" w:cs="Tahoma" w:eastAsia="Tahoma" w:hAnsi="Tahoma"/>
          <w:b/>
          <w:bCs/>
          <w:sz w:val="21"/>
          <w:szCs w:val="21"/>
          <w:rtl/>
        </w:rPr>
        <w:t xml:space="preserve">مشتریان (فصل ۳).</w:t>
      </w:r>
      <w:r>
        <w:rPr>
          <w:rFonts w:ascii="Tahoma" w:cs="Tahoma" w:eastAsia="Tahoma" w:hAnsi="Tahoma"/>
          <w:sz w:val="21"/>
          <w:szCs w:val="21"/>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۹۰.۳ درصد مشتریان نمونه فعال‌اند، ماندگاری کوهورت‌ها ۸۹ تا ۹۵.۵ درصد و نرخ ریزش کامل سالانه کمتر از ۰.۵ درصد است.</w:t>
      </w:r>
    </w:p>
    <w:p>
      <w:pPr>
        <w:bidi/>
        <w:spacing w:after="160" w:line="312"/>
        <w:jc w:val="left"/>
      </w:pPr>
      <w:r>
        <w:rPr>
          <w:rFonts w:ascii="Tahoma" w:cs="Tahoma" w:eastAsia="Tahoma" w:hAnsi="Tahoma"/>
          <w:b/>
          <w:bCs/>
          <w:sz w:val="21"/>
          <w:szCs w:val="21"/>
          <w:rtl/>
        </w:rPr>
        <w:t xml:space="preserve">بازار سپرده (فصل ۴).</w:t>
      </w:r>
      <w:r>
        <w:rPr>
          <w:rFonts w:ascii="Tahoma" w:cs="Tahoma" w:eastAsia="Tahoma" w:hAnsi="Tahoma"/>
          <w:sz w:val="21"/>
          <w:szCs w:val="21"/>
          <w:rtl/>
        </w:rPr>
        <w:t xml:space="preserve"> ساختار منابع به‌شدت نامتقارن است: حدود یک درصد مشتریان بیش از ۸۰ درصد مانده‌ی سپرده‌ی نمونه را دارند. بر اساس آمار رسمی، ۳۳.۴ درصد منابع بانک قرض‌الحسنه است و ۴۶.۵ درصد سپرده‌ی بلندمدت.</w:t>
      </w:r>
    </w:p>
    <w:p>
      <w:pPr>
        <w:bidi/>
        <w:spacing w:after="160" w:line="312"/>
        <w:jc w:val="left"/>
      </w:pPr>
      <w:r>
        <w:rPr>
          <w:rFonts w:ascii="Tahoma" w:cs="Tahoma" w:eastAsia="Tahoma" w:hAnsi="Tahoma"/>
          <w:b/>
          <w:bCs/>
          <w:sz w:val="21"/>
          <w:szCs w:val="21"/>
          <w:rtl/>
        </w:rPr>
        <w:t xml:space="preserve">بازار تسهیلات (فصل ۵).</w:t>
      </w:r>
      <w:r>
        <w:rPr>
          <w:rFonts w:ascii="Tahoma" w:cs="Tahoma" w:eastAsia="Tahoma" w:hAnsi="Tahoma"/>
          <w:sz w:val="21"/>
          <w:szCs w:val="21"/>
          <w:rtl/>
        </w:rPr>
        <w:t xml:space="preserve"> مانده‌ی تسهیلات بانک از ۲۸.۰ به ۱۴۸.۲ هزار میلیارد تومان (۵.۳ برابر) رسیده و همگام با منابع (۵.۱ برابر) رشد کرده است؛ نسبت تسهیلات به منابع رسمی در ۶۰ ماه میان ۱۰۵ و ۱۲۸ درصد بوده و در ۱۲/۱۴۰۴ برابر ۱۱۱.۳ درصد است. مرابحه محور اصلی پرتفوی است و ساختار سررسید متوازن است.</w:t>
      </w:r>
    </w:p>
    <w:p>
      <w:pPr>
        <w:bidi/>
        <w:spacing w:after="160" w:line="312"/>
        <w:jc w:val="left"/>
      </w:pPr>
      <w:r>
        <w:rPr>
          <w:rFonts w:ascii="Tahoma" w:cs="Tahoma" w:eastAsia="Tahoma" w:hAnsi="Tahoma"/>
          <w:b/>
          <w:bCs/>
          <w:sz w:val="21"/>
          <w:szCs w:val="21"/>
          <w:rtl/>
        </w:rPr>
        <w:t xml:space="preserve">کیفیت دارایی (فصل ۶).</w:t>
      </w:r>
      <w:r>
        <w:rPr>
          <w:rFonts w:ascii="Tahoma" w:cs="Tahoma" w:eastAsia="Tahoma" w:hAnsi="Tahoma"/>
          <w:sz w:val="21"/>
          <w:szCs w:val="21"/>
          <w:rtl/>
        </w:rPr>
        <w:t xml:space="preserve"> نسبت مطالبات غیرجاری بانک از ۴.۶ درصد در ۱۲/۱۴۰۳ به ۸.۰ درصد در ۱۲/۱۴۰۴ رسیده است. اعتبارات اسنادی با ۴.۲ درصد پرتفوی ۴۰.۴ درصد مطالبات غیرجاری را دارد؛ شاخص‌های پیش‌نگر (افزایش ۷۰ درصدی نرخ مهاجرت از جاری به سررسیدگذشته و کاهش ۳۸ درصدی نرخ بازیافت) نشان می‌دهد فشار کیفیت دارایی در ۱۴۰۵ ادامه دارد.</w:t>
      </w:r>
    </w:p>
    <w:p>
      <w:pPr>
        <w:bidi/>
        <w:spacing w:after="160" w:line="312"/>
        <w:jc w:val="left"/>
      </w:pPr>
      <w:r>
        <w:rPr>
          <w:rFonts w:ascii="Tahoma" w:cs="Tahoma" w:eastAsia="Tahoma" w:hAnsi="Tahoma"/>
          <w:b/>
          <w:bCs/>
          <w:sz w:val="21"/>
          <w:szCs w:val="21"/>
          <w:rtl/>
        </w:rPr>
        <w:t xml:space="preserve">جغرافیا (فصل ۷).</w:t>
      </w:r>
      <w:r>
        <w:rPr>
          <w:rFonts w:ascii="Tahoma" w:cs="Tahoma" w:eastAsia="Tahoma" w:hAnsi="Tahoma"/>
          <w:sz w:val="21"/>
          <w:szCs w:val="21"/>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60" w:line="312"/>
        <w:jc w:val="left"/>
      </w:pPr>
      <w:r>
        <w:rPr>
          <w:rFonts w:ascii="Tahoma" w:cs="Tahoma" w:eastAsia="Tahoma" w:hAnsi="Tahoma"/>
          <w:b/>
          <w:bCs/>
          <w:sz w:val="21"/>
          <w:szCs w:val="21"/>
          <w:rtl/>
        </w:rPr>
        <w:t xml:space="preserve">سودآوری (فصل ۸).</w:t>
      </w:r>
      <w:r>
        <w:rPr>
          <w:rFonts w:ascii="Tahoma" w:cs="Tahoma" w:eastAsia="Tahoma" w:hAnsi="Tahoma"/>
          <w:sz w:val="21"/>
          <w:szCs w:val="21"/>
          <w:rtl/>
        </w:rPr>
        <w:t xml:space="preserve"> هزینه‌ی تأمین مالی از ۸.۲ به ۱۰.۵ درصد رسیده است. حاشیه‌ی ناخالص مالی بر مبنای نرخ قراردادی ۷.۶ واحد درصد (بازه‌ی ۲.۳ تا ۱۲.۲) و بر مبنای درآمد دریافتی بسیار کمتر است.</w:t>
      </w:r>
    </w:p>
    <w:p>
      <w:pPr>
        <w:pBdr>
          <w:bottom w:val="single" w:color="BBBBBB" w:sz="6"/>
        </w:pBdr>
        <w:spacing w:after="100" w:before="100"/>
      </w:pPr>
    </w:p>
    <w:p>
      <w:pPr>
        <w:pStyle w:val="Heading2"/>
        <w:keepNext/>
        <w:bidi/>
        <w:spacing w:after="160" w:before="300"/>
        <w:jc w:val="left"/>
      </w:pPr>
      <w:bookmarkStart w:name="_Toc84" w:id="84"/>
      <w:r>
        <w:rPr>
          <w:rFonts w:ascii="Tahoma" w:cs="Tahoma" w:eastAsia="Tahoma" w:hAnsi="Tahoma"/>
          <w:b/>
          <w:bCs/>
          <w:color w:val="1F4E79"/>
          <w:sz w:val="28"/>
          <w:szCs w:val="28"/>
          <w:rtl/>
        </w:rPr>
        <w:t xml:space="preserve">۹.۲ پیشنهادهای اولیه برای مدیریت</w:t>
      </w:r>
      <w:bookmarkEnd w:id="84"/>
    </w:p>
    <w:p>
      <w:pPr>
        <w:bidi/>
        <w:spacing w:after="160" w:line="312"/>
        <w:jc w:val="left"/>
      </w:pPr>
      <w:r>
        <w:rPr>
          <w:rFonts w:ascii="Tahoma" w:cs="Tahoma" w:eastAsia="Tahoma" w:hAnsi="Tahoma"/>
          <w:sz w:val="21"/>
          <w:szCs w:val="21"/>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هدف‌گذاری فروش متقاطع.</w:t>
      </w:r>
      <w:r>
        <w:rPr>
          <w:rFonts w:ascii="Tahoma" w:cs="Tahoma" w:eastAsia="Tahoma" w:hAnsi="Tahoma"/>
          <w:sz w:val="21"/>
          <w:szCs w:val="21"/>
          <w:rtl/>
        </w:rPr>
        <w:t xml:space="preserve"> ۱۰۱,۱۹۶ سپرده‌گذار فاقد تسهیلات با مانده‌ی بیش از ۱۰ میلیون تومان، که ۴,۳۳۴ نفر آنان بیش از ۱ میلیارد تومان دارند، بازار هدف قابل‌اقدام فروش تسهیلات‌اند (بخش ۳.۳). آغاز برنامه‌ی فروش از همین گروه کم‌هزینه‌ترین مسیر رشد پرتفوی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پایش متمرکز مطالبات غیرجاری.</w:t>
      </w:r>
      <w:r>
        <w:rPr>
          <w:rFonts w:ascii="Tahoma" w:cs="Tahoma" w:eastAsia="Tahoma" w:hAnsi="Tahoma"/>
          <w:sz w:val="21"/>
          <w:szCs w:val="21"/>
          <w:rtl/>
        </w:rPr>
        <w:t xml:space="preserve"> سه کانون بیشترین اثر را دارند: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تحقق حاشیه‌ی قراردادی.</w:t>
      </w:r>
      <w:r>
        <w:rPr>
          <w:rFonts w:ascii="Tahoma" w:cs="Tahoma" w:eastAsia="Tahoma" w:hAnsi="Tahoma"/>
          <w:sz w:val="21"/>
          <w:szCs w:val="21"/>
          <w:rtl/>
        </w:rPr>
        <w:t xml:space="preserve"> نرخ قراردادی ۱۸.۰۸ درصد است اما بازده دریافتی ۸.۸ تا ۱۱.۳ درصد است. بهبود وصول اقساط و کاهش مطالبات غیرجاری، نزدیک‌کردن بازده دریافتی به نرخ قراردادی، مهم‌ترین ظرفیت سودآوری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مدیریت هزینه‌ی منابع.</w:t>
      </w:r>
      <w:r>
        <w:rPr>
          <w:rFonts w:ascii="Tahoma" w:cs="Tahoma" w:eastAsia="Tahoma" w:hAnsi="Tahoma"/>
          <w:sz w:val="21"/>
          <w:szCs w:val="21"/>
          <w:rtl/>
        </w:rPr>
        <w:t xml:space="preserve"> نرخ هزینه‌ی تأمین مالی در پنج سال ۲.۳ واحد درصد افزایش یافته و سپرده‌ی بلندمدت ۴۶.۵ درصد منابع را تشکیل می‌دهد. افزایش سهم قرض‌الحسنه و کوتاه‌مدت، به‌ویژه در تهران که گران‌ترین ترکیب منابع را دارد، هزینه را کاهش می‌دهد.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تجهیز منابع در استان‌های کم‌منبع.</w:t>
      </w:r>
      <w:r>
        <w:rPr>
          <w:rFonts w:ascii="Tahoma" w:cs="Tahoma" w:eastAsia="Tahoma" w:hAnsi="Tahoma"/>
          <w:sz w:val="21"/>
          <w:szCs w:val="21"/>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تکمیل داده‌ها.</w:t>
      </w:r>
      <w:r>
        <w:rPr>
          <w:rFonts w:ascii="Tahoma" w:cs="Tahoma" w:eastAsia="Tahoma" w:hAnsi="Tahoma"/>
          <w:sz w:val="21"/>
          <w:szCs w:val="21"/>
          <w:rtl/>
        </w:rPr>
        <w:t xml:space="preserve"> اطلاعات قرارداد ۲۲.۴ درصد مانده‌ی تسهیلات، با نسبت غیرجاری ۲۱.۰ درصد، و جدول مشخصات مشتریان مهم‌ترین شکاف‌های اطلاعاتی‌اند و تکمیل آن‌ها کیفیت تصمیم‌گیری در هر پنج محور بالا را افزایش می‌دهد (بخش ۹.۴).</w:t>
      </w:r>
    </w:p>
    <w:p>
      <w:pPr>
        <w:pBdr>
          <w:bottom w:val="single" w:color="BBBBBB" w:sz="6"/>
        </w:pBdr>
        <w:spacing w:after="100" w:before="100"/>
      </w:pPr>
    </w:p>
    <w:p>
      <w:pPr>
        <w:pStyle w:val="Heading2"/>
        <w:keepNext/>
        <w:bidi/>
        <w:spacing w:after="160" w:before="300"/>
        <w:jc w:val="left"/>
      </w:pPr>
      <w:bookmarkStart w:name="_Toc85" w:id="85"/>
      <w:r>
        <w:rPr>
          <w:rFonts w:ascii="Tahoma" w:cs="Tahoma" w:eastAsia="Tahoma" w:hAnsi="Tahoma"/>
          <w:b/>
          <w:bCs/>
          <w:color w:val="1F4E79"/>
          <w:sz w:val="28"/>
          <w:szCs w:val="28"/>
          <w:rtl/>
        </w:rPr>
        <w:t xml:space="preserve">۹.۳ مسیر پیش رو: فازهای ۲ تا ۵</w:t>
      </w:r>
      <w:bookmarkEnd w:id="85"/>
    </w:p>
    <w:p>
      <w:pPr>
        <w:bidi/>
        <w:spacing w:after="160" w:line="312"/>
        <w:jc w:val="left"/>
      </w:pPr>
      <w:r>
        <w:rPr>
          <w:rFonts w:ascii="Tahoma" w:cs="Tahoma" w:eastAsia="Tahoma" w:hAnsi="Tahoma"/>
          <w:sz w:val="21"/>
          <w:szCs w:val="21"/>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Tahoma" w:cs="Tahoma" w:eastAsia="Tahoma" w:hAnsi="Tahoma"/>
          <w:b/>
          <w:bCs/>
          <w:sz w:val="21"/>
          <w:szCs w:val="21"/>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55"/>
        <w:gridCol w:w="2098"/>
        <w:gridCol w:w="2098"/>
        <w:gridCol w:w="2098"/>
        <w:gridCol w:w="2101"/>
      </w:tblGrid>
      <w:tr>
        <w:trPr>
          <w:cantSplit/>
          <w:tblHeader/>
        </w:trPr>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فاز</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ورودی اصلی</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w:t>
            </w:r>
          </w:p>
        </w:tc>
        <w:tc>
          <w:tcPr>
            <w:tcW w:type="dxa" w:w="21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 مؤثر</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خوشه‌بندی مشتریان در بازه‌ی ۵ ساله</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شاخص‌های رفتاری فصل 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بخش‌های رفتاری مشتریان و پروفایل هر بخش</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مشخصات مشتریان (حقیقی/حقوقی، سن، جنسیت، شغل، جغرافیا)</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الگوهای رفتاری به تفکیک گروه‌ها: سودآور، کلان، خرد، جغرافیا و بخش اقتصادی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خوشه‌های فاز ۲، ساختار استانی و هزینه‌ی منابع (فصل‌های ۷ و ۸)</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سودآوری و رفتار هر گروه</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کامل، جدول سود پرداختی کامل</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پیش‌بینی: سود و زیان، نکول، ارزش طول عمر و گرایش مشتری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فازهای ۲ و ۳، شاخص‌های پیش‌نگر فصل ۶</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آموزش‌دیده و ارزیابی دقت آن‌ها</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مشتریان غیرفعال و ریزش‌کرده</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یافته‌ها و راهکارهای سیاستی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تمام فازها</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نهایی و برنامه‌ی اقدام</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bidi/>
        <w:spacing w:after="160" w:line="312"/>
        <w:jc w:val="left"/>
      </w:pPr>
      <w:r>
        <w:rPr>
          <w:rFonts w:ascii="Tahoma" w:cs="Tahoma" w:eastAsia="Tahoma" w:hAnsi="Tahoma"/>
          <w:sz w:val="21"/>
          <w:szCs w:val="21"/>
          <w:rtl/>
        </w:rPr>
        <w:t xml:space="preserve">اجرای فاز ۲ منوط به تأیید گزارش حاضر و دریافت داده‌های اولویت نخست (بخش ۹.۴) است.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pPr>
        <w:pBdr>
          <w:bottom w:val="single" w:color="BBBBBB" w:sz="6"/>
        </w:pBdr>
        <w:spacing w:after="100" w:before="100"/>
      </w:pPr>
    </w:p>
    <w:p>
      <w:pPr>
        <w:pStyle w:val="Heading2"/>
        <w:keepNext/>
        <w:bidi/>
        <w:spacing w:after="160" w:before="300"/>
        <w:jc w:val="left"/>
      </w:pPr>
      <w:bookmarkStart w:name="_Toc86" w:id="86"/>
      <w:r>
        <w:rPr>
          <w:rFonts w:ascii="Tahoma" w:cs="Tahoma" w:eastAsia="Tahoma" w:hAnsi="Tahoma"/>
          <w:b/>
          <w:bCs/>
          <w:color w:val="1F4E79"/>
          <w:sz w:val="28"/>
          <w:szCs w:val="28"/>
          <w:rtl/>
        </w:rPr>
        <w:t xml:space="preserve">۹.۴ داده‌های درخواستی از بانک</w:t>
      </w:r>
      <w:bookmarkEnd w:id="86"/>
    </w:p>
    <w:p>
      <w:pPr>
        <w:bidi/>
        <w:spacing w:after="160" w:line="312"/>
        <w:jc w:val="left"/>
      </w:pPr>
      <w:r>
        <w:rPr>
          <w:rFonts w:ascii="Tahoma" w:cs="Tahoma" w:eastAsia="Tahoma" w:hAnsi="Tahoma"/>
          <w:sz w:val="21"/>
          <w:szCs w:val="21"/>
          <w:rtl/>
        </w:rPr>
        <w:t xml:space="preserve">جدول ۹-۲ داده‌های تکمیلی را به ترتیب اولویت فهرست می‌کند. اولویت ۱ مواردی است که بیشترین اثر را بر کیفیت فاز ۲ دارند.</w:t>
      </w:r>
    </w:p>
    <w:p>
      <w:pPr>
        <w:keepNext/>
        <w:bidi/>
        <w:spacing w:after="100" w:before="200"/>
        <w:jc w:val="left"/>
      </w:pPr>
      <w:r>
        <w:rPr>
          <w:rFonts w:ascii="Tahoma" w:cs="Tahoma" w:eastAsia="Tahoma" w:hAnsi="Tahoma"/>
          <w:b/>
          <w:bCs/>
          <w:sz w:val="21"/>
          <w:szCs w:val="21"/>
          <w:rtl/>
        </w:rPr>
        <w:t xml:space="preserve">جدول ۹-۲: داده‌های درخواستی از بانک و اولویت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7"/>
        <w:gridCol w:w="2885"/>
        <w:gridCol w:w="2885"/>
        <w:gridCol w:w="2083"/>
      </w:tblGrid>
      <w:tr>
        <w:trPr>
          <w:cantSplit/>
          <w:tblHeader/>
        </w:trPr>
        <w:tc>
          <w:tcPr>
            <w:tcW w:type="dxa" w:w="14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درخواستی</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w:t>
            </w:r>
          </w:p>
        </w:tc>
        <w:tc>
          <w:tcPr>
            <w:tcW w:type="dxa" w:w="2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فصل‌های اثرپذیر</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مشخصات مشتریان (</w:t>
            </w:r>
            <w:r>
              <w:rPr>
                <w:rFonts w:ascii="Consolas" w:cs="Consolas" w:eastAsia="Consolas" w:hAnsi="Consolas"/>
                <w:b w:val="false"/>
                <w:bCs w:val="false"/>
                <w:sz w:val="16"/>
                <w:szCs w:val="16"/>
                <w:rtl w:val="false"/>
              </w:rPr>
              <w:t xml:space="preserve">Customer_Profile</w:t>
            </w:r>
            <w:r>
              <w:rPr>
                <w:rFonts w:ascii="Tahoma" w:cs="Tahoma" w:eastAsia="Tahoma" w:hAnsi="Tahoma"/>
                <w:b w:val="false"/>
                <w:bCs w:val="false"/>
                <w:sz w:val="19"/>
                <w:szCs w:val="19"/>
                <w:rtl/>
              </w:rPr>
              <w:t xml:space="preserve">)</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حقیقی و حقوقی؛ تحلیل بر اساس سن، جنسیت، شغل و جغرافیا</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۲</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کل پرتفوی؛ دقت تحلیل ریسک</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تمام حساب‌ها، همراه با شناسه‌ی تراکنش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هزینه‌ی تأمین مالی به تفکیک گروه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 و فاز ۳</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ریزش کل بانک و مدل گرایش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۴</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صورت سود و زیان رسمی بانک (۱۴۰۰ تا ۱۴۰۴)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درآمد دریافتی با نرخ قراردادی و کالیبراسیون برآورد سودآوری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رسمی شعبه به شهر و استان و درجه‌ی عملکردی شعب</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شعبه در گزارش محرمانه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سری تسهیلات پرداختی و اقساط ماهانه‌ی کل بانک</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جریان‌های تسهیلات با نمونه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 و ۸</w:t>
            </w:r>
          </w:p>
        </w:tc>
      </w:tr>
    </w:tbl>
    <w:p>
      <w:pPr>
        <w:spacing w:after="200"/>
      </w:pPr>
    </w:p>
    <w:p>
      <w:pPr>
        <w:pBdr>
          <w:bottom w:val="single" w:color="BBBBBB" w:sz="6"/>
        </w:pBdr>
        <w:spacing w:after="100" w:before="100"/>
      </w:pPr>
    </w:p>
    <w:p>
      <w:pPr>
        <w:pStyle w:val="Heading2"/>
        <w:keepNext/>
        <w:bidi/>
        <w:spacing w:after="160" w:before="300"/>
        <w:jc w:val="left"/>
      </w:pPr>
      <w:bookmarkStart w:name="_Toc87" w:id="87"/>
      <w:r>
        <w:rPr>
          <w:rFonts w:ascii="Tahoma" w:cs="Tahoma" w:eastAsia="Tahoma" w:hAnsi="Tahoma"/>
          <w:b/>
          <w:bCs/>
          <w:color w:val="1F4E79"/>
          <w:sz w:val="28"/>
          <w:szCs w:val="28"/>
          <w:rtl/>
        </w:rPr>
        <w:t xml:space="preserve">۹.۵ پرسش‌های فنی از بانک</w:t>
      </w:r>
      <w:bookmarkEnd w:id="87"/>
    </w:p>
    <w:p>
      <w:pPr>
        <w:bidi/>
        <w:spacing w:after="160" w:line="312"/>
        <w:jc w:val="left"/>
      </w:pPr>
      <w:r>
        <w:rPr>
          <w:rFonts w:ascii="Tahoma" w:cs="Tahoma" w:eastAsia="Tahoma" w:hAnsi="Tahoma"/>
          <w:sz w:val="21"/>
          <w:szCs w:val="21"/>
          <w:rtl/>
        </w:rPr>
        <w:t xml:space="preserve">موارد زیر پرسش‌هایی درباره‌ی ساختار داده‌اند و پاسخ بانک دقت تفسیر را افزایش می‌دهد. در پایان هر مورد روشن شده است که تحلیل‌های گزارش تا چه اندازه به آن وابسته‌اند.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تعریف ستون میانگین مانده‌ی سپرده</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روش محاسبه‌ی دقیق این ستون، به‌ویژه در ماه افتتاح حساب.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ماهیت مبلغ کارمزد:</w:t>
      </w:r>
      <w:r>
        <w:rPr>
          <w:rFonts w:ascii="Tahoma" w:cs="Tahoma" w:eastAsia="Tahoma" w:hAnsi="Tahoma"/>
          <w:sz w:val="21"/>
          <w:szCs w:val="21"/>
          <w:rtl/>
        </w:rPr>
        <w:t xml:space="preserve"> مبلغ هر کد کارمزد مبلغ همان ماه است یا مقدار تجمعی. از درآمد کارمزد در برآورد حاشیه استفاده نشده است (بخش ۸.۵).</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تفکیک انواع سپرده از ۱۱/۱۴۰۴:</w:t>
      </w:r>
      <w:r>
        <w:rPr>
          <w:rFonts w:ascii="Tahoma" w:cs="Tahoma" w:eastAsia="Tahoma" w:hAnsi="Tahoma"/>
          <w:sz w:val="21"/>
          <w:szCs w:val="21"/>
          <w:rtl/>
        </w:rPr>
        <w:t xml:space="preserve"> در فایل رسمی ماهانه‌ی بانک، از ۱۱/۱۴۰۴ به بعد جمع انواع سپرده با ستون «مانده‌ی منابع ریالی» برابر نیست. در تحلیل ترکیب منابع فقط ماه‌هایی به کار رفته که این تطابق در آن‌ها برقرار است (تا ۱۰/۱۴۰۴).</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شعبه‌ی مستقل مرکزی (کد ۳۱۳):</w:t>
      </w:r>
      <w:r>
        <w:rPr>
          <w:rFonts w:ascii="Tahoma" w:cs="Tahoma" w:eastAsia="Tahoma" w:hAnsi="Tahoma"/>
          <w:sz w:val="21"/>
          <w:szCs w:val="21"/>
          <w:rtl/>
        </w:rP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تعریف اعتبارات اسنادی:</w:t>
      </w:r>
      <w:r>
        <w:rPr>
          <w:rFonts w:ascii="Tahoma" w:cs="Tahoma" w:eastAsia="Tahoma" w:hAnsi="Tahoma"/>
          <w:sz w:val="21"/>
          <w:szCs w:val="21"/>
          <w:rtl/>
        </w:rP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درآمد سود تسهیلات در حساب‌های بانک:</w:t>
      </w:r>
      <w:r>
        <w:rPr>
          <w:rFonts w:ascii="Tahoma" w:cs="Tahoma" w:eastAsia="Tahoma" w:hAnsi="Tahoma"/>
          <w:sz w:val="21"/>
          <w:szCs w:val="21"/>
          <w:rtl/>
        </w:rPr>
        <w:t xml:space="preserve"> مبلغ سود شناسایی‌شده‌ی سالانه، برای مقایسه با نرخ قراردادی (۱۸.۰۸ درصد) و بازده دریافتی (۸.۸ تا ۱۱.۳ درصد). این مورد با صورت سود و زیان رسمی (جدول ۹-۲) پاسخ داده می‌شود.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سرشکن‌شدن سود شعب</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روش تخصیص سود پرداختی در جدول مرجع بانک. برآورد هزینه‌ی تأمین مالی (فصل ۸) بر همین جدول استوار است و جدول سود پرداختی نمونه فقط در تحلیل حساسیت به کار رفته است.</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b/>
          <w:bCs/>
          <w:sz w:val="21"/>
          <w:szCs w:val="21"/>
          <w:rtl/>
        </w:rPr>
        <w:t xml:space="preserve">مبنای طبقات مانده‌ی سپرده در فایل توزیع مشتریان:</w:t>
      </w:r>
      <w:r>
        <w:rPr>
          <w:rFonts w:ascii="Tahoma" w:cs="Tahoma" w:eastAsia="Tahoma" w:hAnsi="Tahoma"/>
          <w:sz w:val="21"/>
          <w:szCs w:val="21"/>
          <w:rtl/>
        </w:rPr>
        <w:t xml:space="preserve"> تعریف مانده‌ی مشتری در این فایل،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b/>
          <w:bCs/>
          <w:sz w:val="21"/>
          <w:szCs w:val="21"/>
          <w:rtl/>
        </w:rPr>
        <w:t xml:space="preserve">مبلغ‌های `amount_eq`</w:t>
      </w:r>
      <w:r>
        <w:rPr>
          <w:rFonts w:ascii="Tahoma" w:cs="Tahoma" w:eastAsia="Tahoma" w:hAnsi="Tahoma"/>
          <w:sz w:val="21"/>
          <w:szCs w:val="21"/>
          <w:rtl/>
        </w:rPr>
        <w:t xml:space="preserve"> در جدول خلاصه‌ی ماهانه‌ی مشتری: مجموع تراکنش‌ها یا خالص مانده. از این ستون در تحلیل‌های اصلی استفاده نشده است.</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b/>
          <w:bCs/>
          <w:sz w:val="21"/>
          <w:szCs w:val="21"/>
          <w:rtl/>
        </w:rPr>
        <w:t xml:space="preserve">حساب‌های «نزد سایر بانک‌ها»</w:t>
      </w:r>
      <w:r>
        <w:rPr>
          <w:rFonts w:ascii="Tahoma" w:cs="Tahoma" w:eastAsia="Tahoma" w:hAnsi="Tahoma"/>
          <w:sz w:val="21"/>
          <w:szCs w:val="21"/>
          <w:rtl/>
        </w:rPr>
        <w:t xml:space="preserve"> (۱,۱۰۰ حساب): دارایی بانک‌اند یا بدهی. حجم آن‌ها بر نتایج اثر محسوسی ندارد.</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b/>
          <w:bCs/>
          <w:sz w:val="21"/>
          <w:szCs w:val="21"/>
          <w:rtl/>
        </w:rPr>
        <w:t xml:space="preserve">شناسه‌ی داخلی شعب:</w:t>
      </w:r>
      <w:r>
        <w:rPr>
          <w:rFonts w:ascii="Tahoma" w:cs="Tahoma" w:eastAsia="Tahoma" w:hAnsi="Tahoma"/>
          <w:sz w:val="21"/>
          <w:szCs w:val="21"/>
          <w:rtl/>
        </w:rPr>
        <w:t xml:space="preserve"> برای هشت شناسه‌ی داخلی که در جدول فهرست شعب با دو کد شعبه‌ی متفاوت ثبت شده‌اند، شناسه‌ی صحیح هر شعبه اعلام شود. شعب در تحلیل‌ها با کد شناسایی شده‌اند و این مورد بر ارقام اثر ندارد.</w:t>
      </w:r>
    </w:p>
    <w:p>
      <w:pPr>
        <w:pBdr>
          <w:bottom w:val="single" w:color="BBBBBB" w:sz="6"/>
        </w:pBdr>
        <w:spacing w:after="100" w:before="100"/>
      </w:pPr>
    </w:p>
    <w:p>
      <w:pPr>
        <w:pStyle w:val="Heading2"/>
        <w:keepNext/>
        <w:bidi/>
        <w:spacing w:after="160" w:before="300"/>
        <w:jc w:val="left"/>
      </w:pPr>
      <w:bookmarkStart w:name="_Toc88" w:id="88"/>
      <w:r>
        <w:rPr>
          <w:rFonts w:ascii="Tahoma" w:cs="Tahoma" w:eastAsia="Tahoma" w:hAnsi="Tahoma"/>
          <w:b/>
          <w:bCs/>
          <w:color w:val="1F4E79"/>
          <w:sz w:val="28"/>
          <w:szCs w:val="28"/>
          <w:rtl/>
        </w:rPr>
        <w:t xml:space="preserve">۹.۶ درخواست از بانک</w:t>
      </w:r>
      <w:bookmarkEnd w:id="88"/>
    </w:p>
    <w:p>
      <w:pPr>
        <w:bidi/>
        <w:spacing w:after="160" w:line="312"/>
        <w:jc w:val="left"/>
      </w:pPr>
      <w:r>
        <w:rPr>
          <w:rFonts w:ascii="Tahoma" w:cs="Tahoma" w:eastAsia="Tahoma" w:hAnsi="Tahoma"/>
          <w:sz w:val="21"/>
          <w:szCs w:val="21"/>
          <w:rtl/>
        </w:rPr>
        <w:t xml:space="preserve">با تحویل این گزارش، از بانک درخواست می‌شود: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گزارش فاز ۱ را بررسی و تأیید کند، یا نظرات اصلاحی خود را اعلام نماید.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داده‌های اولویت ۱ و ۲ (جدول ۹-۲) را در اختیار تیم پروژه قرار دهد و برای هماهنگی دریافت داده، نماینده‌ای معرفی کند.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به پرسش‌های فنی بخش ۹.۵، دست‌کم برای موارد ۱، ۳، ۴ و ۵، پاسخ دهد.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در خصوص قالب گزارش محرمانه‌ی عملکرد شعب (فقط با کد شعبه) و گیرندگان آن اعلام نظر کند.</w:t>
      </w:r>
    </w:p>
    <w:p>
      <w:pPr>
        <w:bidi/>
        <w:spacing w:after="160" w:line="312"/>
        <w:jc w:val="left"/>
      </w:pPr>
      <w:r>
        <w:rPr>
          <w:rFonts w:ascii="Tahoma" w:cs="Tahoma" w:eastAsia="Tahoma" w:hAnsi="Tahoma"/>
          <w:sz w:val="21"/>
          <w:szCs w:val="21"/>
          <w:rtl/>
        </w:rPr>
        <w:t xml:space="preserve">پس از تأیید گزارش و دریافت داده‌های اولویت ۱،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0cb3c5c015da4b1793cc71c9221f748fd58a70e3.png"/><Relationship Id="rId13" Type="http://schemas.openxmlformats.org/officeDocument/2006/relationships/image" Target="media/230a3d2af19f3b8497ecbcf30c7d4be8e57de409.png"/><Relationship Id="rId14" Type="http://schemas.openxmlformats.org/officeDocument/2006/relationships/image" Target="media/c1a984d635d5a53714b5fa9c11a8ddf4b84fe9cf.png"/><Relationship Id="rId15" Type="http://schemas.openxmlformats.org/officeDocument/2006/relationships/image" Target="media/3f77d094ac3abfe7dbdc40291dd6f85955a86007.png"/><Relationship Id="rId16" Type="http://schemas.openxmlformats.org/officeDocument/2006/relationships/image" Target="media/f0c8870c28881e5a08c331f567a3ec9846cb8611.png"/><Relationship Id="rId17" Type="http://schemas.openxmlformats.org/officeDocument/2006/relationships/image" Target="media/21ae61bb86e6e67832d5c77ec3d60328ea3aa987.png"/><Relationship Id="rId18" Type="http://schemas.openxmlformats.org/officeDocument/2006/relationships/image" Target="media/5801ee65ea88e681d25b427859315dcb81c245f8.png"/><Relationship Id="rId19" Type="http://schemas.openxmlformats.org/officeDocument/2006/relationships/image" Target="media/904ce1ab5f0a0b005e590e10141bea75a8b5f80d.png"/><Relationship Id="rId20" Type="http://schemas.openxmlformats.org/officeDocument/2006/relationships/image" Target="media/2bcb462b5912e6f1f9392fbe0608e64eb41ccc2b.png"/><Relationship Id="rId21" Type="http://schemas.openxmlformats.org/officeDocument/2006/relationships/image" Target="media/ab2cf74c2520590dddc672c00eb0359a19052c11.png"/><Relationship Id="rId22" Type="http://schemas.openxmlformats.org/officeDocument/2006/relationships/image" Target="media/cfd2a5ffcf9f531a9db23957e851e3a8d1c21afb.png"/><Relationship Id="rId23" Type="http://schemas.openxmlformats.org/officeDocument/2006/relationships/image" Target="media/2947e31eaaefd769df4b466b9c2b6d7497a89fde.png"/><Relationship Id="rId24" Type="http://schemas.openxmlformats.org/officeDocument/2006/relationships/image" Target="media/78cf666aaae98053a093713e02066658c49fa679.png"/><Relationship Id="rId25" Type="http://schemas.openxmlformats.org/officeDocument/2006/relationships/image" Target="media/a6bfb562f42ee10eee24c0d41706856689c52410.png"/><Relationship Id="rId26" Type="http://schemas.openxmlformats.org/officeDocument/2006/relationships/image" Target="media/7e628982989897764c63f4838df344ace68cd150.png"/><Relationship Id="rId27" Type="http://schemas.openxmlformats.org/officeDocument/2006/relationships/image" Target="media/8cec2eefa8da967d97958cc6ff17b69357eff543.png"/><Relationship Id="rId28" Type="http://schemas.openxmlformats.org/officeDocument/2006/relationships/image" Target="media/4a25686005a6bd725079f3d10ca6c822d43af05c.png"/><Relationship Id="rId29" Type="http://schemas.openxmlformats.org/officeDocument/2006/relationships/image" Target="media/ba89880c432300a7d8d6fdd9d9f82531212bfb64.png"/><Relationship Id="rId30" Type="http://schemas.openxmlformats.org/officeDocument/2006/relationships/image" Target="media/6e092f2800639fa74d9b813a1fd16e35fbc35b3e.png"/><Relationship Id="rId31" Type="http://schemas.openxmlformats.org/officeDocument/2006/relationships/image" Target="media/fc3029deda599f42a1230ab4575d1e3ed3c609fe.png"/><Relationship Id="rId32" Type="http://schemas.openxmlformats.org/officeDocument/2006/relationships/image" Target="media/b17700ef1bb42c4173f5cf9e5b284f75b9478868.png"/><Relationship Id="rId33" Type="http://schemas.openxmlformats.org/officeDocument/2006/relationships/image" Target="media/ed440385fcb8f2a79d5ec8a0f93331a9d780e494.png"/><Relationship Id="rId34" Type="http://schemas.openxmlformats.org/officeDocument/2006/relationships/image" Target="media/9fc932c526edec4a4dc9d9f9b1f6d4cb03733b7f.png"/><Relationship Id="rId35" Type="http://schemas.openxmlformats.org/officeDocument/2006/relationships/image" Target="media/86fdba8ee5b5c7ed19d15054c82967a7089977ef.png"/><Relationship Id="rId36" Type="http://schemas.openxmlformats.org/officeDocument/2006/relationships/image" Target="media/3fb595c08b43516ae3530c25e93376d22c8e0fda.png"/><Relationship Id="rId37" Type="http://schemas.openxmlformats.org/officeDocument/2006/relationships/image" Target="media/8428574bce41697f7d811691f71aa7f2dbf31a21.png"/><Relationship Id="rId38" Type="http://schemas.openxmlformats.org/officeDocument/2006/relationships/image" Target="media/59ce9b9363ee6cb6d9b29736e4a776180d64808d.png"/><Relationship Id="rId39" Type="http://schemas.openxmlformats.org/officeDocument/2006/relationships/image" Target="media/bc75d522b8b1875dba4359229e29cbf80b48255e.png"/><Relationship Id="rId40" Type="http://schemas.openxmlformats.org/officeDocument/2006/relationships/image" Target="media/9f73ff7642dfe8b4d7a63addd0828e4ac32f76e7.png"/><Relationship Id="rId41" Type="http://schemas.openxmlformats.org/officeDocument/2006/relationships/image" Target="media/91c527bd3154be9729a16cc12e0c993fc6889539.png"/><Relationship Id="rId42" Type="http://schemas.openxmlformats.org/officeDocument/2006/relationships/image" Target="media/bbbdd6b96e3395f4dee60006b918f1f6f4789f7b.png"/><Relationship Id="rId43" Type="http://schemas.openxmlformats.org/officeDocument/2006/relationships/image" Target="media/d07ca5420d92a40c25482ec799f17da2e30b6af5.png"/><Relationship Id="rId44" Type="http://schemas.openxmlformats.org/officeDocument/2006/relationships/image" Target="media/0751161b1060572a75c3aa6db1ea4dc967c2ae54.png"/><Relationship Id="rId45" Type="http://schemas.openxmlformats.org/officeDocument/2006/relationships/image" Target="media/db3d784d9cbdc03b52c15be1e20431dbd8c53ced.png"/><Relationship Id="rId46" Type="http://schemas.openxmlformats.org/officeDocument/2006/relationships/image" Target="media/a58652b4b2d060754241730607599c7719c7e083.png"/><Relationship Id="rId47" Type="http://schemas.openxmlformats.org/officeDocument/2006/relationships/image" Target="media/d8190da86feab5c44e9ee94c3d39aab3d1ee7ecc.png"/><Relationship Id="rId48" Type="http://schemas.openxmlformats.org/officeDocument/2006/relationships/image" Target="media/a84ab6d3b695525b3556b13e819fc6ef65e1a30e.png"/><Relationship Id="rId49" Type="http://schemas.openxmlformats.org/officeDocument/2006/relationships/image" Target="media/05ec3d36d25a712b3bbacc41e24c5a8b16e41ac4.png"/><Relationship Id="rId50" Type="http://schemas.openxmlformats.org/officeDocument/2006/relationships/image" Target="media/330e59a87809a9bc55f643acd7cb774b5b3c263f.png"/><Relationship Id="rId51" Type="http://schemas.openxmlformats.org/officeDocument/2006/relationships/image" Target="media/8f1b1eebc99da8bef1a6b329664bc6e356efbaa5.png"/><Relationship Id="rId52" Type="http://schemas.openxmlformats.org/officeDocument/2006/relationships/image" Target="media/71945311c70075f00d6b561e36bdbd011f0fac9d.png"/><Relationship Id="rId53" Type="http://schemas.openxmlformats.org/officeDocument/2006/relationships/image" Target="media/6dabd29f766201ba8a73c9c005d9f72e0fe4b570.png"/><Relationship Id="rId54" Type="http://schemas.openxmlformats.org/officeDocument/2006/relationships/image" Target="media/292de9566858d7dcd632e4d0382af1a966ef6177.png"/><Relationship Id="rId55" Type="http://schemas.openxmlformats.org/officeDocument/2006/relationships/image" Target="media/c2ef0632f1902fd559e8b9f88ec14a2736acbaa2.png"/><Relationship Id="rId56" Type="http://schemas.openxmlformats.org/officeDocument/2006/relationships/image" Target="media/78b7584a60f0edb63f7ace8196bc2d292f60ffeb.png"/><Relationship Id="rId57" Type="http://schemas.openxmlformats.org/officeDocument/2006/relationships/image" Target="media/6623dd6fead0f0e76a78520579f548f58c294a2d.png"/><Relationship Id="rId58" Type="http://schemas.openxmlformats.org/officeDocument/2006/relationships/image" Target="media/b65b90552fbd38852d862407e5e43c92d1afcdb1.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2026-10-08T07:32:01.143Z</dcterms:created>
  <dcterms:modified xsi:type="dcterms:W3CDTF">2026-10-08T07:32:01.143Z</dcterms:modified>
</cp:coreProperties>
</file>

<file path=docProps/custom.xml><?xml version="1.0" encoding="utf-8"?>
<Properties xmlns="http://schemas.openxmlformats.org/officeDocument/2006/custom-properties" xmlns:vt="http://schemas.openxmlformats.org/officeDocument/2006/docPropsVTypes"/>
</file>