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Tahoma" w:cs="Tahoma" w:eastAsia="Tahoma" w:hAnsi="Tahoma"/>
          <w:b/>
          <w:bCs/>
          <w:color w:val="1F4E79"/>
          <w:sz w:val="52"/>
          <w:szCs w:val="52"/>
          <w:rtl/>
        </w:rPr>
        <w:t xml:space="preserve">گزارش نهایی فاز ۱</w:t>
      </w:r>
    </w:p>
    <w:p>
      <w:pPr>
        <w:bidi/>
        <w:spacing w:after="400"/>
        <w:jc w:val="center"/>
      </w:pPr>
      <w:r>
        <w:rPr>
          <w:rFonts w:ascii="Tahoma" w:cs="Tahoma" w:eastAsia="Tahoma" w:hAnsi="Tahoma"/>
          <w:color w:val="404040"/>
          <w:sz w:val="30"/>
          <w:szCs w:val="30"/>
          <w:rtl/>
        </w:rPr>
        <w:t xml:space="preserve">تحلیل رفتار مشتریان بانک توسعه تعاون: گزارش وضعیت موجود و شناخت بازار</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وضعیت موجود و شناخت بازار (Market Overview)،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استخراج‌شده توسط بانک (پایگاه‌داده‌ی </w:t>
            </w:r>
            <w:r>
              <w:rPr>
                <w:rFonts w:ascii="Consolas" w:cs="Consolas" w:eastAsia="Consolas" w:hAnsi="Consolas"/>
                <w:b w:val="false"/>
                <w:bCs w:val="false"/>
                <w:sz w:val="16"/>
                <w:szCs w:val="16"/>
                <w:rtl w:val="false"/>
              </w:rPr>
              <w:t xml:space="preserve">Alzahra_Final_DB</w:t>
            </w:r>
            <w:r>
              <w:rPr>
                <w:rFonts w:ascii="Tahoma" w:cs="Tahoma" w:eastAsia="Tahoma" w:hAnsi="Tahoma"/>
                <w:b w:val="false"/>
                <w:bCs w:val="false"/>
                <w:sz w:val="19"/>
                <w:szCs w:val="19"/>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نسخه‌ی ششم، جهت بررسی کارفرما</w:t>
            </w:r>
          </w:p>
        </w:tc>
      </w:tr>
    </w:tbl>
    <w:p>
      <w:pPr>
        <w:spacing w:after="200"/>
      </w:pP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راهنمای مطالعه</w:t>
      </w:r>
    </w:p>
    <w:p>
      <w:pPr>
        <w:bidi/>
        <w:spacing w:after="160" w:line="312"/>
        <w:jc w:val="left"/>
      </w:pPr>
      <w:r>
        <w:rPr>
          <w:rFonts w:ascii="Tahoma" w:cs="Tahoma" w:eastAsia="Tahoma" w:hAnsi="Tahoma"/>
          <w:sz w:val="21"/>
          <w:szCs w:val="21"/>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مسیر پیش رو و پرسش‌ها از بانک را جمع‌بندی می‌کند.</w:t>
      </w:r>
    </w:p>
    <w:p>
      <w:pPr>
        <w:bidi/>
        <w:spacing w:after="160" w:line="312"/>
        <w:jc w:val="left"/>
      </w:pPr>
      <w:r>
        <w:rPr>
          <w:rFonts w:ascii="Tahoma" w:cs="Tahoma" w:eastAsia="Tahoma" w:hAnsi="Tahoma"/>
          <w:sz w:val="21"/>
          <w:szCs w:val="21"/>
          <w:rtl/>
        </w:rPr>
        <w:t xml:space="preserve">ارقام مطلق این گزارش از نمونه‌ی تحلیلی به دست آمده‌اند و فصل ۲ میزان پوشش آن را نسبت به کل بانک نشان می‌دهد؛ نسبت مطالبات غیرجاری و ساختار استانی نمونه با آمار رسمی بانک هم‌خوانی دارند. هر رقم به یکی از مبناهای جدول تطبیق (بخش ۱.۶) ارجاع دارد. جدول‌ها و نمودارها در هر فصل جداگانه شماره‌گذاری شده‌اند (نمودار ۲-۱ نخستین نمودار فصل ۲ است) و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مقدمه و روش‌شناسی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داده‌های در دسترس و پوشش نمونه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جمعیت، رابطه و ماندگاری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سپرده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تسهیلات</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کیفیت دارایی، ریسک اعتباری و تمرکز</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شبکه‌ی شعب و توزیع جغرافیایی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سودآوری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جمع‌بندی، پیشنهادها و مسیر پیش رو</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پیوست الف</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Tahoma" w:cs="Tahoma" w:eastAsia="Tahoma" w:hAnsi="Tahoma"/>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۱.۸ واژه‌نامه</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فصل ۲: داده‌های در دسترس و پوشش نمونه</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۲.۱ هدف فصل</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۲.۲ منابع داده</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۲.۳ بازه‌ی زمانی تحلیل</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۲.۴ پوشش نمونه نسبت به کل بانک</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۲.۵ تکمیل تحلیل‌ها در فاز بعد</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۲.۶ حدود تعمیم شاخص‌ها</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فصل ۳: مشتریان (جمعیت، رابطه و ماندگاری)</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۳.۱ هدف و دامنه‌ی فصل</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۳.۲ جمعیت مشتریان</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۳.۳ همپوشانی سپرده و تسهیلات</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۳.۴ فعال‌بودن مشتریان</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۳.۵ ماندگاری کوهورت‌های افتتاح حساب</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۳.۶ نرخ ریزش سالانه</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۳.۷ جمع‌بندی فصل</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فصل ۴: بازار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هدف و مبنای فصل</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روند مانده و رشد منابع</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ترکیب پرتفوی سپرده</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پلکان مانده و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تعریف مانده و حساب‌های نزد سایر بانک‌ها</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جمع‌بندی فصل</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فصل ۵: بازار تسهیلات</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۵.۱ هدف و مبنای فصل</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۵.۲ روند مانده و رشد پرتفوی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۵.۳ نسبت تسهیلات به منابع</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۵.۴ ترکیب محصولی پرتفوی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۵.۵ ترکیب بخش اقتصادی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۵.۶ توزیع اندازه‌ی تسهیلات</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۵.۷ پروفایل سررسید</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۵.۸ نرخ سود مؤثر قراردادی</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۵.۹ پوشش وثیقه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۵.۱۰ جمع‌بندی فصل</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فصل ۶: کیفیت دارایی، ریسک اعتباری و تمرکز</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۶.۱ هدف و ساختار فصل</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۶.۲ روند طبقه‌بندی مطالبات</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۶.۳ تجزیه‌ی مطالبات غیرجاری بر مبنای پوشش داده</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۶.۴ اعتبارات اسنادی</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۶.۵ کیفیت دارایی بر حسب اندازه</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۶.۶ کیفیت دارایی بر حسب نسل اعطا</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۶.۷ تعداد طرف‌های قرارداد و ریسک</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۶.۸ ماتریس انتقال وضعیت</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۶.۹ الگوی دیرکرد اقساط</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۶.۱۰ تمرکز تک‌نامی</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۶.۱۱ نیمرخ ریسک بانک</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۶.۱۲ جمع‌بندی فصل</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فصل ۷: شبکه‌ی شعب و توزیع جغرافیایی</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۷.۰ هدف و دامنه‌ی فصل</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۷.۱ ساختار استانی منابع و مصارف</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۷.۲ توازن منابع و مصارف استان‌ها</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۷.۳ کیفیت دارایی در استان‌ها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۷.۴ روند رشد استانی در ۶۰ ماه</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۷.۵ ترکیب منابع در استان‌ها</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۷.۶ ساختار شبکه‌ی شعب</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۷.۷ هم‌خوانی الگوی استانی نمونه با بانک</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۷.۸ پراکندگی جغرافیایی مشتریان</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۷.۹ جمع‌بندی فصل</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فصل ۸: برآورد سودآوری</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۸.۱ هدف، مبنا و دامنه</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۸.۲ هزینه‌ی تأمین مالی بانک</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۸.۳ ترکیب منابع و ساختار هزینه</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۸.۴ بازده تسهیلات</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۸.۵ حاشیه‌ی ناخالص مالی</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۸.۶ ساختار درآمد</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۸.۷ جمع‌بندی و محدودیت‌ها</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فصل ۹: جمع‌بندی، پیشنهادها و مسیر پیش رو</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۹.۱ جمع‌بندی یافته‌های فاز ۱</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۹.۲ پیشنهادهای اولیه برای مدیریت</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۹.۳ مسیر پیش رو: فازهای ۲ تا ۵</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۹.۴ داده‌های درخواستی از بانک</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۹.۵ پرسش‌های فنی از بانک</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۹.۶ درخواست از بانک</w:t>
            </w:r>
            <w:r>
              <w:tab/>
            </w:r>
            <w:r>
              <w:fldChar w:fldCharType="begin" w:dirty="true"/>
              <w:instrText xml:space="preserve">PAGEREF _Toc87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Tahoma" w:cs="Tahoma" w:eastAsia="Tahoma" w:hAnsi="Tahoma"/>
          <w:b/>
          <w:bCs/>
          <w:color w:val="1F4E79"/>
          <w:sz w:val="34"/>
          <w:szCs w:val="34"/>
          <w:rtl/>
        </w:rPr>
        <w:t xml:space="preserve">خلاصه‌ی مدیریتی</w:t>
      </w:r>
      <w:bookmarkEnd w:id="1"/>
    </w:p>
    <w:p>
      <w:pPr>
        <w:bidi/>
        <w:spacing w:after="160" w:line="312"/>
        <w:jc w:val="left"/>
      </w:pPr>
      <w:r>
        <w:rPr>
          <w:rFonts w:ascii="Tahoma" w:cs="Tahoma" w:eastAsia="Tahoma" w:hAnsi="Tahoma"/>
          <w:sz w:val="21"/>
          <w:szCs w:val="21"/>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مقاطع قابل‌مقایسه با آمار رسمی ماهانه‌ی بانک مقایسه شده است.</w:t>
      </w:r>
    </w:p>
    <w:p>
      <w:pPr>
        <w:pStyle w:val="Heading2"/>
        <w:keepNext/>
        <w:bidi/>
        <w:spacing w:after="160" w:before="300"/>
        <w:jc w:val="left"/>
      </w:pPr>
      <w:bookmarkStart w:name="_Toc2" w:id="2"/>
      <w:r>
        <w:rPr>
          <w:rFonts w:ascii="Tahoma" w:cs="Tahoma" w:eastAsia="Tahoma" w:hAnsi="Tahoma"/>
          <w:b/>
          <w:bCs/>
          <w:color w:val="1F4E79"/>
          <w:sz w:val="28"/>
          <w:szCs w:val="28"/>
          <w:rtl/>
        </w:rPr>
        <w:t xml:space="preserve">پوشش نمونه نسبت به کل بانک</w:t>
      </w:r>
      <w:bookmarkEnd w:id="2"/>
    </w:p>
    <w:p>
      <w:pPr>
        <w:bidi/>
        <w:spacing w:after="160" w:line="312"/>
        <w:jc w:val="left"/>
      </w:pPr>
      <w:r>
        <w:rPr>
          <w:rFonts w:ascii="Tahoma" w:cs="Tahoma" w:eastAsia="Tahoma" w:hAnsi="Tahoma"/>
          <w:sz w:val="21"/>
          <w:szCs w:val="21"/>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نمونه ۹.۵ درصد از سپرده‌گذاران و ۱۵.۸ درصد از گیرندگان تسهیلات بانک را شامل می‌شود، اما </w:t>
      </w:r>
      <w:r>
        <w:rPr>
          <w:rFonts w:ascii="Tahoma" w:cs="Tahoma" w:eastAsia="Tahoma" w:hAnsi="Tahoma"/>
          <w:b/>
          <w:bCs/>
          <w:sz w:val="21"/>
          <w:szCs w:val="21"/>
          <w:rtl/>
        </w:rPr>
        <w:t xml:space="preserve">۶۳.۷ درصد از منابع ریالی و ۸۶.۵ درصد از مانده‌ی تسهیلات بانک</w:t>
      </w:r>
      <w:r>
        <w:rPr>
          <w:rFonts w:ascii="Tahoma" w:cs="Tahoma" w:eastAsia="Tahoma" w:hAnsi="Tahoma"/>
          <w:sz w:val="21"/>
          <w:szCs w:val="21"/>
          <w:rtl/>
        </w:rPr>
        <w:t xml:space="preserve"> (۱۲/۱۴۰۴) را پوشش می‌دهد؛ زیرا نمونه‌گیری وزن بیشتری به مشتریان بزرگ داده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۹۴ تا ۹۹ درصد از گیرندگان تسهیلات بالای ۱ میلیارد تومان در نمونه حضور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۲-۶ آمده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pPr>
        <w:pStyle w:val="Heading2"/>
        <w:keepNext/>
        <w:bidi/>
        <w:spacing w:after="160" w:before="300"/>
        <w:jc w:val="left"/>
      </w:pPr>
      <w:bookmarkStart w:name="_Toc3" w:id="3"/>
      <w:r>
        <w:rPr>
          <w:rFonts w:ascii="Tahoma" w:cs="Tahoma" w:eastAsia="Tahoma" w:hAnsi="Tahoma"/>
          <w:b/>
          <w:bCs/>
          <w:color w:val="1F4E79"/>
          <w:sz w:val="28"/>
          <w:szCs w:val="28"/>
          <w:rtl/>
        </w:rPr>
        <w:t xml:space="preserve">شاخص‌های کلیدی (۱۲/۱۴۰۴)</w:t>
      </w:r>
      <w:bookmarkEnd w:id="3"/>
    </w:p>
    <w:p>
      <w:pPr>
        <w:bidi/>
        <w:spacing w:after="160" w:line="312"/>
        <w:jc w:val="left"/>
      </w:pPr>
      <w:r>
        <w:rPr>
          <w:rFonts w:ascii="Tahoma" w:cs="Tahoma" w:eastAsia="Tahoma" w:hAnsi="Tahoma"/>
          <w:b/>
          <w:bCs/>
          <w:sz w:val="21"/>
          <w:szCs w:val="21"/>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98"/>
        <w:gridCol w:w="3085"/>
        <w:gridCol w:w="2767"/>
      </w:tblGrid>
      <w:tr>
        <w:trPr>
          <w:cantSplit/>
          <w:tblHeader/>
        </w:trPr>
        <w:tc>
          <w:tcPr>
            <w:tcW w:type="dxa" w:w="34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3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c>
          <w:tcPr>
            <w:tcW w:type="dxa" w:w="27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تسهیلات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ریالی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مطالبات غیرجاری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تسهیلات به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 (اثر تفاوت پوشش)</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تسهیلات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 ۱۴۰۴ بر مبنای نرخ قراردادی (سقف)</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 ۱۴۰۴ بر مبنای درآمد دریافتی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منفی ۱.۷ تا ۲.۸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bidi/>
        <w:spacing w:after="160" w:line="312"/>
        <w:jc w:val="left"/>
      </w:pPr>
      <w:r>
        <w:rPr>
          <w:rFonts w:ascii="Tahoma" w:cs="Tahoma" w:eastAsia="Tahoma" w:hAnsi="Tahoma"/>
          <w:sz w:val="21"/>
          <w:szCs w:val="21"/>
          <w:rtl/>
        </w:rPr>
        <w:t xml:space="preserve">ارقام مطلق نمونه به دلیل تفاوت پوشش منابع (۶۳.۷ درصد) و تسهیلات (۸۶.۵ درصد) با ارقام رسمی تفاوت دارند؛ در سنجش سطح و سرعت رشد، آمار رسمی مبنای تصمیم است.</w:t>
      </w:r>
    </w:p>
    <w:p>
      <w:pPr>
        <w:pStyle w:val="Heading2"/>
        <w:keepNext/>
        <w:bidi/>
        <w:spacing w:after="160" w:before="300"/>
        <w:jc w:val="left"/>
      </w:pPr>
      <w:bookmarkStart w:name="_Toc4" w:id="4"/>
      <w:r>
        <w:rPr>
          <w:rFonts w:ascii="Tahoma" w:cs="Tahoma" w:eastAsia="Tahoma" w:hAnsi="Tahoma"/>
          <w:b/>
          <w:bCs/>
          <w:color w:val="1F4E79"/>
          <w:sz w:val="28"/>
          <w:szCs w:val="28"/>
          <w:rtl/>
        </w:rPr>
        <w:t xml:space="preserve">یافته‌های برجسته</w:t>
      </w:r>
      <w:bookmarkEnd w:id="4"/>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w:t>
      </w:r>
      <w:r>
        <w:rPr>
          <w:rFonts w:ascii="Tahoma" w:cs="Tahoma" w:eastAsia="Tahoma" w:hAnsi="Tahoma"/>
          <w:sz w:val="21"/>
          <w:szCs w:val="21"/>
          <w:rtl/>
        </w:rPr>
        <w:t xml:space="preserve"> نسبت مطالبات غیرجاری در آمار رسمی بانک از ۳.۵ درصد در ۰۱/۱۴۰۳ به حدود ۸.۵ درصد در میانه‌ی ۱۴۰۴ رسیده و در ۱۲/۱۴۰۴ برابر ۸.۰ درصد است (۱۱/۱۴۰۳ برابر ۷.۳ و ۱۲/۱۴۰۳ برابر ۴.۶ درصد بود). از ۱۲/۱۴۰۳ تا ۱۲/۱۴۰۴ نسبت رسمی از ۴.۶ به ۸.۰ و نسبت نمونه از ۴.۹ به ۸.۸ درصد رسیده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نسبت تسهیلات به منابع:</w:t>
      </w:r>
      <w:r>
        <w:rPr>
          <w:rFonts w:ascii="Tahoma" w:cs="Tahoma" w:eastAsia="Tahoma" w:hAnsi="Tahoma"/>
          <w:sz w:val="21"/>
          <w:szCs w:val="21"/>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ظرفیت فروش متقاطع:</w:t>
      </w:r>
      <w:r>
        <w:rPr>
          <w:rFonts w:ascii="Tahoma" w:cs="Tahoma" w:eastAsia="Tahoma" w:hAnsi="Tahoma"/>
          <w:sz w:val="21"/>
          <w:szCs w:val="21"/>
          <w:rtl/>
        </w:rPr>
        <w:t xml:space="preserve"> در نمونه، ۶۴.۷ درصد مشتریان (۴۵۶,۸۳۵ نفر) در ۱۲/۱۴۰۴ مانده‌ی تسهیلات ندارند؛ ۴,۳۳۴ سپرده‌گذار بزرگ که گیرنده‌ی اصلی تسهیلات نیستند (۱,۹۴۶ نفر از آنان ضامن یا شریک قرارداد هستند) بیش از نیمی از مانده‌ی سپرده‌ی نمونه را در اختیار دارند. این سهم‌ها ویژگی نمونه‌اند.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جغرافیا:</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سودآوری:</w:t>
      </w:r>
      <w:r>
        <w:rPr>
          <w:rFonts w:ascii="Tahoma" w:cs="Tahoma" w:eastAsia="Tahoma" w:hAnsi="Tahoma"/>
          <w:sz w:val="21"/>
          <w:szCs w:val="21"/>
          <w:rtl/>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 مانده، بزرگ‌ترین نسل اعطا در داده‌ی قرارداد (از ۱۳۹۹) است و ۱۴۶,۸۶۴ قرارداد دارد (۳۱.۸ درصد از ۴۶۱,۶۱۹ قرارداد جدول ۶-۹)؛ چون هنوز نابالغ است، ریسک واقعی آن آشکار نشده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تمرکز:</w:t>
      </w:r>
      <w:r>
        <w:rPr>
          <w:rFonts w:ascii="Tahoma" w:cs="Tahoma" w:eastAsia="Tahoma" w:hAnsi="Tahoma"/>
          <w:sz w:val="21"/>
          <w:szCs w:val="21"/>
          <w:rtl/>
        </w:rPr>
        <w:t xml:space="preserve"> در نمونه، بزرگ‌ترین مشتری تسهیلاتی ۴.۳ درصد پرتفوی نمونه (۳.۷ درصد مانده‌ی رسمی بانک) را دارد و یک درصد برتر سپرده‌گذاران ۷۸.۲ درصد مانده‌ی سپرده را در اختیار دارند.</w:t>
      </w:r>
    </w:p>
    <w:p>
      <w:pPr>
        <w:pStyle w:val="Heading2"/>
        <w:keepNext/>
        <w:bidi/>
        <w:spacing w:after="160" w:before="300"/>
        <w:jc w:val="left"/>
      </w:pPr>
      <w:bookmarkStart w:name="_Toc5" w:id="5"/>
      <w:r>
        <w:rPr>
          <w:rFonts w:ascii="Tahoma" w:cs="Tahoma" w:eastAsia="Tahoma" w:hAnsi="Tahoma"/>
          <w:b/>
          <w:bCs/>
          <w:color w:val="1F4E79"/>
          <w:sz w:val="28"/>
          <w:szCs w:val="28"/>
          <w:rtl/>
        </w:rPr>
        <w:t xml:space="preserve">مسیر پیش رو</w:t>
      </w:r>
      <w:bookmarkEnd w:id="5"/>
    </w:p>
    <w:p>
      <w:pPr>
        <w:bidi/>
        <w:spacing w:after="160" w:line="312"/>
        <w:jc w:val="left"/>
      </w:pPr>
      <w:r>
        <w:rPr>
          <w:rFonts w:ascii="Tahoma" w:cs="Tahoma" w:eastAsia="Tahoma" w:hAnsi="Tahoma"/>
          <w:sz w:val="21"/>
          <w:szCs w:val="21"/>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داده‌ها. 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(بخش‌های ۲.۵ و ۹.۴).</w:t>
      </w:r>
    </w:p>
    <w:p>
      <w:pPr>
        <w:pBdr>
          <w:bottom w:val="single" w:color="BBBBBB" w:sz="6"/>
        </w:pBdr>
        <w:spacing w:after="100" w:before="100"/>
      </w:pPr>
    </w:p>
    <w:p>
      <w:pPr>
        <w:pStyle w:val="Heading1"/>
        <w:keepNext/>
        <w:pageBreakBefore/>
        <w:bidi/>
        <w:spacing w:after="160" w:before="0"/>
        <w:jc w:val="left"/>
      </w:pPr>
      <w:bookmarkStart w:name="_Toc6" w:id="6"/>
      <w:r>
        <w:rPr>
          <w:rFonts w:ascii="Tahoma" w:cs="Tahoma" w:eastAsia="Tahoma" w:hAnsi="Tahoma"/>
          <w:b/>
          <w:bCs/>
          <w:color w:val="1F4E79"/>
          <w:sz w:val="34"/>
          <w:szCs w:val="34"/>
          <w:rtl/>
        </w:rPr>
        <w:t xml:space="preserve">فصل ۱: مقدمه و روش‌شناسی</w:t>
      </w:r>
      <w:bookmarkEnd w:id="6"/>
    </w:p>
    <w:p>
      <w:pPr>
        <w:pStyle w:val="Heading2"/>
        <w:keepNext/>
        <w:bidi/>
        <w:spacing w:after="160" w:before="300"/>
        <w:jc w:val="left"/>
      </w:pPr>
      <w:bookmarkStart w:name="_Toc7" w:id="7"/>
      <w:r>
        <w:rPr>
          <w:rFonts w:ascii="Tahoma" w:cs="Tahoma" w:eastAsia="Tahoma" w:hAnsi="Tahoma"/>
          <w:b/>
          <w:bCs/>
          <w:color w:val="1F4E79"/>
          <w:sz w:val="28"/>
          <w:szCs w:val="28"/>
          <w:rtl/>
        </w:rPr>
        <w:t xml:space="preserve">۱.۱ هدف و دامنه‌ی گزارش</w:t>
      </w:r>
      <w:bookmarkEnd w:id="7"/>
    </w:p>
    <w:p>
      <w:pPr>
        <w:bidi/>
        <w:spacing w:after="160" w:line="312"/>
        <w:jc w:val="left"/>
      </w:pPr>
      <w:r>
        <w:rPr>
          <w:rFonts w:ascii="Tahoma" w:cs="Tahoma" w:eastAsia="Tahoma" w:hAnsi="Tahoma"/>
          <w:sz w:val="21"/>
          <w:szCs w:val="21"/>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Tahoma" w:cs="Tahoma" w:eastAsia="Tahoma" w:hAnsi="Tahoma"/>
          <w:sz w:val="21"/>
          <w:szCs w:val="21"/>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Tahoma" w:cs="Tahoma" w:eastAsia="Tahoma" w:hAnsi="Tahoma"/>
          <w:sz w:val="21"/>
          <w:szCs w:val="21"/>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pPr>
        <w:pBdr>
          <w:bottom w:val="single" w:color="BBBBBB" w:sz="6"/>
        </w:pBdr>
        <w:spacing w:after="100" w:before="100"/>
      </w:pPr>
    </w:p>
    <w:p>
      <w:pPr>
        <w:pStyle w:val="Heading2"/>
        <w:keepNext/>
        <w:bidi/>
        <w:spacing w:after="160" w:before="300"/>
        <w:jc w:val="left"/>
      </w:pPr>
      <w:bookmarkStart w:name="_Toc8" w:id="8"/>
      <w:r>
        <w:rPr>
          <w:rFonts w:ascii="Tahoma" w:cs="Tahoma" w:eastAsia="Tahoma" w:hAnsi="Tahoma"/>
          <w:b/>
          <w:bCs/>
          <w:color w:val="1F4E79"/>
          <w:sz w:val="28"/>
          <w:szCs w:val="28"/>
          <w:rtl/>
        </w:rPr>
        <w:t xml:space="preserve">۱.۲ طراحی نمونه‌ی تحلیلی</w:t>
      </w:r>
      <w:bookmarkEnd w:id="8"/>
    </w:p>
    <w:p>
      <w:pPr>
        <w:pStyle w:val="Heading3"/>
        <w:keepNext/>
        <w:bidi/>
        <w:spacing w:after="160" w:before="300"/>
        <w:jc w:val="left"/>
      </w:pPr>
      <w:r>
        <w:rPr>
          <w:rFonts w:ascii="Tahoma" w:cs="Tahoma" w:eastAsia="Tahoma" w:hAnsi="Tahoma"/>
          <w:b/>
          <w:bCs/>
          <w:color w:val="1F4E79"/>
          <w:sz w:val="24"/>
          <w:szCs w:val="24"/>
          <w:rtl/>
        </w:rPr>
        <w:t xml:space="preserve">۱.۲.۱ راهبرد «ابتدا پالایش، سپس نمونه‌گیری»</w:t>
      </w:r>
    </w:p>
    <w:p>
      <w:pPr>
        <w:bidi/>
        <w:spacing w:after="160" w:line="312"/>
        <w:jc w:val="left"/>
      </w:pPr>
      <w:r>
        <w:rPr>
          <w:rFonts w:ascii="Tahoma" w:cs="Tahoma" w:eastAsia="Tahoma" w:hAnsi="Tahoma"/>
          <w:sz w:val="21"/>
          <w:szCs w:val="21"/>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pPr>
        <w:bidi/>
        <w:spacing w:after="160" w:line="312"/>
        <w:jc w:val="left"/>
      </w:pPr>
      <w:r>
        <w:rPr>
          <w:rFonts w:ascii="Tahoma" w:cs="Tahoma" w:eastAsia="Tahoma" w:hAnsi="Tahoma"/>
          <w:sz w:val="21"/>
          <w:szCs w:val="21"/>
          <w:rtl/>
        </w:rPr>
        <w:t xml:space="preserve">راهبرد نمونه‌گیری دو مرحله دارد. در مرحله‌ی نخست، مشتریان فعال و دارای رابطه‌ی معنادار با بانک بر اساس سه معیار مدل RFM (تازگی،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Tahoma" w:cs="Tahoma" w:eastAsia="Tahoma" w:hAnsi="Tahoma"/>
          <w:b/>
          <w:bCs/>
          <w:sz w:val="21"/>
          <w:szCs w:val="21"/>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رابطه‌ی مالی فعال از طریق اقساط ماهانه</w:t>
            </w:r>
          </w:p>
        </w:tc>
      </w:tr>
    </w:tbl>
    <w:p>
      <w:pPr>
        <w:spacing w:after="200"/>
      </w:pPr>
    </w:p>
    <w:p>
      <w:pPr>
        <w:bidi/>
        <w:spacing w:after="160" w:line="312"/>
        <w:jc w:val="left"/>
      </w:pPr>
      <w:r>
        <w:rPr>
          <w:rFonts w:ascii="Tahoma" w:cs="Tahoma" w:eastAsia="Tahoma" w:hAnsi="Tahoma"/>
          <w:sz w:val="21"/>
          <w:szCs w:val="21"/>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Tahoma" w:cs="Tahoma" w:eastAsia="Tahoma" w:hAnsi="Tahoma"/>
          <w:b/>
          <w:bCs/>
          <w:color w:val="1F4E79"/>
          <w:sz w:val="24"/>
          <w:szCs w:val="24"/>
          <w:rtl/>
        </w:rPr>
        <w:t xml:space="preserve">۱.۲.۲ جمعیت هدف و حجم نمونه</w:t>
      </w:r>
    </w:p>
    <w:p>
      <w:pPr>
        <w:bidi/>
        <w:spacing w:after="160" w:line="312"/>
        <w:jc w:val="left"/>
      </w:pPr>
      <w:r>
        <w:rPr>
          <w:rFonts w:ascii="Tahoma" w:cs="Tahoma" w:eastAsia="Tahoma" w:hAnsi="Tahoma"/>
          <w:sz w:val="21"/>
          <w:szCs w:val="21"/>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۱-۱: از کل مشتریان بانک تا نمونه‌ی برنامه‌ریزی‌شده</w:t>
      </w:r>
    </w:p>
    <w:p>
      <w:pPr>
        <w:bidi/>
        <w:spacing w:after="160" w:line="312"/>
        <w:jc w:val="left"/>
      </w:pPr>
      <w:r>
        <w:rPr>
          <w:rFonts w:ascii="Tahoma" w:cs="Tahoma" w:eastAsia="Tahoma" w:hAnsi="Tahoma"/>
          <w:sz w:val="21"/>
          <w:szCs w:val="21"/>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Tahoma" w:cs="Tahoma" w:eastAsia="Tahoma" w:hAnsi="Tahoma"/>
          <w:b/>
          <w:bCs/>
          <w:sz w:val="21"/>
          <w:szCs w:val="21"/>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bl>
    <w:p>
      <w:pPr>
        <w:spacing w:after="200"/>
      </w:pPr>
    </w:p>
    <w:p>
      <w:pPr>
        <w:bidi/>
        <w:spacing w:after="160" w:line="312"/>
        <w:jc w:val="left"/>
      </w:pPr>
      <w:r>
        <w:rPr>
          <w:rFonts w:ascii="Tahoma" w:cs="Tahoma" w:eastAsia="Tahoma" w:hAnsi="Tahoma"/>
          <w:sz w:val="21"/>
          <w:szCs w:val="21"/>
          <w:rtl/>
        </w:rPr>
        <w:t xml:space="preserve">در نمونه‌گیری تسهیلات‌گیرندگان حقیقی، جمعیت به شش طبقه‌ی مانده تقسیم شد و در هر طبقه تخصیص متناسب با سهم استانی از تسهیلات بانک انجام گرفت. در نمونه‌ی تحویل‌شده‌ی بانک، دو طبقه‌ی بالای مانده (بیش از ۵ میلیارد تومان) تقریباً به‌صورت سرشماری درآمده‌اند (بخش ۲.۴.۲).</w:t>
      </w:r>
    </w:p>
    <w:p>
      <w:pPr>
        <w:keepNext/>
        <w:bidi/>
        <w:spacing w:after="100" w:before="200"/>
        <w:jc w:val="left"/>
      </w:pPr>
      <w:r>
        <w:rPr>
          <w:rFonts w:ascii="Tahoma" w:cs="Tahoma" w:eastAsia="Tahoma" w:hAnsi="Tahoma"/>
          <w:b/>
          <w:bCs/>
          <w:sz w:val="21"/>
          <w:szCs w:val="21"/>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64"/>
        <w:gridCol w:w="2548"/>
        <w:gridCol w:w="1887"/>
        <w:gridCol w:w="2251"/>
      </w:tblGrid>
      <w:tr>
        <w:trPr>
          <w:cantSplit/>
          <w:tblHeader/>
        </w:trPr>
        <w:tc>
          <w:tcPr>
            <w:tcW w:type="dxa" w:w="26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مانده‌ی تسهیلات</w:t>
            </w:r>
          </w:p>
        </w:tc>
        <w:tc>
          <w:tcPr>
            <w:tcW w:type="dxa" w:w="25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حقیقی در جمعیت</w:t>
            </w:r>
          </w:p>
        </w:tc>
        <w:tc>
          <w:tcPr>
            <w:tcW w:type="dxa" w:w="18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جمعیت</w:t>
            </w:r>
          </w:p>
        </w:tc>
        <w:tc>
          <w:tcPr>
            <w:tcW w:type="dxa" w:w="22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تخصیص‌یافته</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۱,۲۴۴,۵۸۲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۲۰۵,۳۵۶</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۲۲۴,۸۴۲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۳۷,۰۹۹</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۸۰,۰۸۴</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۱۳,۲۱۴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۶,۰۶۰</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۱,۵۵۵,۸۳۳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۲۵۶,۷۱۳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۱.۲.۳ تطبیق نمونه‌ی برنامه‌ریزی‌شده با جمعیت تحلیلی</w:t>
      </w:r>
    </w:p>
    <w:p>
      <w:pPr>
        <w:bidi/>
        <w:spacing w:after="160" w:line="312"/>
        <w:jc w:val="left"/>
      </w:pPr>
      <w:r>
        <w:rPr>
          <w:rFonts w:ascii="Tahoma" w:cs="Tahoma" w:eastAsia="Tahoma" w:hAnsi="Tahoma"/>
          <w:sz w:val="21"/>
          <w:szCs w:val="21"/>
          <w:rtl/>
        </w:rPr>
        <w:t xml:space="preserve">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pPr>
        <w:keepNext/>
        <w:bidi/>
        <w:spacing w:after="100" w:before="200"/>
        <w:jc w:val="left"/>
      </w:pPr>
      <w:r>
        <w:rPr>
          <w:rFonts w:ascii="Tahoma" w:cs="Tahoma" w:eastAsia="Tahoma" w:hAnsi="Tahoma"/>
          <w:b/>
          <w:bCs/>
          <w:sz w:val="21"/>
          <w:szCs w:val="21"/>
          <w:rtl/>
        </w:rPr>
        <w:t xml:space="preserve">جدول ۱-۴: تطبیق جمعیت‌های طراحی و جمعیت تحلیلی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44"/>
        <w:gridCol w:w="3634"/>
        <w:gridCol w:w="2172"/>
      </w:tblGrid>
      <w:tr>
        <w:trPr>
          <w:cantSplit/>
          <w:tblHeader/>
        </w:trPr>
        <w:tc>
          <w:tcPr>
            <w:tcW w:type="dxa" w:w="35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3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دارای سپرده در بانک</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فایل توزیع مشتریان، ۰۹/۱۴۰۴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۷,۴۰۴,۲۴۰</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پالایش‌شده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احراز معیارهای فعال‌بودن</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۱,۶۸۳,۷۷۵</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سپرده،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۳۲۶,۶۸۲</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سپرده،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فهرست سپرده‌گذاران نمونه</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دارای مانده‌ی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بانک، 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۱,۵۸۳,۱۶۸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۲۸۴,۰۴۸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گیرندگان اصلی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دارندگان مانده‌ی تسهیلات</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۲۷۳,۱۴۸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همه‌ی طرف‌های قراردادهای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ضامن و شریک، ۱۲/۱۴۰۴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۵۱۸,۰۰۶</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جمعیت تحلیلی</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اجتماع نمونه‌ی سپرده و طرف‌های قراردادها</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r>
    </w:tbl>
    <w:p>
      <w:pPr>
        <w:spacing w:after="200"/>
      </w:pPr>
    </w:p>
    <w:p>
      <w:pPr>
        <w:bidi/>
        <w:spacing w:after="160" w:line="312"/>
        <w:jc w:val="left"/>
      </w:pPr>
      <w:r>
        <w:rPr>
          <w:rFonts w:ascii="Tahoma" w:cs="Tahoma" w:eastAsia="Tahoma" w:hAnsi="Tahoma"/>
          <w:sz w:val="21"/>
          <w:szCs w:val="21"/>
          <w:rtl/>
        </w:rPr>
        <w:t xml:space="preserve">نمونه‌ی سپرده‌ی تحویل‌شده ۷.۶ درصد بیش از طرح است. از طرف‌های قراردادهای تسهیلات حدود ۱۶۳ هزار نفر در نمونه‌ی سپرده نیز حضور دارند و حدود ۳۵۵ هزار نفر فقط از مسیر قراردادهای تسهیلات وارد جمعیت تحلیلی شده‌اند. معیارهای فعال‌بودن (جدول ۱-۱) برای نمونه‌ی سپرده اعمال شده‌اند و برای این ضامن‌ها و شرکا اعمال نشده‌اند؛ پیامد آن در بخش ۳.۴ توضیح داده شده است.</w:t>
      </w:r>
    </w:p>
    <w:p>
      <w:pPr>
        <w:pStyle w:val="Heading3"/>
        <w:keepNext/>
        <w:bidi/>
        <w:spacing w:after="160" w:before="300"/>
        <w:jc w:val="left"/>
      </w:pPr>
      <w:r>
        <w:rPr>
          <w:rFonts w:ascii="Tahoma" w:cs="Tahoma" w:eastAsia="Tahoma" w:hAnsi="Tahoma"/>
          <w:b/>
          <w:bCs/>
          <w:color w:val="1F4E79"/>
          <w:sz w:val="24"/>
          <w:szCs w:val="24"/>
          <w:rtl/>
        </w:rPr>
        <w:t xml:space="preserve">۱.۲.۴ پیامد طراحی برای مطالعه‌ی گزارش</w:t>
      </w:r>
    </w:p>
    <w:p>
      <w:pPr>
        <w:bidi/>
        <w:spacing w:after="160" w:line="312"/>
        <w:jc w:val="left"/>
      </w:pPr>
      <w:r>
        <w:rPr>
          <w:rFonts w:ascii="Tahoma" w:cs="Tahoma" w:eastAsia="Tahoma" w:hAnsi="Tahoma"/>
          <w:sz w:val="21"/>
          <w:szCs w:val="21"/>
          <w:rtl/>
        </w:rPr>
        <w:t xml:space="preserve">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می‌شود و برآوردی از ماندگاری کل بانک نیست. تخصیص نمونه به مشتریان بزرگ‌تر وزن بیشتری داده و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pPr>
        <w:bidi/>
        <w:spacing w:after="160" w:line="312"/>
        <w:jc w:val="left"/>
      </w:pPr>
      <w:r>
        <w:rPr>
          <w:rFonts w:ascii="Tahoma" w:cs="Tahoma" w:eastAsia="Tahoma" w:hAnsi="Tahoma"/>
          <w:sz w:val="21"/>
          <w:szCs w:val="21"/>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Tahoma" w:cs="Tahoma" w:eastAsia="Tahoma" w:hAnsi="Tahoma"/>
          <w:b/>
          <w:bCs/>
          <w:color w:val="1F4E79"/>
          <w:sz w:val="28"/>
          <w:szCs w:val="28"/>
          <w:rtl/>
        </w:rPr>
        <w:t xml:space="preserve">۱.۳ رویکرد تحلیل</w:t>
      </w:r>
      <w:bookmarkEnd w:id="9"/>
    </w:p>
    <w:p>
      <w:pPr>
        <w:bidi/>
        <w:spacing w:after="160" w:line="312"/>
        <w:jc w:val="left"/>
      </w:pPr>
      <w:r>
        <w:rPr>
          <w:rFonts w:ascii="Tahoma" w:cs="Tahoma" w:eastAsia="Tahoma" w:hAnsi="Tahoma"/>
          <w:sz w:val="21"/>
          <w:szCs w:val="21"/>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Tahoma" w:cs="Tahoma" w:eastAsia="Tahoma" w:hAnsi="Tahoma"/>
          <w:sz w:val="21"/>
          <w:szCs w:val="21"/>
          <w:rtl/>
        </w:rPr>
        <w:t xml:space="preserve">در همه‌ی فصل‌ها ارقام نمونه با آمار رسمی ماهانه‌ی بانک در سطح استان و شعبه (۶۰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pPr>
        <w:pBdr>
          <w:bottom w:val="single" w:color="BBBBBB" w:sz="6"/>
        </w:pBdr>
        <w:spacing w:after="100" w:before="100"/>
      </w:pPr>
    </w:p>
    <w:p>
      <w:pPr>
        <w:pStyle w:val="Heading2"/>
        <w:keepNext/>
        <w:bidi/>
        <w:spacing w:after="160" w:before="300"/>
        <w:jc w:val="left"/>
      </w:pPr>
      <w:bookmarkStart w:name="_Toc10" w:id="10"/>
      <w:r>
        <w:rPr>
          <w:rFonts w:ascii="Tahoma" w:cs="Tahoma" w:eastAsia="Tahoma" w:hAnsi="Tahoma"/>
          <w:b/>
          <w:bCs/>
          <w:color w:val="1F4E79"/>
          <w:sz w:val="28"/>
          <w:szCs w:val="28"/>
          <w:rtl/>
        </w:rPr>
        <w:t xml:space="preserve">۱.۴ زنجیره‌ی پردازش داده</w:t>
      </w:r>
      <w:bookmarkEnd w:id="10"/>
    </w:p>
    <w:p>
      <w:pPr>
        <w:bidi/>
        <w:spacing w:after="160" w:line="312"/>
        <w:jc w:val="left"/>
      </w:pPr>
      <w:r>
        <w:rPr>
          <w:rFonts w:ascii="Tahoma" w:cs="Tahoma" w:eastAsia="Tahoma" w:hAnsi="Tahoma"/>
          <w:sz w:val="21"/>
          <w:szCs w:val="21"/>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۱-۲: زنجیره‌ی پردازش داده، از جدول‌های بانک تا ارقام گزارش</w:t>
      </w:r>
    </w:p>
    <w:p>
      <w:pPr>
        <w:bidi/>
        <w:spacing w:after="160" w:line="312"/>
        <w:jc w:val="left"/>
      </w:pPr>
      <w:r>
        <w:rPr>
          <w:rFonts w:ascii="Tahoma" w:cs="Tahoma" w:eastAsia="Tahoma" w:hAnsi="Tahoma"/>
          <w:sz w:val="21"/>
          <w:szCs w:val="21"/>
          <w:rtl/>
        </w:rPr>
        <w:t xml:space="preserve">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pPr>
        <w:pBdr>
          <w:bottom w:val="single" w:color="BBBBBB" w:sz="6"/>
        </w:pBdr>
        <w:spacing w:after="100" w:before="100"/>
      </w:pPr>
    </w:p>
    <w:p>
      <w:pPr>
        <w:pStyle w:val="Heading2"/>
        <w:keepNext/>
        <w:bidi/>
        <w:spacing w:after="160" w:before="300"/>
        <w:jc w:val="left"/>
      </w:pPr>
      <w:bookmarkStart w:name="_Toc11" w:id="11"/>
      <w:r>
        <w:rPr>
          <w:rFonts w:ascii="Tahoma" w:cs="Tahoma" w:eastAsia="Tahoma" w:hAnsi="Tahoma"/>
          <w:b/>
          <w:bCs/>
          <w:color w:val="1F4E79"/>
          <w:sz w:val="28"/>
          <w:szCs w:val="28"/>
          <w:rtl/>
        </w:rPr>
        <w:t xml:space="preserve">۱.۵ قواعد یکپارچه‌سازی داده</w:t>
      </w:r>
      <w:bookmarkEnd w:id="11"/>
    </w:p>
    <w:p>
      <w:pPr>
        <w:bidi/>
        <w:spacing w:after="160" w:line="312"/>
        <w:jc w:val="left"/>
      </w:pPr>
      <w:r>
        <w:rPr>
          <w:rFonts w:ascii="Tahoma" w:cs="Tahoma" w:eastAsia="Tahoma" w:hAnsi="Tahoma"/>
          <w:sz w:val="21"/>
          <w:szCs w:val="21"/>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onsolas" w:cs="Consolas" w:eastAsia="Consolas" w:hAnsi="Consolas"/>
          <w:b w:val="false"/>
          <w:bCs w:val="false"/>
          <w:sz w:val="18"/>
          <w:szCs w:val="18"/>
          <w:rtl w:val="false"/>
        </w:rPr>
        <w:t xml:space="preserve">Loan_Remain</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Tahoma" w:cs="Tahoma" w:eastAsia="Tahoma" w:hAnsi="Tahoma"/>
          <w:b/>
          <w:bCs/>
          <w:sz w:val="21"/>
          <w:szCs w:val="21"/>
          <w:rtl/>
        </w:rPr>
        <w:t xml:space="preserve">جدول ۱-۵: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 از یکپارچه‌سازی در سطح (قرارداد، ماه)،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r>
    </w:tbl>
    <w:p>
      <w:pPr>
        <w:spacing w:after="200"/>
      </w:pPr>
    </w:p>
    <w:p>
      <w:pPr>
        <w:bidi/>
        <w:spacing w:after="160" w:line="312"/>
        <w:jc w:val="left"/>
      </w:pPr>
      <w:r>
        <w:rPr>
          <w:rFonts w:ascii="Tahoma" w:cs="Tahoma" w:eastAsia="Tahoma" w:hAnsi="Tahoma"/>
          <w:sz w:val="21"/>
          <w:szCs w:val="21"/>
          <w:rtl/>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rFonts w:ascii="Tahoma" w:cs="Tahoma" w:eastAsia="Tahoma" w:hAnsi="Tahoma"/>
          <w:b/>
          <w:bCs/>
          <w:sz w:val="21"/>
          <w:szCs w:val="21"/>
          <w:rtl/>
        </w:rPr>
        <w:t xml:space="preserve">گیرنده‌ی اصلی تسهیلات</w:t>
      </w:r>
      <w:r>
        <w:rPr>
          <w:rFonts w:ascii="Tahoma" w:cs="Tahoma" w:eastAsia="Tahoma" w:hAnsi="Tahoma"/>
          <w:sz w:val="21"/>
          <w:szCs w:val="21"/>
          <w:rtl/>
        </w:rPr>
        <w:t xml:space="preserve"> انجام شده‌اند و ضامن‌ها و شرکا در شمارش مشتریان وارد نشده‌اند.</w:t>
      </w:r>
    </w:p>
    <w:p>
      <w:pPr>
        <w:bidi/>
        <w:spacing w:after="160" w:line="312"/>
        <w:jc w:val="left"/>
      </w:pPr>
      <w:r>
        <w:rPr>
          <w:rFonts w:ascii="Tahoma" w:cs="Tahoma" w:eastAsia="Tahoma" w:hAnsi="Tahoma"/>
          <w:sz w:val="21"/>
          <w:szCs w:val="21"/>
          <w:rtl/>
        </w:rPr>
        <w:t xml:space="preserve">برای سایر جداول نیز ردیف‌های تکراری ناشی از فرآیند استخراج شناسایی و پیش از تحلیل یکسان شد. </w:t>
      </w:r>
      <w:r>
        <w:rPr>
          <w:rFonts w:ascii="Tahoma" w:cs="Tahoma" w:eastAsia="Tahoma" w:hAnsi="Tahoma"/>
          <w:b/>
          <w:bCs/>
          <w:sz w:val="21"/>
          <w:szCs w:val="21"/>
          <w:rtl/>
        </w:rPr>
        <w:t xml:space="preserve">جدول ۱-۶</w:t>
      </w:r>
      <w:r>
        <w:rPr>
          <w:rFonts w:ascii="Tahoma" w:cs="Tahoma" w:eastAsia="Tahoma" w:hAnsi="Tahoma"/>
          <w:sz w:val="21"/>
          <w:szCs w:val="21"/>
          <w:rtl/>
        </w:rPr>
        <w:t xml:space="preserve"> قواعد اعمال‌شده را خلاصه می‌کند.</w:t>
      </w:r>
    </w:p>
    <w:p>
      <w:pPr>
        <w:keepNext/>
        <w:bidi/>
        <w:spacing w:after="100" w:before="200"/>
        <w:jc w:val="left"/>
      </w:pPr>
      <w:r>
        <w:rPr>
          <w:rFonts w:ascii="Tahoma" w:cs="Tahoma" w:eastAsia="Tahoma" w:hAnsi="Tahoma"/>
          <w:b/>
          <w:bCs/>
          <w:sz w:val="21"/>
          <w:szCs w:val="21"/>
          <w:rtl/>
        </w:rPr>
        <w:t xml:space="preserve">جدول ۱-۶: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LoanFileID_Brnach</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Tahoma" w:cs="Tahoma" w:eastAsia="Tahoma" w:hAnsi="Tahoma"/>
          <w:b/>
          <w:bCs/>
          <w:color w:val="1F4E79"/>
          <w:sz w:val="28"/>
          <w:szCs w:val="28"/>
          <w:rtl/>
        </w:rPr>
        <w:t xml:space="preserve">۱.۶ جدول تطبیق: مرجع واحد ارقام گزارش</w:t>
      </w:r>
      <w:bookmarkEnd w:id="12"/>
    </w:p>
    <w:p>
      <w:pPr>
        <w:bidi/>
        <w:spacing w:after="160" w:line="312"/>
        <w:jc w:val="left"/>
      </w:pPr>
      <w:r>
        <w:rPr>
          <w:rFonts w:ascii="Tahoma" w:cs="Tahoma" w:eastAsia="Tahoma" w:hAnsi="Tahoma"/>
          <w:sz w:val="21"/>
          <w:szCs w:val="21"/>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Tahoma" w:cs="Tahoma" w:eastAsia="Tahoma" w:hAnsi="Tahoma"/>
          <w:b/>
          <w:bCs/>
          <w:color w:val="1F4E79"/>
          <w:sz w:val="24"/>
          <w:szCs w:val="24"/>
          <w:rtl/>
        </w:rPr>
        <w:t xml:space="preserve">۱.۶.۱ مبناهای ارزشی</w:t>
      </w:r>
    </w:p>
    <w:p>
      <w:pPr>
        <w:bidi/>
        <w:spacing w:after="160" w:line="312"/>
        <w:jc w:val="left"/>
      </w:pPr>
      <w:r>
        <w:rPr>
          <w:rFonts w:ascii="Tahoma" w:cs="Tahoma" w:eastAsia="Tahoma" w:hAnsi="Tahoma"/>
          <w:sz w:val="21"/>
          <w:szCs w:val="21"/>
          <w:rtl/>
        </w:rPr>
        <w:t xml:space="preserve">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Tahoma" w:cs="Tahoma" w:eastAsia="Tahoma" w:hAnsi="Tahoma"/>
          <w:b/>
          <w:bCs/>
          <w:sz w:val="21"/>
          <w:szCs w:val="21"/>
          <w:rtl/>
        </w:rPr>
        <w:t xml:space="preserve">جدول ۱-۷: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r>
              <w:rPr>
                <w:rFonts w:ascii="Tahoma" w:cs="Tahoma" w:eastAsia="Tahoma" w:hAnsi="Tahoma"/>
                <w:b w:val="false"/>
                <w:bCs w:val="false"/>
                <w:sz w:val="19"/>
                <w:szCs w:val="19"/>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پ در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پ-۱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۱.۶.۲ مبناهای تعدادی</w:t>
      </w:r>
    </w:p>
    <w:p>
      <w:pPr>
        <w:bidi/>
        <w:spacing w:after="160" w:line="312"/>
        <w:jc w:val="left"/>
      </w:pPr>
      <w:r>
        <w:rPr>
          <w:rFonts w:ascii="Tahoma" w:cs="Tahoma" w:eastAsia="Tahoma" w:hAnsi="Tahoma"/>
          <w:sz w:val="21"/>
          <w:szCs w:val="21"/>
          <w:rtl/>
        </w:rPr>
        <w:t xml:space="preserve">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Tahoma" w:cs="Tahoma" w:eastAsia="Tahoma" w:hAnsi="Tahoma"/>
          <w:b/>
          <w:bCs/>
          <w:sz w:val="21"/>
          <w:szCs w:val="21"/>
          <w:rtl/>
        </w:rPr>
        <w:t xml:space="preserve">جدول ۱-۸: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حاضر در </w:t>
            </w: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و </w:t>
            </w:r>
            <w:r>
              <w:rPr>
                <w:rFonts w:ascii="Consolas" w:cs="Consolas" w:eastAsia="Consolas" w:hAnsi="Consolas"/>
                <w:b w:val="false"/>
                <w:bCs w:val="false"/>
                <w:sz w:val="16"/>
                <w:szCs w:val="16"/>
                <w:rtl w:val="false"/>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p>
        </w:tc>
      </w:tr>
    </w:tbl>
    <w:p>
      <w:pPr>
        <w:spacing w:after="200"/>
      </w:pPr>
    </w:p>
    <w:p>
      <w:pPr>
        <w:bidi/>
        <w:spacing w:after="160" w:line="312"/>
        <w:jc w:val="left"/>
      </w:pPr>
      <w:r>
        <w:rPr>
          <w:rFonts w:ascii="Tahoma" w:cs="Tahoma" w:eastAsia="Tahoma" w:hAnsi="Tahoma"/>
          <w:sz w:val="21"/>
          <w:szCs w:val="21"/>
          <w:rtl/>
        </w:rPr>
        <w:t xml:space="preserve">برای سنجش صحت محاسبات، سه رابطه‌ی زیر در هر بازتولید گزارش بررسی می‌شود: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مجموع الف-۱ و الف-۲ برابر الف است: ۹۹.۵ + ۲۸.۷ = ۱۲۸.۲ هزار میلیارد تومان.</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مجموع پ-۱ و پ-۲ برابر پ است: ۵.۲ + ۶.۰ = ۱۱.۲ هزار میلیارد تومان.</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مجموع ت-۱ و ت-۲ برابر ت است: ۶۸۴,۳۲۸ + ۶۳۷,۹۷۵ = ۱,۳۲۲,۳۰۳ قرارداد.</w:t>
      </w:r>
    </w:p>
    <w:p>
      <w:pPr>
        <w:pStyle w:val="Heading3"/>
        <w:keepNext/>
        <w:bidi/>
        <w:spacing w:after="160" w:before="300"/>
        <w:jc w:val="left"/>
      </w:pPr>
      <w:r>
        <w:rPr>
          <w:rFonts w:ascii="Tahoma" w:cs="Tahoma" w:eastAsia="Tahoma" w:hAnsi="Tahoma"/>
          <w:b/>
          <w:bCs/>
          <w:color w:val="1F4E79"/>
          <w:sz w:val="24"/>
          <w:szCs w:val="24"/>
          <w:rtl/>
        </w:rPr>
        <w:t xml:space="preserve">۱.۶.۳ نگاشت خروجی‌ها به مبناها</w:t>
      </w:r>
    </w:p>
    <w:p>
      <w:pPr>
        <w:bidi/>
        <w:spacing w:after="160" w:line="312"/>
        <w:jc w:val="left"/>
      </w:pPr>
      <w:r>
        <w:rPr>
          <w:rFonts w:ascii="Tahoma" w:cs="Tahoma" w:eastAsia="Tahoma" w:hAnsi="Tahoma"/>
          <w:sz w:val="21"/>
          <w:szCs w:val="21"/>
          <w:rtl/>
        </w:rPr>
        <w:t xml:space="preserve">جدول ۱-۹ نشان می‌دهد هر گروه از خروجی‌های گزارش بر کدام مبنا استوار است. ارقام مبنای الف-۱ با ارقام مبنای الف </w:t>
      </w:r>
      <w:r>
        <w:rPr>
          <w:rFonts w:ascii="Tahoma" w:cs="Tahoma" w:eastAsia="Tahoma" w:hAnsi="Tahoma"/>
          <w:b/>
          <w:bCs/>
          <w:sz w:val="21"/>
          <w:szCs w:val="21"/>
          <w:rtl/>
        </w:rPr>
        <w:t xml:space="preserve">جمع‌پذیر نیستند</w:t>
      </w:r>
      <w:r>
        <w:rPr>
          <w:rFonts w:ascii="Tahoma" w:cs="Tahoma" w:eastAsia="Tahoma" w:hAnsi="Tahoma"/>
          <w:sz w:val="21"/>
          <w:szCs w:val="21"/>
          <w:rtl/>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pPr>
        <w:keepNext/>
        <w:bidi/>
        <w:spacing w:after="100" w:before="200"/>
        <w:jc w:val="left"/>
      </w:pPr>
      <w:r>
        <w:rPr>
          <w:rFonts w:ascii="Tahoma" w:cs="Tahoma" w:eastAsia="Tahoma" w:hAnsi="Tahoma"/>
          <w:b/>
          <w:bCs/>
          <w:sz w:val="21"/>
          <w:szCs w:val="21"/>
          <w:rtl/>
        </w:rPr>
        <w:t xml:space="preserve">جدول ۱-۹: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(کل ۱۲۸.۲)</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(دارای اطلاعات قرارداد ۹۹.۵)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r>
              <w:rPr>
                <w:rFonts w:ascii="Tahoma" w:cs="Tahoma" w:eastAsia="Tahoma" w:hAnsi="Tahoma"/>
                <w:b w:val="false"/>
                <w:bCs w:val="false"/>
                <w:sz w:val="19"/>
                <w:szCs w:val="19"/>
                <w:rtl/>
              </w:rPr>
              <w:t xml:space="preserve"> (سپرده ۸۴.۸)</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ترکیب پرتفوی، پلکان مانده، تمرکز و منحنی تمرکز،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r>
              <w:rPr>
                <w:rFonts w:ascii="Tahoma" w:cs="Tahoma" w:eastAsia="Tahoma" w:hAnsi="Tahoma"/>
                <w:b w:val="false"/>
                <w:bCs w:val="false"/>
                <w:sz w:val="19"/>
                <w:szCs w:val="19"/>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حساسیت هزینه‌ی تأمین مالی (فصل ۸)</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Tahoma" w:cs="Tahoma" w:eastAsia="Tahoma" w:hAnsi="Tahoma"/>
          <w:b/>
          <w:bCs/>
          <w:color w:val="1F4E79"/>
          <w:sz w:val="28"/>
          <w:szCs w:val="28"/>
          <w:rtl/>
        </w:rPr>
        <w:t xml:space="preserve">۱.۷ قراردادهای نمایش و واحدها</w:t>
      </w:r>
      <w:bookmarkEnd w:id="13"/>
    </w:p>
    <w:p>
      <w:pPr>
        <w:keepNext/>
        <w:bidi/>
        <w:spacing w:after="100" w:before="200"/>
        <w:jc w:val="left"/>
      </w:pPr>
      <w:r>
        <w:rPr>
          <w:rFonts w:ascii="Tahoma" w:cs="Tahoma" w:eastAsia="Tahoma" w:hAnsi="Tahoma"/>
          <w:b/>
          <w:bCs/>
          <w:sz w:val="21"/>
          <w:szCs w:val="21"/>
          <w:rtl/>
        </w:rPr>
        <w:t xml:space="preserve">جدول ۱-۱۰: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 ۱۰ ریال برابر ۱ تومان است؛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Tahoma" w:cs="Tahoma" w:eastAsia="Tahoma" w:hAnsi="Tahoma"/>
          <w:sz w:val="21"/>
          <w:szCs w:val="21"/>
          <w:rtl/>
        </w:rPr>
        <w:t xml:space="preserve">برای نمونه، مانده‌ی کل تسهیلات در ۱۲/۱۴۰۴ برابر ۱,۲۸۱.۶ هزار میلیارد ریال است که پس از تقسیم بر ۱۰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(۱۲۸.۲ همت) تبدیل می‌شود.</w:t>
      </w:r>
    </w:p>
    <w:p>
      <w:pPr>
        <w:pStyle w:val="Heading2"/>
        <w:keepNext/>
        <w:bidi/>
        <w:spacing w:after="160" w:before="300"/>
        <w:jc w:val="left"/>
      </w:pPr>
      <w:bookmarkStart w:name="_Toc14" w:id="14"/>
      <w:r>
        <w:rPr>
          <w:rFonts w:ascii="Tahoma" w:cs="Tahoma" w:eastAsia="Tahoma" w:hAnsi="Tahoma"/>
          <w:b/>
          <w:bCs/>
          <w:color w:val="1F4E79"/>
          <w:sz w:val="28"/>
          <w:szCs w:val="28"/>
          <w:rtl/>
        </w:rPr>
        <w:t xml:space="preserve">۱.۸ واژه‌نامه</w:t>
      </w:r>
      <w:bookmarkEnd w:id="14"/>
    </w:p>
    <w:p>
      <w:pPr>
        <w:keepNext/>
        <w:bidi/>
        <w:spacing w:after="100" w:before="200"/>
        <w:jc w:val="left"/>
      </w:pPr>
      <w:r>
        <w:rPr>
          <w:rFonts w:ascii="Tahoma" w:cs="Tahoma" w:eastAsia="Tahoma" w:hAnsi="Tahoma"/>
          <w:b/>
          <w:bCs/>
          <w:sz w:val="21"/>
          <w:szCs w:val="21"/>
          <w:rtl/>
        </w:rPr>
        <w:t xml:space="preserve">جدول ۱-۱۱: اصطلاحات پرکاربرد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2"/>
        <w:gridCol w:w="5088"/>
      </w:tblGrid>
      <w:tr>
        <w:trPr>
          <w:cantSplit/>
          <w:tblHeader/>
        </w:trPr>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اصطلاح</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معنا در این گزارش</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RFM</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 معیار تازگی (آخرین تراکنش)، تکرار (تعداد ماه‌های فعال) و ارزش پولی (مانده)؛ معیار قدمت در طراحی نمونه به آن‌ها افزوده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مشتریانی که بانک از پایگاه عملیاتی استخراج کرده است (بخش ۱.۲.۳)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مبلغ یا تعداد نمونه از کل بانک (فصل ۲)</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 ثبت‌شده به‌عنوان گیرنده‌ی رسمی قرارداد تسهیلات؛ ضامن و شریک جدا هستند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طرف قرارداد</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وام‌گیرنده، ضامن یا شریک یک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مبنای الف، الف-۱ و ...</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کدهای جدول تطبیق (بخش ۱.۶): کل پرتفوی، پرتفوی دارای رکورد قرارداد و غیره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مانده‌ی طبقات سررسیدگذشته، معوق و مشکوک‌الوصول</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کوهورت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گروه مشتریانی که نخستین حساب سپرده‌ی آن‌ها در یک سال افتتاح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پلکان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مشتریان در بازه‌های مطلق مانده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ریزش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 با میانگین مانده‌ی صفر در سال بعد (فصل 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قراردادی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نرخ سود مصوب و نرخ ترجیحی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و جریمه‌ی نقداً دریافت‌شده نسبت به میانگین مانده (فصل ۸)</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تفاوت بازده تسهیلات و نرخ هزینه‌ی تأمین مالی؛ سود خالص نیست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واحدهای غیرجغرافیایی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ستاد، شعب مستقل و واحدهای تخصصی که به استان خاصی منسوب نیستند (فصل ۷)</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15" w:id="15"/>
      <w:r>
        <w:rPr>
          <w:rFonts w:ascii="Tahoma" w:cs="Tahoma" w:eastAsia="Tahoma" w:hAnsi="Tahoma"/>
          <w:b/>
          <w:bCs/>
          <w:color w:val="1F4E79"/>
          <w:sz w:val="34"/>
          <w:szCs w:val="34"/>
          <w:rtl/>
        </w:rPr>
        <w:t xml:space="preserve">فصل ۲: داده‌های در دسترس و پوشش نمونه</w:t>
      </w:r>
      <w:bookmarkEnd w:id="15"/>
    </w:p>
    <w:p>
      <w:pPr>
        <w:pStyle w:val="Heading2"/>
        <w:keepNext/>
        <w:bidi/>
        <w:spacing w:after="160" w:before="300"/>
        <w:jc w:val="left"/>
      </w:pPr>
      <w:bookmarkStart w:name="_Toc16" w:id="16"/>
      <w:r>
        <w:rPr>
          <w:rFonts w:ascii="Tahoma" w:cs="Tahoma" w:eastAsia="Tahoma" w:hAnsi="Tahoma"/>
          <w:b/>
          <w:bCs/>
          <w:color w:val="1F4E79"/>
          <w:sz w:val="28"/>
          <w:szCs w:val="28"/>
          <w:rtl/>
        </w:rPr>
        <w:t xml:space="preserve">۲.۱ هدف فصل</w:t>
      </w:r>
      <w:bookmarkEnd w:id="16"/>
    </w:p>
    <w:p>
      <w:pPr>
        <w:bidi/>
        <w:spacing w:after="160" w:line="312"/>
        <w:jc w:val="left"/>
      </w:pPr>
      <w:r>
        <w:rPr>
          <w:rFonts w:ascii="Tahoma" w:cs="Tahoma" w:eastAsia="Tahoma" w:hAnsi="Tahoma"/>
          <w:sz w:val="21"/>
          <w:szCs w:val="21"/>
          <w:rtl/>
        </w:rPr>
        <w:t xml:space="preserve">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(۲.۵) و حدود تعمیم شاخص‌های گزارش (۲.۶) را بیان می‌کنند.</w:t>
      </w:r>
    </w:p>
    <w:p>
      <w:pPr>
        <w:bidi/>
        <w:spacing w:after="160" w:line="312"/>
        <w:jc w:val="left"/>
      </w:pPr>
      <w:r>
        <w:rPr>
          <w:rFonts w:ascii="Tahoma" w:cs="Tahoma" w:eastAsia="Tahoma" w:hAnsi="Tahoma"/>
          <w:sz w:val="21"/>
          <w:szCs w:val="21"/>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7" w:id="17"/>
      <w:r>
        <w:rPr>
          <w:rFonts w:ascii="Tahoma" w:cs="Tahoma" w:eastAsia="Tahoma" w:hAnsi="Tahoma"/>
          <w:b/>
          <w:bCs/>
          <w:color w:val="1F4E79"/>
          <w:sz w:val="28"/>
          <w:szCs w:val="28"/>
          <w:rtl/>
        </w:rPr>
        <w:t xml:space="preserve">۲.۲ منابع داده</w:t>
      </w:r>
      <w:bookmarkEnd w:id="17"/>
    </w:p>
    <w:p>
      <w:pPr>
        <w:bidi/>
        <w:spacing w:after="160" w:line="312"/>
        <w:jc w:val="left"/>
      </w:pPr>
      <w:r>
        <w:rPr>
          <w:rFonts w:ascii="Tahoma" w:cs="Tahoma" w:eastAsia="Tahoma" w:hAnsi="Tahoma"/>
          <w:sz w:val="21"/>
          <w:szCs w:val="21"/>
          <w:rtl/>
        </w:rPr>
        <w:t xml:space="preserve">تحلیل‌های فاز ۱ بر سه گروه داده متکی‌اند.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پایگاه‌داده‌ی عملیاتی</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Alzahra_Final_DB</w:t>
      </w:r>
      <w:r>
        <w:rPr>
          <w:rFonts w:ascii="Tahoma" w:cs="Tahoma" w:eastAsia="Tahoma" w:hAnsi="Tahoma"/>
          <w:sz w:val="21"/>
          <w:szCs w:val="21"/>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آمار ماهانه‌ی رسمی بانک</w:t>
      </w:r>
      <w:r>
        <w:rPr>
          <w:rFonts w:ascii="Tahoma" w:cs="Tahoma" w:eastAsia="Tahoma" w:hAnsi="Tahoma"/>
          <w:sz w:val="21"/>
          <w:szCs w:val="21"/>
          <w:rtl/>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فایل توزیع مشتریان بانک</w:t>
      </w:r>
      <w:r>
        <w:rPr>
          <w:rFonts w:ascii="Tahoma" w:cs="Tahoma" w:eastAsia="Tahoma" w:hAnsi="Tahoma"/>
          <w:sz w:val="21"/>
          <w:szCs w:val="21"/>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Tahoma" w:cs="Tahoma" w:eastAsia="Tahoma" w:hAnsi="Tahoma"/>
          <w:sz w:val="21"/>
          <w:szCs w:val="21"/>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Tahoma" w:cs="Tahoma" w:eastAsia="Tahoma" w:hAnsi="Tahoma"/>
          <w:b/>
          <w:bCs/>
          <w:sz w:val="21"/>
          <w:szCs w:val="21"/>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 کد شعبه</w:t>
            </w:r>
          </w:p>
        </w:tc>
      </w:tr>
    </w:tbl>
    <w:p>
      <w:pPr>
        <w:spacing w:after="200"/>
      </w:pPr>
    </w:p>
    <w:p>
      <w:pPr>
        <w:bidi/>
        <w:spacing w:after="160" w:line="312"/>
        <w:jc w:val="left"/>
      </w:pPr>
      <w:r>
        <w:rPr>
          <w:rFonts w:ascii="Tahoma" w:cs="Tahoma" w:eastAsia="Tahoma" w:hAnsi="Tahoma"/>
          <w:sz w:val="21"/>
          <w:szCs w:val="21"/>
          <w:rtl/>
        </w:rPr>
        <w:t xml:space="preserve">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pPr>
        <w:pBdr>
          <w:bottom w:val="single" w:color="BBBBBB" w:sz="6"/>
        </w:pBdr>
        <w:spacing w:after="100" w:before="100"/>
      </w:pPr>
    </w:p>
    <w:p>
      <w:pPr>
        <w:pStyle w:val="Heading2"/>
        <w:keepNext/>
        <w:bidi/>
        <w:spacing w:after="160" w:before="300"/>
        <w:jc w:val="left"/>
      </w:pPr>
      <w:bookmarkStart w:name="_Toc18" w:id="18"/>
      <w:r>
        <w:rPr>
          <w:rFonts w:ascii="Tahoma" w:cs="Tahoma" w:eastAsia="Tahoma" w:hAnsi="Tahoma"/>
          <w:b/>
          <w:bCs/>
          <w:color w:val="1F4E79"/>
          <w:sz w:val="28"/>
          <w:szCs w:val="28"/>
          <w:rtl/>
        </w:rPr>
        <w:t xml:space="preserve">۲.۳ بازه‌ی زمانی تحلیل</w:t>
      </w:r>
      <w:bookmarkEnd w:id="18"/>
    </w:p>
    <w:p>
      <w:pPr>
        <w:bidi/>
        <w:spacing w:after="160" w:line="312"/>
        <w:jc w:val="left"/>
      </w:pPr>
      <w:r>
        <w:rPr>
          <w:rFonts w:ascii="Tahoma" w:cs="Tahoma" w:eastAsia="Tahoma" w:hAnsi="Tahoma"/>
          <w:sz w:val="21"/>
          <w:szCs w:val="21"/>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۲-۱: بازه‌ی زمانی منابع داده نسبت به بازه‌ی توافق‌شده‌ی تحلیل</w:t>
      </w:r>
    </w:p>
    <w:p>
      <w:pPr>
        <w:bidi/>
        <w:spacing w:after="160" w:line="312"/>
        <w:jc w:val="left"/>
      </w:pPr>
      <w:r>
        <w:rPr>
          <w:rFonts w:ascii="Tahoma" w:cs="Tahoma" w:eastAsia="Tahoma" w:hAnsi="Tahoma"/>
          <w:sz w:val="21"/>
          <w:szCs w:val="21"/>
          <w:rtl/>
        </w:rPr>
        <w:t xml:space="preserve">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pPr>
        <w:bidi/>
        <w:spacing w:after="160" w:line="312"/>
        <w:jc w:val="left"/>
      </w:pPr>
      <w:r>
        <w:rPr>
          <w:rFonts w:ascii="Tahoma" w:cs="Tahoma" w:eastAsia="Tahoma" w:hAnsi="Tahoma"/>
          <w:sz w:val="21"/>
          <w:szCs w:val="21"/>
          <w:rtl/>
        </w:rPr>
        <w:t xml:space="preserve">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9" w:id="19"/>
      <w:r>
        <w:rPr>
          <w:rFonts w:ascii="Tahoma" w:cs="Tahoma" w:eastAsia="Tahoma" w:hAnsi="Tahoma"/>
          <w:b/>
          <w:bCs/>
          <w:color w:val="1F4E79"/>
          <w:sz w:val="28"/>
          <w:szCs w:val="28"/>
          <w:rtl/>
        </w:rPr>
        <w:t xml:space="preserve">۲.۴ پوشش نمونه نسبت به کل بانک</w:t>
      </w:r>
      <w:bookmarkEnd w:id="19"/>
    </w:p>
    <w:p>
      <w:pPr>
        <w:bidi/>
        <w:spacing w:after="160" w:line="312"/>
        <w:jc w:val="left"/>
      </w:pPr>
      <w:r>
        <w:rPr>
          <w:rFonts w:ascii="Tahoma" w:cs="Tahoma" w:eastAsia="Tahoma" w:hAnsi="Tahoma"/>
          <w:sz w:val="21"/>
          <w:szCs w:val="21"/>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pPr>
        <w:pStyle w:val="Heading3"/>
        <w:keepNext/>
        <w:bidi/>
        <w:spacing w:after="160" w:before="300"/>
        <w:jc w:val="left"/>
      </w:pPr>
      <w:r>
        <w:rPr>
          <w:rFonts w:ascii="Tahoma" w:cs="Tahoma" w:eastAsia="Tahoma" w:hAnsi="Tahoma"/>
          <w:b/>
          <w:bCs/>
          <w:color w:val="1F4E79"/>
          <w:sz w:val="24"/>
          <w:szCs w:val="24"/>
          <w:rtl/>
        </w:rPr>
        <w:t xml:space="preserve">۲.۴.۱ سهم تعدادی و سهم مبلغی</w:t>
      </w:r>
    </w:p>
    <w:p>
      <w:pPr>
        <w:bidi/>
        <w:spacing w:after="160" w:line="312"/>
        <w:jc w:val="left"/>
      </w:pPr>
      <w:r>
        <w:rPr>
          <w:rFonts w:ascii="Tahoma" w:cs="Tahoma" w:eastAsia="Tahoma" w:hAnsi="Tahoma"/>
          <w:sz w:val="21"/>
          <w:szCs w:val="21"/>
          <w:rtl/>
        </w:rPr>
        <w:t xml:space="preserve">نمودار ۲-۲ نشان می‌دهد نمونه‌ی تحلیلی ۹.۵ درصد از مشتریان سپرده‌گذار (۷۰۶,۵۰۹ از ۷,۴۰۴,۲۴۰) و ۱۵.۸ درصد از گیرندگان تسهیلات بانک (۲۴۹,۷۰۸ از ۱,۵۸۳,۱۶۸) را در بر می‌گیرد، اما ۶۳.۷ درصد از منابع ریالی و ۸۶.۵ درصد از مانده‌ی تسهیلات بانک را پوشش می‌دهد (۱۲/۱۴۰۴). این تفاوت از ترکیب نمونه‌ی تحویلی می‌آید: مشتریان بزرگ در آن نسبت بیشتری دارند و سهم مبلغی نمونه چند برابر سهم تعدادی آن است. تعداد کل مشتریان بانک از فایل توزیع مشتریان (مقطع ۰۹/۱۴۰۴) و مبالغ از آمار رسمی ماهانه‌ی ۱۲/۱۴۰۴ استخراج شده‌اند.</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۲-۲: سهم نمونه از کل بانک بر حسب تعداد مشتری و بر حسب مبلغ</w:t>
      </w:r>
    </w:p>
    <w:p>
      <w:pPr>
        <w:pStyle w:val="Heading3"/>
        <w:keepNext/>
        <w:bidi/>
        <w:spacing w:after="160" w:before="300"/>
        <w:jc w:val="left"/>
      </w:pPr>
      <w:r>
        <w:rPr>
          <w:rFonts w:ascii="Tahoma" w:cs="Tahoma" w:eastAsia="Tahoma" w:hAnsi="Tahoma"/>
          <w:b/>
          <w:bCs/>
          <w:color w:val="1F4E79"/>
          <w:sz w:val="24"/>
          <w:szCs w:val="24"/>
          <w:rtl/>
        </w:rPr>
        <w:t xml:space="preserve">۲.۴.۲ پوشش به تفکیک اندازه‌ی مشتری</w:t>
      </w:r>
    </w:p>
    <w:p>
      <w:pPr>
        <w:bidi/>
        <w:spacing w:after="160" w:line="312"/>
        <w:jc w:val="left"/>
      </w:pPr>
      <w:r>
        <w:rPr>
          <w:rFonts w:ascii="Tahoma" w:cs="Tahoma" w:eastAsia="Tahoma" w:hAnsi="Tahoma"/>
          <w:sz w:val="21"/>
          <w:szCs w:val="21"/>
          <w:rtl/>
        </w:rPr>
        <w:t xml:space="preserve">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pPr>
        <w:keepNext/>
        <w:spacing w:after="60" w:before="160"/>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۲-۳: نسبت گیرندگان نمونه به کل گیرندگان بانک به تفکیک طبقه‌ی مانده‌ی تسهیلات</w:t>
      </w:r>
    </w:p>
    <w:p>
      <w:pPr>
        <w:bidi/>
        <w:spacing w:after="160" w:line="312"/>
        <w:jc w:val="left"/>
      </w:pPr>
      <w:r>
        <w:rPr>
          <w:rFonts w:ascii="Tahoma" w:cs="Tahoma" w:eastAsia="Tahoma" w:hAnsi="Tahoma"/>
          <w:sz w:val="21"/>
          <w:szCs w:val="21"/>
          <w:rtl/>
        </w:rPr>
        <w:t xml:space="preserve">نسبت پوشش به‌طور کلی با اندازه‌ی مشتری افزایش می‌یابد: ۱۴ درصد در طبقه‌ی زیر ۵۰ میلیون تومان، ۶۹ و ۶۲ درصد در دو طبقه‌ی میانی، و ۹۴ و ۹۹ درصد در طبقات ۱ تا ۵ و ۵ تا ۲۰ میلیارد تومان. در طبقه‌ی بیش از ۲۰ میلیارد تومان، شمار مشتریان نمونه (۴۰۱ نفر) از شمار فایل توزیع بانک (۲۶۲ نفر) بیشتر است و نسبت پوشش از ۱۰۰ درصد می‌گذرد؛ علت این اختلاف از تفاوت تعریف مانده‌ی مشتری میان گزارش و فایل توزیع می‌آید و دلیل دقیق آن در بخش ۹.۵ پرسیده شده است. نمونه، گیرندگان بالای ۱ میلیارد تومان را با پوشش ۹۴ تا ۹۹ درصد در بر دارد و تحلیل‌های تمرکز و ریسک بر پوشش بالایی از مبالغ متکی‌اند.</w:t>
      </w:r>
    </w:p>
    <w:p>
      <w:pPr>
        <w:pStyle w:val="Heading3"/>
        <w:keepNext/>
        <w:bidi/>
        <w:spacing w:after="160" w:before="300"/>
        <w:jc w:val="left"/>
      </w:pPr>
      <w:r>
        <w:rPr>
          <w:rFonts w:ascii="Tahoma" w:cs="Tahoma" w:eastAsia="Tahoma" w:hAnsi="Tahoma"/>
          <w:b/>
          <w:bCs/>
          <w:color w:val="1F4E79"/>
          <w:sz w:val="24"/>
          <w:szCs w:val="24"/>
          <w:rtl/>
        </w:rPr>
        <w:t xml:space="preserve">۲.۴.۳ ترکیب قدمت مشتریان</w:t>
      </w:r>
    </w:p>
    <w:p>
      <w:pPr>
        <w:bidi/>
        <w:spacing w:after="160" w:line="312"/>
        <w:jc w:val="left"/>
      </w:pPr>
      <w:r>
        <w:rPr>
          <w:rFonts w:ascii="Tahoma" w:cs="Tahoma" w:eastAsia="Tahoma" w:hAnsi="Tahoma"/>
          <w:sz w:val="21"/>
          <w:szCs w:val="21"/>
          <w:rtl/>
        </w:rPr>
        <w:t xml:space="preserve">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pPr>
        <w:keepNext/>
        <w:spacing w:after="60" w:before="160"/>
        <w:jc w:val="center"/>
      </w:pPr>
      <w:r>
        <w:drawing>
          <wp:inline distT="0" distB="0" distL="0" distR="0">
            <wp:extent cx="571500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۲-۴: ترکیب قدمت مشتریان نمونه در مقایسه با کل بانک</w:t>
      </w:r>
    </w:p>
    <w:p>
      <w:pPr>
        <w:pStyle w:val="Heading3"/>
        <w:keepNext/>
        <w:bidi/>
        <w:spacing w:after="160" w:before="300"/>
        <w:jc w:val="left"/>
      </w:pPr>
      <w:r>
        <w:rPr>
          <w:rFonts w:ascii="Tahoma" w:cs="Tahoma" w:eastAsia="Tahoma" w:hAnsi="Tahoma"/>
          <w:b/>
          <w:bCs/>
          <w:color w:val="1F4E79"/>
          <w:sz w:val="24"/>
          <w:szCs w:val="24"/>
          <w:rtl/>
        </w:rPr>
        <w:t xml:space="preserve">۲.۴.۴ روند پوشش در ۶۰ ماه</w:t>
      </w:r>
    </w:p>
    <w:p>
      <w:pPr>
        <w:bidi/>
        <w:spacing w:after="160" w:line="312"/>
        <w:jc w:val="left"/>
      </w:pPr>
      <w:r>
        <w:rPr>
          <w:rFonts w:ascii="Tahoma" w:cs="Tahoma" w:eastAsia="Tahoma" w:hAnsi="Tahoma"/>
          <w:sz w:val="21"/>
          <w:szCs w:val="21"/>
          <w:rtl/>
        </w:rPr>
        <w:t xml:space="preserve">نمودار ۲-۵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۲-۵: پوشش ماهانه‌ی نمونه نسبت به آمار رسمی بانک (۰۱/۱۴۰۰ تا ۱۲/۱۴۰۴)</w:t>
      </w:r>
    </w:p>
    <w:p>
      <w:pPr>
        <w:bidi/>
        <w:spacing w:after="160" w:line="312"/>
        <w:jc w:val="left"/>
      </w:pPr>
      <w:r>
        <w:rPr>
          <w:rFonts w:ascii="Tahoma" w:cs="Tahoma" w:eastAsia="Tahoma" w:hAnsi="Tahoma"/>
          <w:sz w:val="21"/>
          <w:szCs w:val="21"/>
          <w:rtl/>
        </w:rPr>
        <w:t xml:space="preserve">جدول ۲-۲ ارقام چهار مقطع کلیدی را نشان می‌دهد. مبالغ بر حسب هزار میلیارد تومان‌اند و ارقام نمونه مجموع واقعی نمونه‌اند.</w:t>
      </w:r>
    </w:p>
    <w:p>
      <w:pPr>
        <w:keepNext/>
        <w:bidi/>
        <w:spacing w:after="100" w:before="200"/>
        <w:jc w:val="left"/>
      </w:pPr>
      <w:r>
        <w:rPr>
          <w:rFonts w:ascii="Tahoma" w:cs="Tahoma" w:eastAsia="Tahoma" w:hAnsi="Tahoma"/>
          <w:b/>
          <w:bCs/>
          <w:sz w:val="21"/>
          <w:szCs w:val="21"/>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Tahoma" w:cs="Tahoma" w:eastAsia="Tahoma" w:hAnsi="Tahoma"/>
          <w:b/>
          <w:bCs/>
          <w:color w:val="1F4E79"/>
          <w:sz w:val="24"/>
          <w:szCs w:val="24"/>
          <w:rtl/>
        </w:rPr>
        <w:t xml:space="preserve">۲.۴.۵ هم‌خوانی روند مطالبات غیرجاری</w:t>
      </w:r>
    </w:p>
    <w:p>
      <w:pPr>
        <w:bidi/>
        <w:spacing w:after="160" w:line="312"/>
        <w:jc w:val="left"/>
      </w:pPr>
      <w:r>
        <w:rPr>
          <w:rFonts w:ascii="Tahoma" w:cs="Tahoma" w:eastAsia="Tahoma" w:hAnsi="Tahoma"/>
          <w:sz w:val="21"/>
          <w:szCs w:val="21"/>
          <w:rtl/>
        </w:rPr>
        <w:t xml:space="preserve">نمودار ۲-۶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نسبت نمونه با بانک کمتر از یک واحد درصد است. سری ماهانه‌ی هر دو نسبت در برگه‌ی «پیوست سری NPL» فایل جدول‌های پیوست آمده است. چون نمونه حدود ۹۵ درصد مطالبات غیرجاری بانک را در بر دارد، این هم‌خوانی تا حد زیادی از ساختار نمونه می‌آید.</w:t>
      </w:r>
    </w:p>
    <w:p>
      <w:pPr>
        <w:keepNext/>
        <w:spacing w:after="60" w:before="160"/>
        <w:jc w:val="center"/>
      </w:pPr>
      <w:r>
        <w:drawing>
          <wp:inline distT="0" distB="0" distL="0" distR="0">
            <wp:extent cx="5715000" cy="2562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۲-۶: نسبت مطالبات غیرجاری در کل بانک و در نمونه‌ی تحلیلی</w:t>
      </w:r>
    </w:p>
    <w:p>
      <w:pPr>
        <w:keepNext/>
        <w:bidi/>
        <w:spacing w:after="100" w:before="200"/>
        <w:jc w:val="left"/>
      </w:pPr>
      <w:r>
        <w:rPr>
          <w:rFonts w:ascii="Tahoma" w:cs="Tahoma" w:eastAsia="Tahoma" w:hAnsi="Tahoma"/>
          <w:b/>
          <w:bCs/>
          <w:sz w:val="21"/>
          <w:szCs w:val="21"/>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r>
    </w:tbl>
    <w:p>
      <w:pPr>
        <w:spacing w:after="200"/>
      </w:pPr>
    </w:p>
    <w:p>
      <w:pPr>
        <w:bidi/>
        <w:spacing w:after="160" w:line="312"/>
        <w:jc w:val="left"/>
      </w:pPr>
      <w:r>
        <w:rPr>
          <w:rFonts w:ascii="Tahoma" w:cs="Tahoma" w:eastAsia="Tahoma" w:hAnsi="Tahoma"/>
          <w:sz w:val="21"/>
          <w:szCs w:val="21"/>
          <w:rtl/>
        </w:rPr>
        <w:t xml:space="preserve">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pPr>
        <w:pStyle w:val="Heading3"/>
        <w:keepNext/>
        <w:bidi/>
        <w:spacing w:after="160" w:before="300"/>
        <w:jc w:val="left"/>
      </w:pPr>
      <w:r>
        <w:rPr>
          <w:rFonts w:ascii="Tahoma" w:cs="Tahoma" w:eastAsia="Tahoma" w:hAnsi="Tahoma"/>
          <w:b/>
          <w:bCs/>
          <w:color w:val="1F4E79"/>
          <w:sz w:val="24"/>
          <w:szCs w:val="24"/>
          <w:rtl/>
        </w:rPr>
        <w:t xml:space="preserve">۲.۴.۶ جمع‌بندی پوشش</w:t>
      </w:r>
    </w:p>
    <w:p>
      <w:pPr>
        <w:bidi/>
        <w:spacing w:after="160" w:line="312"/>
        <w:jc w:val="left"/>
      </w:pPr>
      <w:r>
        <w:rPr>
          <w:rFonts w:ascii="Tahoma" w:cs="Tahoma" w:eastAsia="Tahoma" w:hAnsi="Tahoma"/>
          <w:sz w:val="21"/>
          <w:szCs w:val="21"/>
          <w:rtl/>
        </w:rPr>
        <w:t xml:space="preserve">مقایسه با آمار رسمی چهار نتیجه دارد: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 ۶۴ تا ۷۷ درصد منابع و ۷۵ تا ۸۷ درصد مانده‌ی تسهیلات بانک را در بر می‌گیرد.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بزرگ‌ترین مشتریان، به‌ویژه گیرندگان تسهیلات بالای ۱ میلیارد تومان، تقریباً به‌طور کامل در نمونه حضور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 مطالبات غیرجاری و ساختار استانی نمونه با آمار رسمی بانک هم‌خوانی بالایی دارند؛ دامنه‌ی تعمیم سایر شاخص‌ها در بخش ۲.۶ آمده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20" w:id="20"/>
      <w:r>
        <w:rPr>
          <w:rFonts w:ascii="Tahoma" w:cs="Tahoma" w:eastAsia="Tahoma" w:hAnsi="Tahoma"/>
          <w:b/>
          <w:bCs/>
          <w:color w:val="1F4E79"/>
          <w:sz w:val="28"/>
          <w:szCs w:val="28"/>
          <w:rtl/>
        </w:rPr>
        <w:t xml:space="preserve">۲.۵ تکمیل تحلیل‌ها در فاز بعد</w:t>
      </w:r>
      <w:bookmarkEnd w:id="20"/>
    </w:p>
    <w:p>
      <w:pPr>
        <w:bidi/>
        <w:spacing w:after="160" w:line="312"/>
        <w:jc w:val="left"/>
      </w:pPr>
      <w:r>
        <w:rPr>
          <w:rFonts w:ascii="Tahoma" w:cs="Tahoma" w:eastAsia="Tahoma" w:hAnsi="Tahoma"/>
          <w:sz w:val="21"/>
          <w:szCs w:val="21"/>
          <w:rtl/>
        </w:rPr>
        <w:t xml:space="preserve">تحلیل‌های این گزارش با داده‌های دریافتی انجام شده‌اند. دریافت چند داده‌ی تکمیلی از بانک، عمق تحلیل‌ها را در فاز ۲ و فازهای بعد افزایش می‌دهد. جدول ۲-۴ این موارد را به ترتیب اولویت فهرست می‌کند.</w:t>
      </w:r>
    </w:p>
    <w:p>
      <w:pPr>
        <w:keepNext/>
        <w:bidi/>
        <w:spacing w:after="100" w:before="200"/>
        <w:jc w:val="left"/>
      </w:pPr>
      <w:r>
        <w:rPr>
          <w:rFonts w:ascii="Tahoma" w:cs="Tahoma" w:eastAsia="Tahoma" w:hAnsi="Tahoma"/>
          <w:b/>
          <w:bCs/>
          <w:sz w:val="21"/>
          <w:szCs w:val="21"/>
          <w:rtl/>
        </w:rPr>
        <w:t xml:space="preserve">جدول ۲-۴: داده‌های تکمیلی و کاربرد آن‌ها در فاز بعد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ردیف</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 فعلی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 در فاز بعد</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w:t>
            </w:r>
            <w:r>
              <w:rPr>
                <w:rFonts w:ascii="Consolas" w:cs="Consolas" w:eastAsia="Consolas" w:hAnsi="Consolas"/>
                <w:b w:val="false"/>
                <w:bCs w:val="false"/>
                <w:sz w:val="16"/>
                <w:szCs w:val="16"/>
                <w:rtl w:val="false"/>
              </w:rPr>
              <w:t xml:space="preserve">Customer_Profile</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 در این جدول با شناسه‌ی جداول عملیاتی نگاشت مستقیم ندارد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مشتریان حقیقی و حقوقی؛ تحلیل بر اساس سن، جنسیت، شغل و موقعیت جغرافیایی مشتری؛ بخش‌بندی رفتاری دقیق‌تر در فاز ۲</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مانده‌ی تسهیلات)</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قراردادها در جدول مانده حضور دارند و مشخصات آن‌ها (نوع، نرخ، تاریخ اعطا، وثیقه، شعبه) ثبت نشده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۱۰۰٪ پرتفوی؛ دقت بیشتر در تحلیل ریسک</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کل حساب‌ها، همراه با شناسه‌ی تراکنش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جدول ۴۷۵,۲۳۰ حساب از ۱,۲۶۸,۲۶۶ حساب (۳۷.۵٪) را در بر 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دقیق‌تر هزینه‌ی تأمین مالی و سودآوری به تفکیک گروه مشتری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بر اساس معیار فعال‌بودن طراحی 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مدل‌سازی گرایش مشتری به ترک بانک (فاز ۴) و برآورد نرخ ریزش برای کل بانک</w:t>
            </w:r>
          </w:p>
        </w:tc>
      </w:tr>
    </w:tbl>
    <w:p>
      <w:pPr>
        <w:spacing w:after="200"/>
      </w:pPr>
    </w:p>
    <w:p>
      <w:pPr>
        <w:bidi/>
        <w:spacing w:after="160" w:line="312"/>
        <w:jc w:val="left"/>
      </w:pPr>
      <w:r>
        <w:rPr>
          <w:rFonts w:ascii="Tahoma" w:cs="Tahoma" w:eastAsia="Tahoma" w:hAnsi="Tahoma"/>
          <w:sz w:val="21"/>
          <w:szCs w:val="21"/>
          <w:rtl/>
        </w:rPr>
        <w:t xml:space="preserve">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pPr>
        <w:keepNext/>
        <w:bidi/>
        <w:spacing w:after="100" w:before="200"/>
        <w:jc w:val="left"/>
      </w:pPr>
      <w:r>
        <w:rPr>
          <w:rFonts w:ascii="Tahoma" w:cs="Tahoma" w:eastAsia="Tahoma" w:hAnsi="Tahoma"/>
          <w:b/>
          <w:bCs/>
          <w:sz w:val="21"/>
          <w:szCs w:val="21"/>
          <w:rtl/>
        </w:rPr>
        <w:t xml:space="preserve">جدول ۲-۵: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مطالبات غیرجاری در بخش فاقد اطلاعات قرارداد بالاتر است و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pPr>
        <w:pBdr>
          <w:bottom w:val="single" w:color="BBBBBB" w:sz="6"/>
        </w:pBdr>
        <w:spacing w:after="100" w:before="100"/>
      </w:pPr>
    </w:p>
    <w:p>
      <w:pPr>
        <w:pStyle w:val="Heading2"/>
        <w:keepNext/>
        <w:bidi/>
        <w:spacing w:after="160" w:before="300"/>
        <w:jc w:val="left"/>
      </w:pPr>
      <w:bookmarkStart w:name="_Toc21" w:id="21"/>
      <w:r>
        <w:rPr>
          <w:rFonts w:ascii="Tahoma" w:cs="Tahoma" w:eastAsia="Tahoma" w:hAnsi="Tahoma"/>
          <w:b/>
          <w:bCs/>
          <w:color w:val="1F4E79"/>
          <w:sz w:val="28"/>
          <w:szCs w:val="28"/>
          <w:rtl/>
        </w:rPr>
        <w:t xml:space="preserve">۲.۶ حدود تعمیم شاخص‌ها</w:t>
      </w:r>
      <w:bookmarkEnd w:id="21"/>
    </w:p>
    <w:p>
      <w:pPr>
        <w:bidi/>
        <w:spacing w:after="160" w:line="312"/>
        <w:jc w:val="left"/>
      </w:pPr>
      <w:r>
        <w:rPr>
          <w:rFonts w:ascii="Tahoma" w:cs="Tahoma" w:eastAsia="Tahoma" w:hAnsi="Tahoma"/>
          <w:sz w:val="21"/>
          <w:szCs w:val="21"/>
          <w:rtl/>
        </w:rPr>
        <w:t xml:space="preserve">شاخص‌های گزارش از چهار نوع‌اند و دامنه‌ی تعمیم هر نوع در جدول ۲-۶ آمده است. در متن، ارقام نمونه با عبارت «در نمونه» و ارقام رسمی با عبارت «آمار رسمی» مشخص شده‌اند.</w:t>
      </w:r>
    </w:p>
    <w:p>
      <w:pPr>
        <w:keepNext/>
        <w:bidi/>
        <w:spacing w:after="100" w:before="200"/>
        <w:jc w:val="left"/>
      </w:pPr>
      <w:r>
        <w:rPr>
          <w:rFonts w:ascii="Tahoma" w:cs="Tahoma" w:eastAsia="Tahoma" w:hAnsi="Tahoma"/>
          <w:b/>
          <w:bCs/>
          <w:sz w:val="21"/>
          <w:szCs w:val="21"/>
          <w:rtl/>
        </w:rPr>
        <w:t xml:space="preserve">جدول ۲-۶: حدود تعمیم شاخص‌های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1"/>
        <w:gridCol w:w="2456"/>
        <w:gridCol w:w="2456"/>
        <w:gridCol w:w="2457"/>
      </w:tblGrid>
      <w:tr>
        <w:trPr>
          <w:cantSplit/>
          <w:tblHeader/>
        </w:trPr>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شاخص</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مثال</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تعمیم</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آمار رسمی کل بانک</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تسهیلات، نسبت تسهیلات به منابع، نسبت مطالبات غیرجاری، ترکیب منابع، فصل ۷، هزینه‌ی تأمین مالی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آمار ماهانه‌ی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مستقیماً برای کل بانک</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هم‌خوان با آمار رسمی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و سطح نسبت مطالبات غیرجاری نمونه، سهم استانی تسهیلات</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هم‌جهت با بانک؛ نمایندگی سایر شاخص‌ها را اثبات نمی‌کند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توصیف نمونه</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مشتریان، فروش متقاطع، فعال‌بودن، ماندگاری و ریزش، تمرکز مشتری، پلکان مانده، تحلیل‌های سطح قرارداد</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(۷۷.۶ درصد پرتفوی در سطح قرارداد)</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درون نمونه؛ تعمیم به کل بانک به وزن‌دهی یا نمونه‌ی تکمیلی نیاز دارد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مشروط</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مالی، بازده دریافتی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 فرض‌های بخش ۸.۴</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22" w:id="22"/>
      <w:r>
        <w:rPr>
          <w:rFonts w:ascii="Tahoma" w:cs="Tahoma" w:eastAsia="Tahoma" w:hAnsi="Tahoma"/>
          <w:b/>
          <w:bCs/>
          <w:color w:val="1F4E79"/>
          <w:sz w:val="34"/>
          <w:szCs w:val="34"/>
          <w:rtl/>
        </w:rPr>
        <w:t xml:space="preserve">فصل ۳: مشتریان (جمعیت، رابطه و ماندگاری)</w:t>
      </w:r>
      <w:bookmarkEnd w:id="22"/>
    </w:p>
    <w:p>
      <w:pPr>
        <w:pStyle w:val="Heading2"/>
        <w:keepNext/>
        <w:bidi/>
        <w:spacing w:after="160" w:before="300"/>
        <w:jc w:val="left"/>
      </w:pPr>
      <w:bookmarkStart w:name="_Toc23" w:id="23"/>
      <w:r>
        <w:rPr>
          <w:rFonts w:ascii="Tahoma" w:cs="Tahoma" w:eastAsia="Tahoma" w:hAnsi="Tahoma"/>
          <w:b/>
          <w:bCs/>
          <w:color w:val="1F4E79"/>
          <w:sz w:val="28"/>
          <w:szCs w:val="28"/>
          <w:rtl/>
        </w:rPr>
        <w:t xml:space="preserve">۳.۱ هدف و دامنه‌ی فصل</w:t>
      </w:r>
      <w:bookmarkEnd w:id="23"/>
    </w:p>
    <w:p>
      <w:pPr>
        <w:bidi/>
        <w:spacing w:after="160" w:line="312"/>
        <w:jc w:val="left"/>
      </w:pPr>
      <w:r>
        <w:rPr>
          <w:rFonts w:ascii="Tahoma" w:cs="Tahoma" w:eastAsia="Tahoma" w:hAnsi="Tahoma"/>
          <w:sz w:val="21"/>
          <w:szCs w:val="21"/>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Tahoma" w:cs="Tahoma" w:eastAsia="Tahoma" w:hAnsi="Tahoma"/>
          <w:sz w:val="21"/>
          <w:szCs w:val="21"/>
          <w:rtl/>
        </w:rPr>
        <w:t xml:space="preserve">تحلیل‌های این فصل بخش‌بندی رفتاری و رابطه‌ای مشتریان‌اند. در صورتی که بانک جدول نگاشت شناسه‌ی مشتری به جدول مشخصات مشتری (</w:t>
      </w:r>
      <w:r>
        <w:rPr>
          <w:rFonts w:ascii="Consolas" w:cs="Consolas" w:eastAsia="Consolas" w:hAnsi="Consolas"/>
          <w:b w:val="false"/>
          <w:bCs w:val="false"/>
          <w:sz w:val="18"/>
          <w:szCs w:val="18"/>
          <w:rtl w:val="false"/>
        </w:rPr>
        <w:t xml:space="preserve">Customer_Profile</w:t>
      </w:r>
      <w:r>
        <w:rPr>
          <w:rFonts w:ascii="Tahoma" w:cs="Tahoma" w:eastAsia="Tahoma" w:hAnsi="Tahoma"/>
          <w:sz w:val="21"/>
          <w:szCs w:val="21"/>
          <w:rtl/>
        </w:rPr>
        <w:t xml:space="preserve">) را ارائه کند (جدول ۲-۴)، همین تحلیل‌ها با تفکیک مشتریان حقیقی و حقوقی و با ویژگی‌های سن، جنسیت، شغل و موقعیت جغرافیایی تکمیل خواهد شد.</w:t>
      </w:r>
    </w:p>
    <w:p>
      <w:pPr>
        <w:pBdr>
          <w:bottom w:val="single" w:color="BBBBBB" w:sz="6"/>
        </w:pBdr>
        <w:spacing w:after="100" w:before="100"/>
      </w:pPr>
    </w:p>
    <w:p>
      <w:pPr>
        <w:pStyle w:val="Heading2"/>
        <w:keepNext/>
        <w:bidi/>
        <w:spacing w:after="160" w:before="300"/>
        <w:jc w:val="left"/>
      </w:pPr>
      <w:bookmarkStart w:name="_Toc24" w:id="24"/>
      <w:r>
        <w:rPr>
          <w:rFonts w:ascii="Tahoma" w:cs="Tahoma" w:eastAsia="Tahoma" w:hAnsi="Tahoma"/>
          <w:b/>
          <w:bCs/>
          <w:color w:val="1F4E79"/>
          <w:sz w:val="28"/>
          <w:szCs w:val="28"/>
          <w:rtl/>
        </w:rPr>
        <w:t xml:space="preserve">۳.۲ جمعیت مشتریان</w:t>
      </w:r>
      <w:bookmarkEnd w:id="24"/>
    </w:p>
    <w:p>
      <w:pPr>
        <w:bidi/>
        <w:spacing w:after="160" w:line="312"/>
        <w:jc w:val="left"/>
      </w:pPr>
      <w:r>
        <w:rPr>
          <w:rFonts w:ascii="Tahoma" w:cs="Tahoma" w:eastAsia="Tahoma" w:hAnsi="Tahoma"/>
          <w:sz w:val="21"/>
          <w:szCs w:val="21"/>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Tahoma" w:cs="Tahoma" w:eastAsia="Tahoma" w:hAnsi="Tahoma"/>
          <w:b/>
          <w:bCs/>
          <w:sz w:val="21"/>
          <w:szCs w:val="21"/>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 (شامل ضامن‌ها و شرکای قراردادهای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شناسه‌های فهرست گیرندگان اصلی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5" w:id="25"/>
      <w:r>
        <w:rPr>
          <w:rFonts w:ascii="Tahoma" w:cs="Tahoma" w:eastAsia="Tahoma" w:hAnsi="Tahoma"/>
          <w:b/>
          <w:bCs/>
          <w:color w:val="1F4E79"/>
          <w:sz w:val="28"/>
          <w:szCs w:val="28"/>
          <w:rtl/>
        </w:rPr>
        <w:t xml:space="preserve">۳.۳ همپوشانی سپرده و تسهیلات</w:t>
      </w:r>
      <w:bookmarkEnd w:id="25"/>
    </w:p>
    <w:p>
      <w:pPr>
        <w:bidi/>
        <w:spacing w:after="160" w:line="312"/>
        <w:jc w:val="left"/>
      </w:pPr>
      <w:r>
        <w:rPr>
          <w:rFonts w:ascii="Tahoma" w:cs="Tahoma" w:eastAsia="Tahoma" w:hAnsi="Tahoma"/>
          <w:sz w:val="21"/>
          <w:szCs w:val="21"/>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۳-۱: ساختار رابطه‌ی مشتریان با حوزه‌های سپرده و تسهیلات</w:t>
      </w:r>
    </w:p>
    <w:p>
      <w:pPr>
        <w:keepNext/>
        <w:bidi/>
        <w:spacing w:after="100" w:before="200"/>
        <w:jc w:val="left"/>
      </w:pPr>
      <w:r>
        <w:rPr>
          <w:rFonts w:ascii="Tahoma" w:cs="Tahoma" w:eastAsia="Tahoma" w:hAnsi="Tahoma"/>
          <w:b/>
          <w:bCs/>
          <w:sz w:val="21"/>
          <w:szCs w:val="21"/>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۴۵۶,۸۳۵ از ۷۰۶,۵۰۹</w:t>
            </w:r>
          </w:p>
        </w:tc>
      </w:tr>
    </w:tbl>
    <w:p>
      <w:pPr>
        <w:spacing w:after="200"/>
      </w:pPr>
    </w:p>
    <w:p>
      <w:pPr>
        <w:bidi/>
        <w:spacing w:after="160" w:line="312"/>
        <w:jc w:val="left"/>
      </w:pPr>
      <w:r>
        <w:rPr>
          <w:rFonts w:ascii="Tahoma" w:cs="Tahoma" w:eastAsia="Tahoma" w:hAnsi="Tahoma"/>
          <w:sz w:val="21"/>
          <w:szCs w:val="21"/>
          <w:rtl/>
        </w:rPr>
        <w:t xml:space="preserve">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Tahoma" w:cs="Tahoma" w:eastAsia="Tahoma" w:hAnsi="Tahoma"/>
          <w:sz w:val="21"/>
          <w:szCs w:val="21"/>
          <w:rtl/>
        </w:rPr>
        <w:t xml:space="preserve">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pPr>
        <w:pStyle w:val="Heading3"/>
        <w:keepNext/>
        <w:bidi/>
        <w:spacing w:after="160" w:before="300"/>
        <w:jc w:val="left"/>
      </w:pPr>
      <w:r>
        <w:rPr>
          <w:rFonts w:ascii="Tahoma" w:cs="Tahoma" w:eastAsia="Tahoma" w:hAnsi="Tahoma"/>
          <w:b/>
          <w:bCs/>
          <w:color w:val="1F4E79"/>
          <w:sz w:val="24"/>
          <w:szCs w:val="24"/>
          <w:rtl/>
        </w:rPr>
        <w:t xml:space="preserve">۳.۳.۱ ظرفیت فروش متقاطع بر حسب اندازه‌ی مانده</w:t>
      </w:r>
    </w:p>
    <w:p>
      <w:pPr>
        <w:bidi/>
        <w:spacing w:after="160" w:line="312"/>
        <w:jc w:val="left"/>
      </w:pPr>
      <w:r>
        <w:rPr>
          <w:rFonts w:ascii="Tahoma" w:cs="Tahoma" w:eastAsia="Tahoma" w:hAnsi="Tahoma"/>
          <w:sz w:val="21"/>
          <w:szCs w:val="21"/>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۳-۲: توزیع تعداد و مانده‌ی سپرده‌گذاران فاقد تسهیلات بر حسب طبقه‌ی مانده</w:t>
      </w:r>
    </w:p>
    <w:p>
      <w:pPr>
        <w:keepNext/>
        <w:bidi/>
        <w:spacing w:after="100" w:before="200"/>
        <w:jc w:val="left"/>
      </w:pPr>
      <w:r>
        <w:rPr>
          <w:rFonts w:ascii="Tahoma" w:cs="Tahoma" w:eastAsia="Tahoma" w:hAnsi="Tahoma"/>
          <w:b/>
          <w:bCs/>
          <w:sz w:val="21"/>
          <w:szCs w:val="21"/>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مانده‌ی سپرده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گیرنده‌ی اصلی تسهیلات نیستند (۱,۹۴۶ نفر از آنان ضامن یا شریک قرارداد هستند).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6" w:id="26"/>
      <w:r>
        <w:rPr>
          <w:rFonts w:ascii="Tahoma" w:cs="Tahoma" w:eastAsia="Tahoma" w:hAnsi="Tahoma"/>
          <w:b/>
          <w:bCs/>
          <w:color w:val="1F4E79"/>
          <w:sz w:val="28"/>
          <w:szCs w:val="28"/>
          <w:rtl/>
        </w:rPr>
        <w:t xml:space="preserve">۳.۴ فعال‌بودن مشتریان</w:t>
      </w:r>
      <w:bookmarkEnd w:id="26"/>
    </w:p>
    <w:p>
      <w:pPr>
        <w:pStyle w:val="Heading3"/>
        <w:keepNext/>
        <w:bidi/>
        <w:spacing w:after="160" w:before="300"/>
        <w:jc w:val="left"/>
      </w:pPr>
      <w:r>
        <w:rPr>
          <w:rFonts w:ascii="Tahoma" w:cs="Tahoma" w:eastAsia="Tahoma" w:hAnsi="Tahoma"/>
          <w:b/>
          <w:bCs/>
          <w:color w:val="1F4E79"/>
          <w:sz w:val="24"/>
          <w:szCs w:val="24"/>
          <w:rtl/>
        </w:rPr>
        <w:t xml:space="preserve">۳.۴.۱ سپرده‌گذاران</w:t>
      </w:r>
    </w:p>
    <w:p>
      <w:pPr>
        <w:bidi/>
        <w:spacing w:after="160" w:line="312"/>
        <w:jc w:val="left"/>
      </w:pPr>
      <w:r>
        <w:rPr>
          <w:rFonts w:ascii="Tahoma" w:cs="Tahoma" w:eastAsia="Tahoma" w:hAnsi="Tahoma"/>
          <w:sz w:val="21"/>
          <w:szCs w:val="21"/>
          <w:rtl/>
        </w:rPr>
        <w:t xml:space="preserve">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۳-۳: سهم سپرده‌گذاران نمونه که معیارهای فعال‌بودن را در ۱۲/۱۴۰۴ احراز می‌کنند</w:t>
      </w:r>
    </w:p>
    <w:p>
      <w:pPr>
        <w:bidi/>
        <w:spacing w:after="160" w:line="312"/>
        <w:jc w:val="left"/>
      </w:pPr>
      <w:r>
        <w:rPr>
          <w:rFonts w:ascii="Tahoma" w:cs="Tahoma" w:eastAsia="Tahoma" w:hAnsi="Tahoma"/>
          <w:sz w:val="21"/>
          <w:szCs w:val="21"/>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pPr>
        <w:pStyle w:val="Heading3"/>
        <w:keepNext/>
        <w:bidi/>
        <w:spacing w:after="160" w:before="300"/>
        <w:jc w:val="left"/>
      </w:pPr>
      <w:r>
        <w:rPr>
          <w:rFonts w:ascii="Tahoma" w:cs="Tahoma" w:eastAsia="Tahoma" w:hAnsi="Tahoma"/>
          <w:b/>
          <w:bCs/>
          <w:color w:val="1F4E79"/>
          <w:sz w:val="24"/>
          <w:szCs w:val="24"/>
          <w:rtl/>
        </w:rPr>
        <w:t xml:space="preserve">۳.۴.۲ تسهیلات‌گیرندگان</w:t>
      </w:r>
    </w:p>
    <w:p>
      <w:pPr>
        <w:bidi/>
        <w:spacing w:after="160" w:line="312"/>
        <w:jc w:val="left"/>
      </w:pPr>
      <w:r>
        <w:rPr>
          <w:rFonts w:ascii="Tahoma" w:cs="Tahoma" w:eastAsia="Tahoma" w:hAnsi="Tahoma"/>
          <w:sz w:val="21"/>
          <w:szCs w:val="21"/>
          <w:rtl/>
        </w:rPr>
        <w:t xml:space="preserve">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pPr>
        <w:pBdr>
          <w:bottom w:val="single" w:color="BBBBBB" w:sz="6"/>
        </w:pBdr>
        <w:spacing w:after="100" w:before="100"/>
      </w:pPr>
    </w:p>
    <w:p>
      <w:pPr>
        <w:pStyle w:val="Heading2"/>
        <w:keepNext/>
        <w:bidi/>
        <w:spacing w:after="160" w:before="300"/>
        <w:jc w:val="left"/>
      </w:pPr>
      <w:bookmarkStart w:name="_Toc27" w:id="27"/>
      <w:r>
        <w:rPr>
          <w:rFonts w:ascii="Tahoma" w:cs="Tahoma" w:eastAsia="Tahoma" w:hAnsi="Tahoma"/>
          <w:b/>
          <w:bCs/>
          <w:color w:val="1F4E79"/>
          <w:sz w:val="28"/>
          <w:szCs w:val="28"/>
          <w:rtl/>
        </w:rPr>
        <w:t xml:space="preserve">۳.۵ ماندگاری کوهورت‌های افتتاح حساب</w:t>
      </w:r>
      <w:bookmarkEnd w:id="27"/>
    </w:p>
    <w:p>
      <w:pPr>
        <w:pStyle w:val="Heading3"/>
        <w:keepNext/>
        <w:bidi/>
        <w:spacing w:after="160" w:before="300"/>
        <w:jc w:val="left"/>
      </w:pPr>
      <w:r>
        <w:rPr>
          <w:rFonts w:ascii="Tahoma" w:cs="Tahoma" w:eastAsia="Tahoma" w:hAnsi="Tahoma"/>
          <w:b/>
          <w:bCs/>
          <w:color w:val="1F4E79"/>
          <w:sz w:val="24"/>
          <w:szCs w:val="24"/>
          <w:rtl/>
        </w:rPr>
        <w:t xml:space="preserve">۳.۵.۱ روش</w:t>
      </w:r>
    </w:p>
    <w:p>
      <w:pPr>
        <w:bidi/>
        <w:spacing w:after="160" w:line="312"/>
        <w:jc w:val="left"/>
      </w:pPr>
      <w:r>
        <w:rPr>
          <w:rFonts w:ascii="Tahoma" w:cs="Tahoma" w:eastAsia="Tahoma" w:hAnsi="Tahoma"/>
          <w:sz w:val="21"/>
          <w:szCs w:val="21"/>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spacing w:after="160" w:before="120"/>
        <w:jc w:val="center"/>
      </w:pPr>
      <m:oMath>
        <m:r>
          <m:t>نرخ ماندگاری کوهورت c</m:t>
        </m:r>
        <m:r>
          <m:t>=</m:t>
        </m:r>
        <m:f>
          <m:num>
            <m:r>
              <m:t>تعداد مشتریان فعال کوهورت c در ۱۲/۱۴۰۴</m:t>
            </m:r>
          </m:num>
          <m:den>
            <m:r>
              <m:t>تعداد کل مشتریان کوهورت c</m:t>
            </m:r>
          </m:den>
        </m:f>
        <m:r>
          <m:t>×</m:t>
        </m:r>
        <m:r>
          <m:t>۱۰۰</m:t>
        </m:r>
      </m:oMath>
    </w:p>
    <w:p>
      <w:pPr>
        <w:bidi/>
        <w:spacing w:after="160" w:line="312"/>
        <w:jc w:val="left"/>
      </w:pPr>
      <w:r>
        <w:rPr>
          <w:rFonts w:ascii="Tahoma" w:cs="Tahoma" w:eastAsia="Tahoma" w:hAnsi="Tahoma"/>
          <w:sz w:val="21"/>
          <w:szCs w:val="21"/>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Tahoma" w:cs="Tahoma" w:eastAsia="Tahoma" w:hAnsi="Tahoma"/>
          <w:sz w:val="21"/>
          <w:szCs w:val="21"/>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از ۳۰,۲۷۴ نفر این کوهورت، ۳۰,۲۶۳ نفر طرف قراردادهای تسهیلات‌اند و معیار قدمت برای آنان اعمال نشده است.</w:t>
      </w:r>
    </w:p>
    <w:p>
      <w:pPr>
        <w:keepNext/>
        <w:spacing w:after="60" w:before="160"/>
        <w:jc w:val="center"/>
      </w:pPr>
      <w:r>
        <w:drawing>
          <wp:inline distT="0" distB="0" distL="0" distR="0">
            <wp:extent cx="5715000" cy="2152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۳-۴: اندازه و نرخ ماندگاری کوهورت‌های افتتاح حساب سپرده تا ۱۲/۱۴۰۴</w:t>
      </w:r>
    </w:p>
    <w:p>
      <w:pPr>
        <w:keepNext/>
        <w:bidi/>
        <w:spacing w:after="100" w:before="200"/>
        <w:jc w:val="left"/>
      </w:pPr>
      <w:r>
        <w:rPr>
          <w:rFonts w:ascii="Tahoma" w:cs="Tahoma" w:eastAsia="Tahoma" w:hAnsi="Tahoma"/>
          <w:b/>
          <w:bCs/>
          <w:sz w:val="21"/>
          <w:szCs w:val="21"/>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۳.۵.۲ تحلیل</w:t>
      </w:r>
    </w:p>
    <w:p>
      <w:pPr>
        <w:bidi/>
        <w:spacing w:after="160" w:line="312"/>
        <w:jc w:val="left"/>
      </w:pPr>
      <w:r>
        <w:rPr>
          <w:rFonts w:ascii="Tahoma" w:cs="Tahoma" w:eastAsia="Tahoma" w:hAnsi="Tahoma"/>
          <w:sz w:val="21"/>
          <w:szCs w:val="21"/>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pPr>
        <w:bidi/>
        <w:spacing w:after="160" w:line="312"/>
        <w:jc w:val="left"/>
      </w:pPr>
      <w:r>
        <w:rPr>
          <w:rFonts w:ascii="Tahoma" w:cs="Tahoma" w:eastAsia="Tahoma" w:hAnsi="Tahoma"/>
          <w:sz w:val="21"/>
          <w:szCs w:val="21"/>
          <w:rtl/>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برآورد ماندگاری کل بانک به نمونه‌ای از مشتریان غیرفعال و ریزش‌کرده نیاز دارد (جدول ۲-۴، ردیف ۴) و در فاز ۴ انجام می‌شود.</w:t>
      </w:r>
    </w:p>
    <w:p>
      <w:pPr>
        <w:pBdr>
          <w:bottom w:val="single" w:color="BBBBBB" w:sz="6"/>
        </w:pBdr>
        <w:spacing w:after="100" w:before="100"/>
      </w:pPr>
    </w:p>
    <w:p>
      <w:pPr>
        <w:pStyle w:val="Heading2"/>
        <w:keepNext/>
        <w:bidi/>
        <w:spacing w:after="160" w:before="300"/>
        <w:jc w:val="left"/>
      </w:pPr>
      <w:bookmarkStart w:name="_Toc28" w:id="28"/>
      <w:r>
        <w:rPr>
          <w:rFonts w:ascii="Tahoma" w:cs="Tahoma" w:eastAsia="Tahoma" w:hAnsi="Tahoma"/>
          <w:b/>
          <w:bCs/>
          <w:color w:val="1F4E79"/>
          <w:sz w:val="28"/>
          <w:szCs w:val="28"/>
          <w:rtl/>
        </w:rPr>
        <w:t xml:space="preserve">۳.۶ نرخ ریزش سالانه</w:t>
      </w:r>
      <w:bookmarkEnd w:id="28"/>
    </w:p>
    <w:p>
      <w:pPr>
        <w:pStyle w:val="Heading3"/>
        <w:keepNext/>
        <w:bidi/>
        <w:spacing w:after="160" w:before="300"/>
        <w:jc w:val="left"/>
      </w:pPr>
      <w:r>
        <w:rPr>
          <w:rFonts w:ascii="Tahoma" w:cs="Tahoma" w:eastAsia="Tahoma" w:hAnsi="Tahoma"/>
          <w:b/>
          <w:bCs/>
          <w:color w:val="1F4E79"/>
          <w:sz w:val="24"/>
          <w:szCs w:val="24"/>
          <w:rtl/>
        </w:rPr>
        <w:t xml:space="preserve">۳.۶.۱ روش</w:t>
      </w:r>
    </w:p>
    <w:p>
      <w:pPr>
        <w:bidi/>
        <w:spacing w:after="160" w:line="312"/>
        <w:jc w:val="left"/>
      </w:pPr>
      <w:r>
        <w:rPr>
          <w:rFonts w:ascii="Tahoma" w:cs="Tahoma" w:eastAsia="Tahoma" w:hAnsi="Tahoma"/>
          <w:sz w:val="21"/>
          <w:szCs w:val="21"/>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spacing w:after="160" w:before="120"/>
        <w:jc w:val="center"/>
      </w:pPr>
      <m:oMath>
        <m:r>
          <m:t>نرخ ریزش</m:t>
        </m:r>
        <m:r>
          <m:t>=</m:t>
        </m:r>
        <m:f>
          <m:num>
            <m:r>
              <m:t>تعداد مشتریان ریزش‌کرده در سال بعد</m:t>
            </m:r>
          </m:num>
          <m:den>
            <m:r>
              <m:t>تعداد مشتریان فعال ابتدای دوره</m:t>
            </m:r>
          </m:den>
        </m:f>
        <m:r>
          <m:t>×</m:t>
        </m:r>
        <m:r>
          <m:t>۱۰۰</m:t>
        </m:r>
      </m:oMath>
    </w:p>
    <w:p>
      <w:pPr>
        <w:bidi/>
        <w:spacing w:after="160" w:line="312"/>
        <w:jc w:val="left"/>
      </w:pPr>
      <w:r>
        <w:rPr>
          <w:rFonts w:ascii="Tahoma" w:cs="Tahoma" w:eastAsia="Tahoma" w:hAnsi="Tahoma"/>
          <w:sz w:val="21"/>
          <w:szCs w:val="21"/>
          <w:rtl/>
        </w:rPr>
        <w:t xml:space="preserve">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۳-۵: نرخ ریزش سالانه‌ی سپرده‌گذاران و سهم مانده‌ی ازدست‌رفته</w:t>
      </w:r>
    </w:p>
    <w:p>
      <w:pPr>
        <w:keepNext/>
        <w:bidi/>
        <w:spacing w:after="100" w:before="200"/>
        <w:jc w:val="left"/>
      </w:pPr>
      <w:r>
        <w:rPr>
          <w:rFonts w:ascii="Tahoma" w:cs="Tahoma" w:eastAsia="Tahoma" w:hAnsi="Tahoma"/>
          <w:b/>
          <w:bCs/>
          <w:sz w:val="21"/>
          <w:szCs w:val="21"/>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۰.۲۸٪</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۰.۳۰٪</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۳.۶.۲ تحلیل</w:t>
      </w:r>
    </w:p>
    <w:p>
      <w:pPr>
        <w:bidi/>
        <w:spacing w:after="160" w:line="312"/>
        <w:jc w:val="left"/>
      </w:pPr>
      <w:r>
        <w:rPr>
          <w:rFonts w:ascii="Tahoma" w:cs="Tahoma" w:eastAsia="Tahoma" w:hAnsi="Tahoma"/>
          <w:sz w:val="21"/>
          <w:szCs w:val="21"/>
          <w:rtl/>
        </w:rPr>
        <w:t xml:space="preserve">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pPr>
        <w:bidi/>
        <w:spacing w:after="160" w:line="312"/>
        <w:jc w:val="left"/>
      </w:pPr>
      <w:r>
        <w:rPr>
          <w:rFonts w:ascii="Tahoma" w:cs="Tahoma" w:eastAsia="Tahoma" w:hAnsi="Tahoma"/>
          <w:sz w:val="21"/>
          <w:szCs w:val="21"/>
          <w:rtl/>
        </w:rPr>
        <w:t xml:space="preserve">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pPr>
        <w:bidi/>
        <w:spacing w:after="160" w:line="312"/>
        <w:jc w:val="left"/>
      </w:pPr>
      <w:r>
        <w:rPr>
          <w:rFonts w:ascii="Tahoma" w:cs="Tahoma" w:eastAsia="Tahoma" w:hAnsi="Tahoma"/>
          <w:sz w:val="21"/>
          <w:szCs w:val="21"/>
          <w:rtl/>
        </w:rPr>
        <w:t xml:space="preserve">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pPr>
        <w:pBdr>
          <w:bottom w:val="single" w:color="BBBBBB" w:sz="6"/>
        </w:pBdr>
        <w:spacing w:after="100" w:before="100"/>
      </w:pPr>
    </w:p>
    <w:p>
      <w:pPr>
        <w:pStyle w:val="Heading2"/>
        <w:keepNext/>
        <w:bidi/>
        <w:spacing w:after="160" w:before="300"/>
        <w:jc w:val="left"/>
      </w:pPr>
      <w:bookmarkStart w:name="_Toc29" w:id="29"/>
      <w:r>
        <w:rPr>
          <w:rFonts w:ascii="Tahoma" w:cs="Tahoma" w:eastAsia="Tahoma" w:hAnsi="Tahoma"/>
          <w:b/>
          <w:bCs/>
          <w:color w:val="1F4E79"/>
          <w:sz w:val="28"/>
          <w:szCs w:val="28"/>
          <w:rtl/>
        </w:rPr>
        <w:t xml:space="preserve">۳.۷ جمع‌بندی فصل</w:t>
      </w:r>
      <w:bookmarkEnd w:id="29"/>
    </w:p>
    <w:p>
      <w:pPr>
        <w:bidi/>
        <w:spacing w:after="160" w:line="312"/>
        <w:jc w:val="left"/>
      </w:pPr>
      <w:r>
        <w:rPr>
          <w:rFonts w:ascii="Tahoma" w:cs="Tahoma" w:eastAsia="Tahoma" w:hAnsi="Tahoma"/>
          <w:sz w:val="21"/>
          <w:szCs w:val="21"/>
          <w:rtl/>
        </w:rPr>
        <w:t xml:space="preserve">نتایج این فصل درباره‌ی رابطه‌ی مشتریان با بانک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نمونه‌ی تحلیلی شامل </w:t>
      </w:r>
      <w:r>
        <w:rPr>
          <w:rFonts w:ascii="Tahoma" w:cs="Tahoma" w:eastAsia="Tahoma" w:hAnsi="Tahoma"/>
          <w:b/>
          <w:bCs/>
          <w:sz w:val="21"/>
          <w:szCs w:val="21"/>
          <w:rtl/>
        </w:rPr>
        <w:t xml:space="preserve">۷۰۶,۵۴۳ مشتری</w:t>
      </w:r>
      <w:r>
        <w:rPr>
          <w:rFonts w:ascii="Tahoma" w:cs="Tahoma" w:eastAsia="Tahoma" w:hAnsi="Tahoma"/>
          <w:sz w:val="21"/>
          <w:szCs w:val="21"/>
          <w:rtl/>
        </w:rPr>
        <w:t xml:space="preserve"> است که ۷۰۶,۵۰۹ نفر آنان سپرده‌گذار و ۲۴۹,۷۰۸ نفر گیرنده‌ی اصلی تسهیلات‌اند. سپرده دروازه‌ی ورود مشتریان به بانک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۳۵.۳ درصد سپرده‌گذاران</w:t>
      </w:r>
      <w:r>
        <w:rPr>
          <w:rFonts w:ascii="Tahoma" w:cs="Tahoma" w:eastAsia="Tahoma" w:hAnsi="Tahoma"/>
          <w:sz w:val="21"/>
          <w:szCs w:val="21"/>
          <w:rtl/>
        </w:rPr>
        <w:t xml:space="preserve"> تسهیلات نیز دریافت کرده‌اند و </w:t>
      </w:r>
      <w:r>
        <w:rPr>
          <w:rFonts w:ascii="Tahoma" w:cs="Tahoma" w:eastAsia="Tahoma" w:hAnsi="Tahoma"/>
          <w:b/>
          <w:bCs/>
          <w:sz w:val="21"/>
          <w:szCs w:val="21"/>
          <w:rtl/>
        </w:rPr>
        <w:t xml:space="preserve">۶۴.۷ درصد (۴۵۶,۸۳۵ نفر)</w:t>
      </w:r>
      <w:r>
        <w:rPr>
          <w:rFonts w:ascii="Tahoma" w:cs="Tahoma" w:eastAsia="Tahoma" w:hAnsi="Tahoma"/>
          <w:sz w:val="21"/>
          <w:szCs w:val="21"/>
          <w:rtl/>
        </w:rPr>
        <w:t xml:space="preserve"> صرفاً سپرده‌گذارند؛ این گروه بازار هدف اصلی فروش متقاطع در نمونه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 میان سپرده‌گذاران فاقد تسهیلات، </w:t>
      </w:r>
      <w:r>
        <w:rPr>
          <w:rFonts w:ascii="Tahoma" w:cs="Tahoma" w:eastAsia="Tahoma" w:hAnsi="Tahoma"/>
          <w:b/>
          <w:bCs/>
          <w:sz w:val="21"/>
          <w:szCs w:val="21"/>
          <w:rtl/>
        </w:rPr>
        <w:t xml:space="preserve">۱۰۱,۱۹۶ مشتری</w:t>
      </w:r>
      <w:r>
        <w:rPr>
          <w:rFonts w:ascii="Tahoma" w:cs="Tahoma" w:eastAsia="Tahoma" w:hAnsi="Tahoma"/>
          <w:sz w:val="21"/>
          <w:szCs w:val="21"/>
          <w:rtl/>
        </w:rPr>
        <w:t xml:space="preserve"> با مانده‌ی بیش از ۱۰ میلیون تومان هدف قابل‌اقدام‌اند و </w:t>
      </w:r>
      <w:r>
        <w:rPr>
          <w:rFonts w:ascii="Tahoma" w:cs="Tahoma" w:eastAsia="Tahoma" w:hAnsi="Tahoma"/>
          <w:b/>
          <w:bCs/>
          <w:sz w:val="21"/>
          <w:szCs w:val="21"/>
          <w:rtl/>
        </w:rPr>
        <w:t xml:space="preserve">۴,۳۳۴ سپرده‌گذار بزرگ</w:t>
      </w:r>
      <w:r>
        <w:rPr>
          <w:rFonts w:ascii="Tahoma" w:cs="Tahoma" w:eastAsia="Tahoma" w:hAnsi="Tahoma"/>
          <w:sz w:val="21"/>
          <w:szCs w:val="21"/>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۹۰.۳ درصد</w:t>
      </w:r>
      <w:r>
        <w:rPr>
          <w:rFonts w:ascii="Tahoma" w:cs="Tahoma" w:eastAsia="Tahoma" w:hAnsi="Tahoma"/>
          <w:sz w:val="21"/>
          <w:szCs w:val="21"/>
          <w:rtl/>
        </w:rPr>
        <w:t xml:space="preserve"> سپرده‌گذاران نمونه هر چهار معیار فعال‌بودن را احراز می‌کنند و </w:t>
      </w:r>
      <w:r>
        <w:rPr>
          <w:rFonts w:ascii="Tahoma" w:cs="Tahoma" w:eastAsia="Tahoma" w:hAnsi="Tahoma"/>
          <w:b/>
          <w:bCs/>
          <w:sz w:val="21"/>
          <w:szCs w:val="21"/>
          <w:rtl/>
        </w:rPr>
        <w:t xml:space="preserve">۹۳.۳ درصد</w:t>
      </w:r>
      <w:r>
        <w:rPr>
          <w:rFonts w:ascii="Tahoma" w:cs="Tahoma" w:eastAsia="Tahoma" w:hAnsi="Tahoma"/>
          <w:sz w:val="21"/>
          <w:szCs w:val="21"/>
          <w:rtl/>
        </w:rPr>
        <w:t xml:space="preserve"> گیرندگان اصلی در ۱۴۰۴ مانده‌ی تسهیلات داشته‌اند.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ماندگاری کوهورت‌ها درون نمونه </w:t>
      </w:r>
      <w:r>
        <w:rPr>
          <w:rFonts w:ascii="Tahoma" w:cs="Tahoma" w:eastAsia="Tahoma" w:hAnsi="Tahoma"/>
          <w:b/>
          <w:bCs/>
          <w:sz w:val="21"/>
          <w:szCs w:val="21"/>
          <w:rtl/>
        </w:rPr>
        <w:t xml:space="preserve">۸۹.۰ تا ۹۵.۵ درصد</w:t>
      </w:r>
      <w:r>
        <w:rPr>
          <w:rFonts w:ascii="Tahoma" w:cs="Tahoma" w:eastAsia="Tahoma" w:hAnsi="Tahoma"/>
          <w:sz w:val="21"/>
          <w:szCs w:val="21"/>
          <w:rtl/>
        </w:rPr>
        <w:t xml:space="preserve"> است و فرسایش رابطه با عمر کوهورت ملایم (حدود ۶ واحد درصد میان کوهورت‌های قدیمی و جدید) است؛ این رقم نرخ ماندگاری کل بانک نیست.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نرخ ریزش کامل سالانه درون نمونه </w:t>
      </w:r>
      <w:r>
        <w:rPr>
          <w:rFonts w:ascii="Tahoma" w:cs="Tahoma" w:eastAsia="Tahoma" w:hAnsi="Tahoma"/>
          <w:b/>
          <w:bCs/>
          <w:sz w:val="21"/>
          <w:szCs w:val="21"/>
          <w:rtl/>
        </w:rPr>
        <w:t xml:space="preserve">حداکثر ۰.۵۵ درصد</w:t>
      </w:r>
      <w:r>
        <w:rPr>
          <w:rFonts w:ascii="Tahoma" w:cs="Tahoma" w:eastAsia="Tahoma" w:hAnsi="Tahoma"/>
          <w:sz w:val="21"/>
          <w:szCs w:val="21"/>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30" w:id="30"/>
      <w:r>
        <w:rPr>
          <w:rFonts w:ascii="Tahoma" w:cs="Tahoma" w:eastAsia="Tahoma" w:hAnsi="Tahoma"/>
          <w:b/>
          <w:bCs/>
          <w:color w:val="1F4E79"/>
          <w:sz w:val="34"/>
          <w:szCs w:val="34"/>
          <w:rtl/>
        </w:rPr>
        <w:t xml:space="preserve">فصل ۴: بازار سپرده</w:t>
      </w:r>
      <w:bookmarkEnd w:id="30"/>
    </w:p>
    <w:p>
      <w:pPr>
        <w:pStyle w:val="Heading2"/>
        <w:keepNext/>
        <w:bidi/>
        <w:spacing w:after="160" w:before="300"/>
        <w:jc w:val="left"/>
      </w:pPr>
      <w:bookmarkStart w:name="_Toc31" w:id="31"/>
      <w:r>
        <w:rPr>
          <w:rFonts w:ascii="Tahoma" w:cs="Tahoma" w:eastAsia="Tahoma" w:hAnsi="Tahoma"/>
          <w:b/>
          <w:bCs/>
          <w:color w:val="1F4E79"/>
          <w:sz w:val="28"/>
          <w:szCs w:val="28"/>
          <w:rtl/>
        </w:rPr>
        <w:t xml:space="preserve">۴.۱ هدف و مبنای فصل</w:t>
      </w:r>
      <w:bookmarkEnd w:id="31"/>
    </w:p>
    <w:p>
      <w:pPr>
        <w:bidi/>
        <w:spacing w:after="160" w:line="312"/>
        <w:jc w:val="left"/>
      </w:pPr>
      <w:r>
        <w:rPr>
          <w:rFonts w:ascii="Tahoma" w:cs="Tahoma" w:eastAsia="Tahoma" w:hAnsi="Tahoma"/>
          <w:sz w:val="21"/>
          <w:szCs w:val="21"/>
          <w:rtl/>
        </w:rPr>
        <w:t xml:space="preserve">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pPr>
        <w:bidi/>
        <w:spacing w:after="160" w:line="312"/>
        <w:jc w:val="left"/>
      </w:pPr>
      <w:r>
        <w:rPr>
          <w:rFonts w:ascii="Tahoma" w:cs="Tahoma" w:eastAsia="Tahoma" w:hAnsi="Tahoma"/>
          <w:sz w:val="21"/>
          <w:szCs w:val="21"/>
          <w:rtl/>
        </w:rPr>
        <w:t xml:space="preserve">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(بخش ۲.۴.۴). ارقام مطلق نمونه با رقم رسمی مقایسه شده‌اند؛ سطح و روند منابع بر پایه‌ی آمار رسمی، و ساختار مشتریان (پلکان مانده و تمرکز) توصیف نمونه است (جدول ۲-۶).</w:t>
      </w:r>
    </w:p>
    <w:p>
      <w:pPr>
        <w:pStyle w:val="Heading2"/>
        <w:keepNext/>
        <w:bidi/>
        <w:spacing w:after="160" w:before="300"/>
        <w:jc w:val="left"/>
      </w:pPr>
      <w:bookmarkStart w:name="_Toc32" w:id="32"/>
      <w:r>
        <w:rPr>
          <w:rFonts w:ascii="Tahoma" w:cs="Tahoma" w:eastAsia="Tahoma" w:hAnsi="Tahoma"/>
          <w:b/>
          <w:bCs/>
          <w:color w:val="1F4E79"/>
          <w:sz w:val="28"/>
          <w:szCs w:val="28"/>
          <w:rtl/>
        </w:rPr>
        <w:t xml:space="preserve">۴.۲ روند مانده و رشد منابع</w:t>
      </w:r>
      <w:bookmarkEnd w:id="32"/>
    </w:p>
    <w:p>
      <w:pPr>
        <w:pStyle w:val="Heading3"/>
        <w:keepNext/>
        <w:bidi/>
        <w:spacing w:after="160" w:before="300"/>
        <w:jc w:val="left"/>
      </w:pPr>
      <w:r>
        <w:rPr>
          <w:rFonts w:ascii="Tahoma" w:cs="Tahoma" w:eastAsia="Tahoma" w:hAnsi="Tahoma"/>
          <w:b/>
          <w:bCs/>
          <w:color w:val="1F4E79"/>
          <w:sz w:val="24"/>
          <w:szCs w:val="24"/>
          <w:rtl/>
        </w:rPr>
        <w:t xml:space="preserve">۴.۲.۱ تصویر کلان</w:t>
      </w:r>
    </w:p>
    <w:p>
      <w:pPr>
        <w:bidi/>
        <w:spacing w:after="160" w:line="312"/>
        <w:jc w:val="left"/>
      </w:pPr>
      <w:r>
        <w:rPr>
          <w:rFonts w:ascii="Tahoma" w:cs="Tahoma" w:eastAsia="Tahoma" w:hAnsi="Tahoma"/>
          <w:sz w:val="21"/>
          <w:szCs w:val="21"/>
          <w:rtl/>
        </w:rPr>
        <w:t xml:space="preserve">نمودار ۴-۱ روند مانده‌ی سپرده‌ی نمونه و منابع ریالی رسمی بانک را و جدول ۴-۱ مقاطع کلیدی نمونه را نشان می‌دهد.</w:t>
      </w:r>
    </w:p>
    <w:p>
      <w:pPr>
        <w:keepNext/>
        <w:spacing w:after="60" w:before="160"/>
        <w:jc w:val="center"/>
      </w:pPr>
      <w:r>
        <w:drawing>
          <wp:inline distT="0" distB="0" distL="0" distR="0">
            <wp:extent cx="571500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۴-۱: روند مانده‌ی سپرده‌ی نمونه و منابع ریالی رسمی بانک، ۰۱/۱۴۰۰ تا ۱۲/۱۴۰۴</w:t>
      </w:r>
    </w:p>
    <w:p>
      <w:pPr>
        <w:keepNext/>
        <w:bidi/>
        <w:spacing w:after="100" w:before="200"/>
        <w:jc w:val="left"/>
      </w:pPr>
      <w:r>
        <w:rPr>
          <w:rFonts w:ascii="Tahoma" w:cs="Tahoma" w:eastAsia="Tahoma" w:hAnsi="Tahoma"/>
          <w:b/>
          <w:bCs/>
          <w:sz w:val="21"/>
          <w:szCs w:val="21"/>
          <w:rtl/>
        </w:rPr>
        <w:t xml:space="preserve">جدول ۴-۱: مقاطع کلیدی روند سپرده‌ی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94"/>
        <w:gridCol w:w="2554"/>
        <w:gridCol w:w="1769"/>
        <w:gridCol w:w="2433"/>
      </w:tblGrid>
      <w:tr>
        <w:trPr>
          <w:cantSplit/>
          <w:tblHeader/>
        </w:trPr>
        <w:tc>
          <w:tcPr>
            <w:tcW w:type="dxa" w:w="25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24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هر حساب</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۰۱/۱۳۹۹</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۱,۰۸۱,۷۸۱</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 میلیون تومان</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(آغاز بازه‌ی تحلیل)</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 میلیون تومان</w:t>
            </w:r>
          </w:p>
        </w:tc>
      </w:tr>
    </w:tbl>
    <w:p>
      <w:pPr>
        <w:spacing w:after="200"/>
      </w:pPr>
    </w:p>
    <w:p>
      <w:pPr>
        <w:bidi/>
        <w:spacing w:after="160" w:line="312"/>
        <w:jc w:val="left"/>
      </w:pPr>
      <w:r>
        <w:rPr>
          <w:rFonts w:ascii="Tahoma" w:cs="Tahoma" w:eastAsia="Tahoma" w:hAnsi="Tahoma"/>
          <w:sz w:val="21"/>
          <w:szCs w:val="21"/>
          <w:rtl/>
        </w:rPr>
        <w:t xml:space="preserve">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pPr>
        <w:pStyle w:val="Heading3"/>
        <w:keepNext/>
        <w:bidi/>
        <w:spacing w:after="160" w:before="300"/>
        <w:jc w:val="left"/>
      </w:pPr>
      <w:r>
        <w:rPr>
          <w:rFonts w:ascii="Tahoma" w:cs="Tahoma" w:eastAsia="Tahoma" w:hAnsi="Tahoma"/>
          <w:b/>
          <w:bCs/>
          <w:color w:val="1F4E79"/>
          <w:sz w:val="24"/>
          <w:szCs w:val="24"/>
          <w:rtl/>
        </w:rPr>
        <w:t xml:space="preserve">۴.۲.۲ رشد سالانه</w:t>
      </w:r>
    </w:p>
    <w:p>
      <w:pPr>
        <w:keepNext/>
        <w:bidi/>
        <w:spacing w:after="100" w:before="200"/>
        <w:jc w:val="left"/>
      </w:pPr>
      <w:r>
        <w:rPr>
          <w:rFonts w:ascii="Tahoma" w:cs="Tahoma" w:eastAsia="Tahoma" w:hAnsi="Tahoma"/>
          <w:b/>
          <w:bCs/>
          <w:sz w:val="21"/>
          <w:szCs w:val="21"/>
          <w:rtl/>
        </w:rPr>
        <w:t xml:space="preserve">جدول ۴-۲: رشد سالانه‌ی مانده‌ی سپرده در نمونه و منابع ریالی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5"/>
        <w:gridCol w:w="2278"/>
        <w:gridCol w:w="1763"/>
        <w:gridCol w:w="2278"/>
        <w:gridCol w:w="1726"/>
      </w:tblGrid>
      <w:tr>
        <w:trPr>
          <w:cantSplit/>
          <w:tblHeader/>
        </w:trPr>
        <w:tc>
          <w:tcPr>
            <w:tcW w:type="dxa" w:w="13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نمونه (هزار میلیارد تومان)</w:t>
            </w:r>
          </w:p>
        </w:tc>
        <w:tc>
          <w:tcPr>
            <w:tcW w:type="dxa" w:w="17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سالانه‌ی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رسمی (هزار میلیارد تومان)</w:t>
            </w:r>
          </w:p>
        </w:tc>
        <w:tc>
          <w:tcPr>
            <w:tcW w:type="dxa" w:w="17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سالانه‌ی رسمی</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۳۲.۹</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۴۶.۶٪</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۴۷.۳</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۴۴.۳٪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۶۷.۶</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۳۳.۸٪</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۴۷.۲٪</w:t>
            </w:r>
          </w:p>
        </w:tc>
      </w:tr>
    </w:tbl>
    <w:p>
      <w:pPr>
        <w:spacing w:after="200"/>
      </w:pPr>
    </w:p>
    <w:p>
      <w:pPr>
        <w:bidi/>
        <w:spacing w:after="160" w:line="312"/>
        <w:jc w:val="left"/>
      </w:pPr>
      <w:r>
        <w:rPr>
          <w:rFonts w:ascii="Tahoma" w:cs="Tahoma" w:eastAsia="Tahoma" w:hAnsi="Tahoma"/>
          <w:sz w:val="21"/>
          <w:szCs w:val="21"/>
          <w:rtl/>
        </w:rPr>
        <w:t xml:space="preserve">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pPr>
        <w:keepNext/>
        <w:spacing w:after="60" w:before="160"/>
        <w:jc w:val="center"/>
      </w:pPr>
      <w:r>
        <w:drawing>
          <wp:inline distT="0" distB="0" distL="0" distR="0">
            <wp:extent cx="5715000" cy="2247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۴-۲: رشد سالانه‌ی منابع ریالی و تسهیلات در آمار رسمی بانک و نمونه</w:t>
      </w:r>
    </w:p>
    <w:p>
      <w:pPr>
        <w:pStyle w:val="Heading3"/>
        <w:keepNext/>
        <w:bidi/>
        <w:spacing w:after="160" w:before="300"/>
        <w:jc w:val="left"/>
      </w:pPr>
      <w:r>
        <w:rPr>
          <w:rFonts w:ascii="Tahoma" w:cs="Tahoma" w:eastAsia="Tahoma" w:hAnsi="Tahoma"/>
          <w:b/>
          <w:bCs/>
          <w:color w:val="1F4E79"/>
          <w:sz w:val="24"/>
          <w:szCs w:val="24"/>
          <w:rtl/>
        </w:rPr>
        <w:t xml:space="preserve">۴.۲.۳ ملاحظات تفسیر رشد</w:t>
      </w:r>
    </w:p>
    <w:p>
      <w:pPr>
        <w:bidi/>
        <w:spacing w:after="160" w:line="312"/>
        <w:jc w:val="left"/>
      </w:pPr>
      <w:r>
        <w:rPr>
          <w:rFonts w:ascii="Tahoma" w:cs="Tahoma" w:eastAsia="Tahoma" w:hAnsi="Tahoma"/>
          <w:sz w:val="21"/>
          <w:szCs w:val="21"/>
          <w:rtl/>
        </w:rPr>
        <w:t xml:space="preserve">رشد مانده‌ی سپرده اسمی است. با تعدیل تورمی (شاخص ۱۳۹۹=۱۰۰ تا ۱۴۰۴=۵۸۴.۵) مانده‌ی نمونه در بازه‌ی تحلیل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pPr>
        <w:pStyle w:val="Heading2"/>
        <w:keepNext/>
        <w:bidi/>
        <w:spacing w:after="160" w:before="300"/>
        <w:jc w:val="left"/>
      </w:pPr>
      <w:bookmarkStart w:name="_Toc33" w:id="33"/>
      <w:r>
        <w:rPr>
          <w:rFonts w:ascii="Tahoma" w:cs="Tahoma" w:eastAsia="Tahoma" w:hAnsi="Tahoma"/>
          <w:b/>
          <w:bCs/>
          <w:color w:val="1F4E79"/>
          <w:sz w:val="28"/>
          <w:szCs w:val="28"/>
          <w:rtl/>
        </w:rPr>
        <w:t xml:space="preserve">۴.۳ ترکیب پرتفوی سپرده</w:t>
      </w:r>
      <w:bookmarkEnd w:id="33"/>
    </w:p>
    <w:p>
      <w:pPr>
        <w:pStyle w:val="Heading3"/>
        <w:keepNext/>
        <w:bidi/>
        <w:spacing w:after="160" w:before="300"/>
        <w:jc w:val="left"/>
      </w:pPr>
      <w:r>
        <w:rPr>
          <w:rFonts w:ascii="Tahoma" w:cs="Tahoma" w:eastAsia="Tahoma" w:hAnsi="Tahoma"/>
          <w:b/>
          <w:bCs/>
          <w:color w:val="1F4E79"/>
          <w:sz w:val="24"/>
          <w:szCs w:val="24"/>
          <w:rtl/>
        </w:rPr>
        <w:t xml:space="preserve">۴.۳.۱ توزیع محصولی</w:t>
      </w:r>
    </w:p>
    <w:p>
      <w:pPr>
        <w:bidi/>
        <w:spacing w:after="160" w:line="312"/>
        <w:jc w:val="left"/>
      </w:pPr>
      <w:r>
        <w:rPr>
          <w:rFonts w:ascii="Tahoma" w:cs="Tahoma" w:eastAsia="Tahoma" w:hAnsi="Tahoma"/>
          <w:sz w:val="21"/>
          <w:szCs w:val="21"/>
          <w:rtl/>
        </w:rPr>
        <w:t xml:space="preserve">ترکیب محصولی منابع، ساختار هزینه‌ی بانک را تعیین می‌کند. جدول ۴-۳ و نمودار ۴-۳ این ترکیب را در ۱۲/۱۴۰۴ نشان می‌دهند.</w:t>
      </w:r>
    </w:p>
    <w:p>
      <w:pPr>
        <w:keepNext/>
        <w:spacing w:after="60" w:before="160"/>
        <w:jc w:val="center"/>
      </w:pPr>
      <w:r>
        <w:drawing>
          <wp:inline distT="0" distB="0" distL="0" distR="0">
            <wp:extent cx="5715000"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۴-۳: ترکیب پرتفوی سپرده‌ی نمونه به تفکیک نوع، ۱۲/۱۴۰۴</w:t>
      </w:r>
    </w:p>
    <w:p>
      <w:pPr>
        <w:keepNext/>
        <w:bidi/>
        <w:spacing w:after="100" w:before="200"/>
        <w:jc w:val="left"/>
      </w:pPr>
      <w:r>
        <w:rPr>
          <w:rFonts w:ascii="Tahoma" w:cs="Tahoma" w:eastAsia="Tahoma" w:hAnsi="Tahoma"/>
          <w:b/>
          <w:bCs/>
          <w:sz w:val="21"/>
          <w:szCs w:val="21"/>
          <w:rtl/>
        </w:rPr>
        <w:t xml:space="preserve">جدول ۴-۳: ترکیب پرتفوی سپرده‌ی نمونه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نوع ثبت‌نشده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۴۰.۳</w:t>
            </w:r>
          </w:p>
        </w:tc>
      </w:tr>
    </w:tbl>
    <w:p>
      <w:pPr>
        <w:spacing w:after="200"/>
      </w:pPr>
    </w:p>
    <w:p>
      <w:pPr>
        <w:bidi/>
        <w:spacing w:after="160" w:line="312"/>
        <w:jc w:val="left"/>
      </w:pPr>
      <w:r>
        <w:rPr>
          <w:rFonts w:ascii="Tahoma" w:cs="Tahoma" w:eastAsia="Tahoma" w:hAnsi="Tahoma"/>
          <w:sz w:val="21"/>
          <w:szCs w:val="21"/>
          <w:rtl/>
        </w:rPr>
        <w:t xml:space="preserve">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از نظر تعداد دارندگان متمرکزترین منبع بانک است؛ هزینه‌ی سود به تفکیک نوع سپرده در داده‌ی در دسترس نیست.</w:t>
      </w:r>
    </w:p>
    <w:p>
      <w:pPr>
        <w:pStyle w:val="Heading3"/>
        <w:keepNext/>
        <w:bidi/>
        <w:spacing w:after="160" w:before="300"/>
        <w:jc w:val="left"/>
      </w:pPr>
      <w:r>
        <w:rPr>
          <w:rFonts w:ascii="Tahoma" w:cs="Tahoma" w:eastAsia="Tahoma" w:hAnsi="Tahoma"/>
          <w:b/>
          <w:bCs/>
          <w:color w:val="1F4E79"/>
          <w:sz w:val="24"/>
          <w:szCs w:val="24"/>
          <w:rtl/>
        </w:rPr>
        <w:t xml:space="preserve">۴.۳.۲ حساب‌های با نوع ثبت‌نشده</w:t>
      </w:r>
    </w:p>
    <w:p>
      <w:pPr>
        <w:bidi/>
        <w:spacing w:after="160" w:line="312"/>
        <w:jc w:val="left"/>
      </w:pPr>
      <w:r>
        <w:rPr>
          <w:rFonts w:ascii="Tahoma" w:cs="Tahoma" w:eastAsia="Tahoma" w:hAnsi="Tahoma"/>
          <w:sz w:val="21"/>
          <w:szCs w:val="21"/>
          <w:rtl/>
        </w:rPr>
        <w:t xml:space="preserve">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 تعیین نوع این حساب‌ها برای تکمیل تحلیل محصولی در فاز بعد در فهرست پرسش‌ها آمده است (بخش ۹.۵).</w:t>
      </w:r>
    </w:p>
    <w:p>
      <w:pPr>
        <w:pStyle w:val="Heading3"/>
        <w:keepNext/>
        <w:bidi/>
        <w:spacing w:after="160" w:before="300"/>
        <w:jc w:val="left"/>
      </w:pPr>
      <w:r>
        <w:rPr>
          <w:rFonts w:ascii="Tahoma" w:cs="Tahoma" w:eastAsia="Tahoma" w:hAnsi="Tahoma"/>
          <w:b/>
          <w:bCs/>
          <w:color w:val="1F4E79"/>
          <w:sz w:val="24"/>
          <w:szCs w:val="24"/>
          <w:rtl/>
        </w:rPr>
        <w:t xml:space="preserve">۴.۳.۳ ساختار هزینه‌ای منابع در آمار رسمی</w:t>
      </w:r>
    </w:p>
    <w:p>
      <w:pPr>
        <w:bidi/>
        <w:spacing w:after="160" w:line="312"/>
        <w:jc w:val="left"/>
      </w:pPr>
      <w:r>
        <w:rPr>
          <w:rFonts w:ascii="Tahoma" w:cs="Tahoma" w:eastAsia="Tahoma" w:hAnsi="Tahoma"/>
          <w:sz w:val="21"/>
          <w:szCs w:val="21"/>
          <w:rtl/>
        </w:rPr>
        <w:t xml:space="preserve">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pPr>
        <w:keepNext/>
        <w:bidi/>
        <w:spacing w:after="100" w:before="200"/>
        <w:jc w:val="left"/>
      </w:pPr>
      <w:r>
        <w:rPr>
          <w:rFonts w:ascii="Tahoma" w:cs="Tahoma" w:eastAsia="Tahoma" w:hAnsi="Tahoma"/>
          <w:b/>
          <w:bCs/>
          <w:sz w:val="21"/>
          <w:szCs w:val="21"/>
          <w:rtl/>
        </w:rPr>
        <w:t xml:space="preserve">جدول ۴-۴: ترکیب منابع ریالی بانک در آمار رسمی (درصد از کل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8"/>
        <w:gridCol w:w="2365"/>
        <w:gridCol w:w="2466"/>
        <w:gridCol w:w="2261"/>
      </w:tblGrid>
      <w:tr>
        <w:trPr>
          <w:cantSplit/>
          <w:tblHeader/>
        </w:trPr>
        <w:tc>
          <w:tcPr>
            <w:tcW w:type="dxa" w:w="22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بدون سود</w:t>
            </w:r>
          </w:p>
        </w:tc>
        <w:tc>
          <w:tcPr>
            <w:tcW w:type="dxa" w:w="24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کوتاه‌مدت</w:t>
            </w:r>
          </w:p>
        </w:tc>
        <w:tc>
          <w:tcPr>
            <w:tcW w:type="dxa" w:w="22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بلندمدت</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۳۳.۰٪</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۲۴.۶٪</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۴۳.۶٪</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۴۶.۰٪</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۱۰/۱۴۰۴</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۴۶.۵٪</w:t>
            </w:r>
          </w:p>
        </w:tc>
      </w:tr>
    </w:tbl>
    <w:p>
      <w:pPr>
        <w:spacing w:after="200"/>
      </w:pPr>
    </w:p>
    <w:p>
      <w:pPr>
        <w:bidi/>
        <w:spacing w:after="160" w:line="312"/>
        <w:jc w:val="left"/>
      </w:pPr>
      <w:r>
        <w:rPr>
          <w:rFonts w:ascii="Tahoma" w:cs="Tahoma" w:eastAsia="Tahoma" w:hAnsi="Tahoma"/>
          <w:sz w:val="21"/>
          <w:szCs w:val="21"/>
          <w:rtl/>
        </w:rPr>
        <w:t xml:space="preserve">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pPr>
        <w:pStyle w:val="Heading2"/>
        <w:keepNext/>
        <w:bidi/>
        <w:spacing w:after="160" w:before="300"/>
        <w:jc w:val="left"/>
      </w:pPr>
      <w:bookmarkStart w:name="_Toc34" w:id="34"/>
      <w:r>
        <w:rPr>
          <w:rFonts w:ascii="Tahoma" w:cs="Tahoma" w:eastAsia="Tahoma" w:hAnsi="Tahoma"/>
          <w:b/>
          <w:bCs/>
          <w:color w:val="1F4E79"/>
          <w:sz w:val="28"/>
          <w:szCs w:val="28"/>
          <w:rtl/>
        </w:rPr>
        <w:t xml:space="preserve">۴.۴ پلکان مانده و تمرکز منابع</w:t>
      </w:r>
      <w:bookmarkEnd w:id="34"/>
    </w:p>
    <w:p>
      <w:pPr>
        <w:pStyle w:val="Heading3"/>
        <w:keepNext/>
        <w:bidi/>
        <w:spacing w:after="160" w:before="300"/>
        <w:jc w:val="left"/>
      </w:pPr>
      <w:r>
        <w:rPr>
          <w:rFonts w:ascii="Tahoma" w:cs="Tahoma" w:eastAsia="Tahoma" w:hAnsi="Tahoma"/>
          <w:b/>
          <w:bCs/>
          <w:color w:val="1F4E79"/>
          <w:sz w:val="24"/>
          <w:szCs w:val="24"/>
          <w:rtl/>
        </w:rPr>
        <w:t xml:space="preserve">۴.۴.۱ پلکان مانده‌ی سپرده</w:t>
      </w:r>
    </w:p>
    <w:p>
      <w:pPr>
        <w:bidi/>
        <w:spacing w:after="160" w:line="312"/>
        <w:jc w:val="left"/>
      </w:pPr>
      <w:r>
        <w:rPr>
          <w:rFonts w:ascii="Tahoma" w:cs="Tahoma" w:eastAsia="Tahoma" w:hAnsi="Tahoma"/>
          <w:sz w:val="21"/>
          <w:szCs w:val="21"/>
          <w:rtl/>
        </w:rPr>
        <w:t xml:space="preserve">جدول ۴-۵ و نمودار ۴-۴ سپرده‌گذاران نمونه را بر حسب مانده‌ی ۱۲/۱۴۰۴ در بازه‌های مطلق نشان می‌دهند. مبنای جدول ۶۷۶,۶۲۲ سپرده‌گذار دارای مانده در این ماه است.</w:t>
      </w:r>
    </w:p>
    <w:p>
      <w:pPr>
        <w:keepNext/>
        <w:spacing w:after="60" w:before="160"/>
        <w:jc w:val="center"/>
      </w:pPr>
      <w:r>
        <w:drawing>
          <wp:inline distT="0" distB="0" distL="0" distR="0">
            <wp:extent cx="5715000" cy="2457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۴-۴: پلکان مانده‌ی سپرده: سهم مشتریان و سهم مانده در هر بازه</w:t>
      </w:r>
    </w:p>
    <w:p>
      <w:pPr>
        <w:keepNext/>
        <w:bidi/>
        <w:spacing w:after="100" w:before="200"/>
        <w:jc w:val="left"/>
      </w:pPr>
      <w:r>
        <w:rPr>
          <w:rFonts w:ascii="Tahoma" w:cs="Tahoma" w:eastAsia="Tahoma" w:hAnsi="Tahoma"/>
          <w:b/>
          <w:bCs/>
          <w:sz w:val="21"/>
          <w:szCs w:val="21"/>
          <w:rtl/>
        </w:rPr>
        <w:t xml:space="preserve">جدول ۴-۵: پلکان مانده‌ی سپرده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83"/>
        <w:gridCol w:w="1905"/>
        <w:gridCol w:w="1503"/>
        <w:gridCol w:w="2254"/>
        <w:gridCol w:w="1505"/>
      </w:tblGrid>
      <w:tr>
        <w:trPr>
          <w:cantSplit/>
          <w:tblHeader/>
        </w:trPr>
        <w:tc>
          <w:tcPr>
            <w:tcW w:type="dxa" w:w="21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مانده</w:t>
            </w:r>
          </w:p>
        </w:tc>
        <w:tc>
          <w:tcPr>
            <w:tcW w:type="dxa" w:w="1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نمونه</w:t>
            </w:r>
          </w:p>
        </w:tc>
        <w:tc>
          <w:tcPr>
            <w:tcW w:type="dxa" w:w="15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22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 تومان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۲۸۲,۱۸۹</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۴۱.۷۱٪</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۰.۰۳</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۰.۰۴٪</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۱۸.۹۴٪</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۱۰۴,۸۶۵</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۱۵.۵۰٪</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۰.۶۵٪</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۸۵,۸۷۴</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۱۲.۶۹٪</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۴۴,۷۶۶</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۴.۴۸</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۵.۲۸٪</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۱۱.۳۲٪</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۸,۳۰۲</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۶۷.۹۵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۸۰.۱۵٪</w:t>
            </w:r>
          </w:p>
        </w:tc>
      </w:tr>
    </w:tbl>
    <w:p>
      <w:pPr>
        <w:spacing w:after="200"/>
      </w:pPr>
    </w:p>
    <w:p>
      <w:pPr>
        <w:bidi/>
        <w:spacing w:after="160" w:line="312"/>
        <w:jc w:val="left"/>
      </w:pPr>
      <w:r>
        <w:rPr>
          <w:rFonts w:ascii="Tahoma" w:cs="Tahoma" w:eastAsia="Tahoma" w:hAnsi="Tahoma"/>
          <w:sz w:val="21"/>
          <w:szCs w:val="21"/>
          <w:rtl/>
        </w:rPr>
        <w:t xml:space="preserve">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pPr>
        <w:bidi/>
        <w:spacing w:after="160" w:line="312"/>
        <w:jc w:val="left"/>
      </w:pPr>
      <w:r>
        <w:rPr>
          <w:rFonts w:ascii="Tahoma" w:cs="Tahoma" w:eastAsia="Tahoma" w:hAnsi="Tahoma"/>
          <w:sz w:val="21"/>
          <w:szCs w:val="21"/>
          <w:rtl/>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ظرفیت مالی و تعداد کافی برای برنامه‌ی فروش هدفمند دارند. از این تعداد، ۹۶,۸۶۲ نفر در ۱۲/۱۴۰۴ مانده‌ی تسهیلات ندارند (جدول ۳-۳). ۸,۳۰۲ سپرده‌گذار بزرگ شامل ۴,۳۳۴ نفر بدون هیچ رابطه‌ی تسهیلاتی، ۳,۸۸۴ گیرنده‌ی اصلی تسهیلات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pPr>
        <w:pStyle w:val="Heading3"/>
        <w:keepNext/>
        <w:bidi/>
        <w:spacing w:after="160" w:before="300"/>
        <w:jc w:val="left"/>
      </w:pPr>
      <w:r>
        <w:rPr>
          <w:rFonts w:ascii="Tahoma" w:cs="Tahoma" w:eastAsia="Tahoma" w:hAnsi="Tahoma"/>
          <w:b/>
          <w:bCs/>
          <w:color w:val="1F4E79"/>
          <w:sz w:val="24"/>
          <w:szCs w:val="24"/>
          <w:rtl/>
        </w:rPr>
        <w:t xml:space="preserve">۴.۴.۲ تمرکز سپرده و تسهیلات</w:t>
      </w:r>
    </w:p>
    <w:p>
      <w:pPr>
        <w:bidi/>
        <w:spacing w:after="160" w:line="312"/>
        <w:jc w:val="left"/>
      </w:pPr>
      <w:r>
        <w:rPr>
          <w:rFonts w:ascii="Tahoma" w:cs="Tahoma" w:eastAsia="Tahoma" w:hAnsi="Tahoma"/>
          <w:sz w:val="21"/>
          <w:szCs w:val="21"/>
          <w:rtl/>
        </w:rPr>
        <w:t xml:space="preserve">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pPr>
        <w:keepNext/>
        <w:spacing w:after="60" w:before="160"/>
        <w:jc w:val="center"/>
      </w:pPr>
      <w:r>
        <w:drawing>
          <wp:inline distT="0" distB="0" distL="0" distR="0">
            <wp:extent cx="5715000" cy="42767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767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۴-۵: منحنی تمرکز مانده‌ی سپرده و تسهیلات (گیرنده‌ی اصلی)، ۱۲/۱۴۰۴</w:t>
      </w:r>
    </w:p>
    <w:p>
      <w:pPr>
        <w:keepNext/>
        <w:bidi/>
        <w:spacing w:after="100" w:before="200"/>
        <w:jc w:val="left"/>
      </w:pPr>
      <w:r>
        <w:rPr>
          <w:rFonts w:ascii="Tahoma" w:cs="Tahoma" w:eastAsia="Tahoma" w:hAnsi="Tahoma"/>
          <w:b/>
          <w:bCs/>
          <w:sz w:val="21"/>
          <w:szCs w:val="21"/>
          <w:rtl/>
        </w:rPr>
        <w:t xml:space="preserve">جدول ۴-۶: سهم صدک‌های برتر مشتریان از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15"/>
        <w:gridCol w:w="2962"/>
        <w:gridCol w:w="3673"/>
      </w:tblGrid>
      <w:tr>
        <w:trPr>
          <w:cantSplit/>
          <w:tblHeader/>
        </w:trPr>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 مشتریان</w:t>
            </w:r>
          </w:p>
        </w:tc>
        <w:tc>
          <w:tcPr>
            <w:tcW w:type="dxa" w:w="29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سپرده</w:t>
            </w:r>
          </w:p>
        </w:tc>
        <w:tc>
          <w:tcPr>
            <w:tcW w:type="dxa" w:w="3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تسهیلات (گیرنده‌ی اصلی)</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۵۰.۵٪</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۹۲.۱٪</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۷۰.۳٪</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۹۶.۲٪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۷۶.۱٪</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۹۸.۷٪</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۸۴.۱٪</w:t>
            </w:r>
          </w:p>
        </w:tc>
      </w:tr>
    </w:tbl>
    <w:p>
      <w:pPr>
        <w:spacing w:after="200"/>
      </w:pPr>
    </w:p>
    <w:p>
      <w:pPr>
        <w:bidi/>
        <w:spacing w:after="160" w:line="312"/>
        <w:jc w:val="left"/>
      </w:pPr>
      <w:r>
        <w:rPr>
          <w:rFonts w:ascii="Tahoma" w:cs="Tahoma" w:eastAsia="Tahoma" w:hAnsi="Tahoma"/>
          <w:sz w:val="21"/>
          <w:szCs w:val="21"/>
          <w:rtl/>
        </w:rPr>
        <w:t xml:space="preserve">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pPr>
        <w:bidi/>
        <w:spacing w:after="160" w:line="312"/>
        <w:jc w:val="left"/>
      </w:pPr>
      <w:r>
        <w:rPr>
          <w:rFonts w:ascii="Tahoma" w:cs="Tahoma" w:eastAsia="Tahoma" w:hAnsi="Tahoma"/>
          <w:sz w:val="21"/>
          <w:szCs w:val="21"/>
          <w:rtl/>
        </w:rPr>
        <w:t xml:space="preserve">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pPr>
        <w:pStyle w:val="Heading2"/>
        <w:keepNext/>
        <w:bidi/>
        <w:spacing w:after="160" w:before="300"/>
        <w:jc w:val="left"/>
      </w:pPr>
      <w:bookmarkStart w:name="_Toc35" w:id="35"/>
      <w:r>
        <w:rPr>
          <w:rFonts w:ascii="Tahoma" w:cs="Tahoma" w:eastAsia="Tahoma" w:hAnsi="Tahoma"/>
          <w:b/>
          <w:bCs/>
          <w:color w:val="1F4E79"/>
          <w:sz w:val="28"/>
          <w:szCs w:val="28"/>
          <w:rtl/>
        </w:rPr>
        <w:t xml:space="preserve">۴.۵ پایداری منابع</w:t>
      </w:r>
      <w:bookmarkEnd w:id="35"/>
    </w:p>
    <w:p>
      <w:pPr>
        <w:bidi/>
        <w:spacing w:after="160" w:line="312"/>
        <w:jc w:val="left"/>
      </w:pPr>
      <w:r>
        <w:rPr>
          <w:rFonts w:ascii="Tahoma" w:cs="Tahoma" w:eastAsia="Tahoma" w:hAnsi="Tahoma"/>
          <w:sz w:val="21"/>
          <w:szCs w:val="21"/>
          <w:rtl/>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pPr>
        <w:bidi/>
        <w:spacing w:after="160" w:line="312"/>
        <w:jc w:val="left"/>
      </w:pPr>
      <w:r>
        <w:rPr>
          <w:rFonts w:ascii="Tahoma" w:cs="Tahoma" w:eastAsia="Tahoma" w:hAnsi="Tahoma"/>
          <w:sz w:val="21"/>
          <w:szCs w:val="21"/>
          <w:rtl/>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pPr>
        <w:pStyle w:val="Heading2"/>
        <w:keepNext/>
        <w:bidi/>
        <w:spacing w:after="160" w:before="300"/>
        <w:jc w:val="left"/>
      </w:pPr>
      <w:bookmarkStart w:name="_Toc36" w:id="36"/>
      <w:r>
        <w:rPr>
          <w:rFonts w:ascii="Tahoma" w:cs="Tahoma" w:eastAsia="Tahoma" w:hAnsi="Tahoma"/>
          <w:b/>
          <w:bCs/>
          <w:color w:val="1F4E79"/>
          <w:sz w:val="28"/>
          <w:szCs w:val="28"/>
          <w:rtl/>
        </w:rPr>
        <w:t xml:space="preserve">۴.۶ تعریف مانده و حساب‌های نزد سایر بانک‌ها</w:t>
      </w:r>
      <w:bookmarkEnd w:id="36"/>
    </w:p>
    <w:p>
      <w:pPr>
        <w:bidi/>
        <w:spacing w:after="160" w:line="312"/>
        <w:jc w:val="left"/>
      </w:pPr>
      <w:r>
        <w:rPr>
          <w:rFonts w:ascii="Tahoma" w:cs="Tahoma" w:eastAsia="Tahoma" w:hAnsi="Tahoma"/>
          <w:sz w:val="21"/>
          <w:szCs w:val="21"/>
          <w:rtl/>
        </w:rPr>
        <w:t xml:space="preserve">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(بخش ۲.۴.۴). ارقام این فصل بر این ستون متکی‌اند. اگر بانک تعریف دیگری (مانند مانده‌ی پایان ماه) را تأیید کند، سطح مطلق مانده‌ها ممکن است تغییر کند و نسبت‌ها و سهم‌ها کمتر اثر می‌پذیرند؛ تعریف دقیق ستون در بخش ۹.۵ پرسیده شده است.</w:t>
      </w:r>
    </w:p>
    <w:p>
      <w:pPr>
        <w:bidi/>
        <w:spacing w:after="160" w:line="312"/>
        <w:jc w:val="left"/>
      </w:pPr>
      <w:r>
        <w:rPr>
          <w:rFonts w:ascii="Tahoma" w:cs="Tahoma" w:eastAsia="Tahoma" w:hAnsi="Tahoma"/>
          <w:sz w:val="21"/>
          <w:szCs w:val="21"/>
          <w:rtl/>
        </w:rPr>
        <w:t xml:space="preserve">در پایگاه ۱,۱۰۰ حساب با نوع «نزد سایر بانک‌ها» ثبت شده است. این حساب‌ها وضعیت باز و تاریخ افتتاح میان سال‌های ۱۳۸۸ تا ۱۴۰۰ دارند. حجم آن‌ها کوچک است و بر نتایج این فصل اثر محسوسی ندارد. طبقه‌بندی ترازنامه‌ای آن‌ها (دارایی یا بدهی) در بخش ۹.۵ پرسیده شده است.</w:t>
      </w:r>
    </w:p>
    <w:p>
      <w:pPr>
        <w:pStyle w:val="Heading2"/>
        <w:keepNext/>
        <w:bidi/>
        <w:spacing w:after="160" w:before="300"/>
        <w:jc w:val="left"/>
      </w:pPr>
      <w:bookmarkStart w:name="_Toc37" w:id="37"/>
      <w:r>
        <w:rPr>
          <w:rFonts w:ascii="Tahoma" w:cs="Tahoma" w:eastAsia="Tahoma" w:hAnsi="Tahoma"/>
          <w:b/>
          <w:bCs/>
          <w:color w:val="1F4E79"/>
          <w:sz w:val="28"/>
          <w:szCs w:val="28"/>
          <w:rtl/>
        </w:rPr>
        <w:t xml:space="preserve">۴.۷ جمع‌بندی فصل</w:t>
      </w:r>
      <w:bookmarkEnd w:id="37"/>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بازار هدف فروش تسهیلات ۱۰۱,۱۹۶ سپرده‌گذار فاقد تسهیلات با مانده‌ی بیش از ۱۰ میلیون تومان است (بخش ۳.۳.۱)؛ ۹۶,۸۶۲ نفر در بازه‌ی میانی و ۴,۳۳۴ نفر در گروه بزرگ.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منابع ریالی بانک در ۴۹ ماه از ۶۰ ماه رشد ماهانه داشته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نوع ۴۰.۳ درصد حساب‌ها (۱۱.۸ درصد مانده) و تعریف دقیق ستون مانده در فهرست پرسش‌های بخش ۹.۵ آمده است؛ ترکیب انواع سپرده فقط برای حساب‌های دارای نوع معتبر است و تفسیر ارقام مانده به پاسخ بانک وابسته است.</w:t>
      </w:r>
    </w:p>
    <w:p>
      <w:pPr>
        <w:pBdr>
          <w:bottom w:val="single" w:color="BBBBBB" w:sz="6"/>
        </w:pBdr>
        <w:spacing w:after="100" w:before="100"/>
      </w:pPr>
    </w:p>
    <w:p>
      <w:pPr>
        <w:pStyle w:val="Heading1"/>
        <w:keepNext/>
        <w:pageBreakBefore/>
        <w:bidi/>
        <w:spacing w:after="160" w:before="0"/>
        <w:jc w:val="left"/>
      </w:pPr>
      <w:bookmarkStart w:name="_Toc38" w:id="38"/>
      <w:r>
        <w:rPr>
          <w:rFonts w:ascii="Tahoma" w:cs="Tahoma" w:eastAsia="Tahoma" w:hAnsi="Tahoma"/>
          <w:b/>
          <w:bCs/>
          <w:color w:val="1F4E79"/>
          <w:sz w:val="34"/>
          <w:szCs w:val="34"/>
          <w:rtl/>
        </w:rPr>
        <w:t xml:space="preserve">فصل ۵: بازار تسهیلات</w:t>
      </w:r>
      <w:bookmarkEnd w:id="38"/>
    </w:p>
    <w:p>
      <w:pPr>
        <w:pStyle w:val="Heading2"/>
        <w:keepNext/>
        <w:bidi/>
        <w:spacing w:after="160" w:before="300"/>
        <w:jc w:val="left"/>
      </w:pPr>
      <w:bookmarkStart w:name="_Toc39" w:id="39"/>
      <w:r>
        <w:rPr>
          <w:rFonts w:ascii="Tahoma" w:cs="Tahoma" w:eastAsia="Tahoma" w:hAnsi="Tahoma"/>
          <w:b/>
          <w:bCs/>
          <w:color w:val="1F4E79"/>
          <w:sz w:val="28"/>
          <w:szCs w:val="28"/>
          <w:rtl/>
        </w:rPr>
        <w:t xml:space="preserve">۵.۱ هدف و مبنای فصل</w:t>
      </w:r>
      <w:bookmarkEnd w:id="39"/>
    </w:p>
    <w:p>
      <w:pPr>
        <w:bidi/>
        <w:spacing w:after="160" w:line="312"/>
        <w:jc w:val="left"/>
      </w:pPr>
      <w:r>
        <w:rPr>
          <w:rFonts w:ascii="Tahoma" w:cs="Tahoma" w:eastAsia="Tahoma" w:hAnsi="Tahoma"/>
          <w:sz w:val="21"/>
          <w:szCs w:val="21"/>
          <w:rtl/>
        </w:rPr>
        <w:t xml:space="preserve">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pPr>
        <w:bidi/>
        <w:spacing w:after="160" w:line="312"/>
        <w:jc w:val="left"/>
      </w:pPr>
      <w:r>
        <w:rPr>
          <w:rFonts w:ascii="Tahoma" w:cs="Tahoma" w:eastAsia="Tahoma" w:hAnsi="Tahoma"/>
          <w:sz w:val="21"/>
          <w:szCs w:val="21"/>
          <w:rtl/>
        </w:rPr>
        <w:t xml:space="preserve">با توجه به در دسترس بودن اطلاعات، فصل از سه مبنای محاسبه (جدول ۵-۱) استفاده می‌کند و هر جدول مبنای خود را در عنوان می‌آورد.</w:t>
      </w:r>
    </w:p>
    <w:p>
      <w:pPr>
        <w:keepNext/>
        <w:bidi/>
        <w:spacing w:after="100" w:before="200"/>
        <w:jc w:val="left"/>
      </w:pPr>
      <w:r>
        <w:rPr>
          <w:rFonts w:ascii="Tahoma" w:cs="Tahoma" w:eastAsia="Tahoma" w:hAnsi="Tahoma"/>
          <w:b/>
          <w:bCs/>
          <w:sz w:val="21"/>
          <w:szCs w:val="21"/>
          <w:rtl/>
        </w:rPr>
        <w:t xml:space="preserve">جدول ۵-۱: مبناهای محاسباتی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1"/>
        <w:gridCol w:w="2371"/>
        <w:gridCol w:w="2144"/>
        <w:gridCol w:w="2434"/>
      </w:tblGrid>
      <w:tr>
        <w:trPr>
          <w:cantSplit/>
          <w:tblHeader/>
        </w:trPr>
        <w:tc>
          <w:tcPr>
            <w:tcW w:type="dxa" w:w="2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3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پوشش</w:t>
            </w:r>
          </w:p>
        </w:tc>
        <w:tc>
          <w:tcPr>
            <w:tcW w:type="dxa" w:w="2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تحلیل‌های متکی بر آن</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مانده‌ی کل پرتفوی</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 پرتفوی</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رشد سالانه، نسبت تسهیلات به منابع، ترکیب بخش اقتصادی، ترکیب محصولی</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پرتفوی دارای رکورد قرارداد</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 هزار میلیارد تومان (۷۷.۶۰٪)</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 محصولی تفصیلی، سررسید، نرخ سود، وثیقه</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اعطا</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۲۰۵.۷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تجمعی مبالغ اعطاشده</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اندازه‌ی تسهیلات، نرخ سود مؤثر، پوشش وثیقه</w:t>
            </w:r>
          </w:p>
        </w:tc>
      </w:tr>
    </w:tbl>
    <w:p>
      <w:pPr>
        <w:spacing w:after="200"/>
      </w:pPr>
    </w:p>
    <w:p>
      <w:pPr>
        <w:bidi/>
        <w:spacing w:after="160" w:line="312"/>
        <w:jc w:val="left"/>
      </w:pPr>
      <w:r>
        <w:rPr>
          <w:rFonts w:ascii="Tahoma" w:cs="Tahoma" w:eastAsia="Tahoma" w:hAnsi="Tahoma"/>
          <w:sz w:val="21"/>
          <w:szCs w:val="21"/>
          <w:rtl/>
        </w:rPr>
        <w:t xml:space="preserve">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pPr>
        <w:pStyle w:val="Heading2"/>
        <w:keepNext/>
        <w:bidi/>
        <w:spacing w:after="160" w:before="300"/>
        <w:jc w:val="left"/>
      </w:pPr>
      <w:bookmarkStart w:name="_Toc40" w:id="40"/>
      <w:r>
        <w:rPr>
          <w:rFonts w:ascii="Tahoma" w:cs="Tahoma" w:eastAsia="Tahoma" w:hAnsi="Tahoma"/>
          <w:b/>
          <w:bCs/>
          <w:color w:val="1F4E79"/>
          <w:sz w:val="28"/>
          <w:szCs w:val="28"/>
          <w:rtl/>
        </w:rPr>
        <w:t xml:space="preserve">۵.۲ روند مانده و رشد پرتفوی</w:t>
      </w:r>
      <w:bookmarkEnd w:id="40"/>
    </w:p>
    <w:p>
      <w:pPr>
        <w:pStyle w:val="Heading3"/>
        <w:keepNext/>
        <w:bidi/>
        <w:spacing w:after="160" w:before="300"/>
        <w:jc w:val="left"/>
      </w:pPr>
      <w:r>
        <w:rPr>
          <w:rFonts w:ascii="Tahoma" w:cs="Tahoma" w:eastAsia="Tahoma" w:hAnsi="Tahoma"/>
          <w:b/>
          <w:bCs/>
          <w:color w:val="1F4E79"/>
          <w:sz w:val="24"/>
          <w:szCs w:val="24"/>
          <w:rtl/>
        </w:rPr>
        <w:t xml:space="preserve">۵.۲.۱ تصویر کلان</w:t>
      </w:r>
    </w:p>
    <w:p>
      <w:pPr>
        <w:keepNext/>
        <w:bidi/>
        <w:spacing w:after="100" w:before="200"/>
        <w:jc w:val="left"/>
      </w:pPr>
      <w:r>
        <w:rPr>
          <w:rFonts w:ascii="Tahoma" w:cs="Tahoma" w:eastAsia="Tahoma" w:hAnsi="Tahoma"/>
          <w:b/>
          <w:bCs/>
          <w:sz w:val="21"/>
          <w:szCs w:val="21"/>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14"/>
        <w:gridCol w:w="2951"/>
        <w:gridCol w:w="2951"/>
        <w:gridCol w:w="1834"/>
      </w:tblGrid>
      <w:tr>
        <w:trPr>
          <w:cantSplit/>
          <w:tblHeader/>
        </w:trPr>
        <w:tc>
          <w:tcPr>
            <w:tcW w:type="dxa" w:w="1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نمونه (هزار میلیارد تومان)</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رسمی بانک (هزار میلیارد تومان)</w:t>
            </w:r>
          </w:p>
        </w:tc>
        <w:tc>
          <w:tcPr>
            <w:tcW w:type="dxa" w:w="18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نمونه</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۱۴۸.۲</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با ضرایب نزدیک به هم رشد کرده‌اند.</w:t>
      </w:r>
    </w:p>
    <w:p>
      <w:pPr>
        <w:pStyle w:val="Heading3"/>
        <w:keepNext/>
        <w:bidi/>
        <w:spacing w:after="160" w:before="300"/>
        <w:jc w:val="left"/>
      </w:pPr>
      <w:r>
        <w:rPr>
          <w:rFonts w:ascii="Tahoma" w:cs="Tahoma" w:eastAsia="Tahoma" w:hAnsi="Tahoma"/>
          <w:b/>
          <w:bCs/>
          <w:color w:val="1F4E79"/>
          <w:sz w:val="24"/>
          <w:szCs w:val="24"/>
          <w:rtl/>
        </w:rPr>
        <w:t xml:space="preserve">۵.۲.۲ رشد سالانه‌ی تسهیلات و منابع</w:t>
      </w:r>
    </w:p>
    <w:p>
      <w:pPr>
        <w:bidi/>
        <w:spacing w:after="160" w:line="312"/>
        <w:jc w:val="left"/>
      </w:pPr>
      <w:r>
        <w:rPr>
          <w:rFonts w:ascii="Tahoma" w:cs="Tahoma" w:eastAsia="Tahoma" w:hAnsi="Tahoma"/>
          <w:sz w:val="21"/>
          <w:szCs w:val="21"/>
          <w:rtl/>
        </w:rPr>
        <w:t xml:space="preserve">جدول ۵-۳ رشد سالانه‌ی تسهیلات و منابع را بر پایه‌ی آمار رسمی بانک و در کنار رشد تسهیلات نمونه نشان می‌دهد.</w:t>
      </w:r>
    </w:p>
    <w:p>
      <w:pPr>
        <w:keepNext/>
        <w:bidi/>
        <w:spacing w:after="100" w:before="200"/>
        <w:jc w:val="left"/>
      </w:pPr>
      <w:r>
        <w:rPr>
          <w:rFonts w:ascii="Tahoma" w:cs="Tahoma" w:eastAsia="Tahoma" w:hAnsi="Tahoma"/>
          <w:b/>
          <w:bCs/>
          <w:sz w:val="21"/>
          <w:szCs w:val="21"/>
          <w:rtl/>
        </w:rPr>
        <w:t xml:space="preserve">جدول ۵-۳: رشد سالانه‌ی تسهیلات و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90"/>
        <w:gridCol w:w="1902"/>
        <w:gridCol w:w="1472"/>
        <w:gridCol w:w="1440"/>
        <w:gridCol w:w="1564"/>
        <w:gridCol w:w="1882"/>
      </w:tblGrid>
      <w:tr>
        <w:trPr>
          <w:cantSplit/>
          <w:tblHeader/>
        </w:trPr>
        <w:tc>
          <w:tcPr>
            <w:tcW w:type="dxa" w:w="10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 نمونه (هزار میلیارد تومان)</w:t>
            </w:r>
          </w:p>
        </w:tc>
        <w:tc>
          <w:tcPr>
            <w:tcW w:type="dxa" w:w="1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 نمونه</w:t>
            </w:r>
          </w:p>
        </w:tc>
        <w:tc>
          <w:tcPr>
            <w:tcW w:type="dxa" w:w="1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 رسمی</w:t>
            </w:r>
          </w:p>
        </w:tc>
        <w:tc>
          <w:tcPr>
            <w:tcW w:type="dxa" w:w="1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منابع ریالی، رسمی</w:t>
            </w:r>
          </w:p>
        </w:tc>
        <w:tc>
          <w:tcPr>
            <w:tcW w:type="dxa" w:w="18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اختلاف رشد تسهیلات و منابع (رسمی)</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۳۱.۷</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۳۳.۵٪</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۴۶.۶٪</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۶۰.۹</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۴۴.۰٪</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۳۳.۸٪</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 واحد درصد بیشتر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۴۷.۲٪</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 واحد درصد کمتر</w:t>
            </w:r>
          </w:p>
        </w:tc>
      </w:tr>
    </w:tbl>
    <w:p>
      <w:pPr>
        <w:spacing w:after="200"/>
      </w:pPr>
    </w:p>
    <w:p>
      <w:pPr>
        <w:bidi/>
        <w:spacing w:after="160" w:line="312"/>
        <w:jc w:val="left"/>
      </w:pPr>
      <w:r>
        <w:rPr>
          <w:rFonts w:ascii="Tahoma" w:cs="Tahoma" w:eastAsia="Tahoma" w:hAnsi="Tahoma"/>
          <w:sz w:val="21"/>
          <w:szCs w:val="21"/>
          <w:rtl/>
        </w:rPr>
        <w:t xml:space="preserve">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pPr>
        <w:pStyle w:val="Heading3"/>
        <w:keepNext/>
        <w:bidi/>
        <w:spacing w:after="160" w:before="300"/>
        <w:jc w:val="left"/>
      </w:pPr>
      <w:r>
        <w:rPr>
          <w:rFonts w:ascii="Tahoma" w:cs="Tahoma" w:eastAsia="Tahoma" w:hAnsi="Tahoma"/>
          <w:b/>
          <w:bCs/>
          <w:color w:val="1F4E79"/>
          <w:sz w:val="24"/>
          <w:szCs w:val="24"/>
          <w:rtl/>
        </w:rPr>
        <w:t xml:space="preserve">۵.۲.۳ الگوی فصلی پایان سال</w:t>
      </w:r>
    </w:p>
    <w:p>
      <w:pPr>
        <w:keepNext/>
        <w:bidi/>
        <w:spacing w:after="100" w:before="200"/>
        <w:jc w:val="left"/>
      </w:pPr>
      <w:r>
        <w:rPr>
          <w:rFonts w:ascii="Tahoma" w:cs="Tahoma" w:eastAsia="Tahoma" w:hAnsi="Tahoma"/>
          <w:b/>
          <w:bCs/>
          <w:sz w:val="21"/>
          <w:szCs w:val="21"/>
          <w:rtl/>
        </w:rPr>
        <w:t xml:space="preserve">جدول ۵-۴: رشد یک‌ماهه در ماه اسفند هر سال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26"/>
        <w:gridCol w:w="3341"/>
        <w:gridCol w:w="3583"/>
      </w:tblGrid>
      <w:tr>
        <w:trPr>
          <w:cantSplit/>
          <w:tblHeader/>
        </w:trPr>
        <w:tc>
          <w:tcPr>
            <w:tcW w:type="dxa" w:w="24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سال</w:t>
            </w:r>
          </w:p>
        </w:tc>
        <w:tc>
          <w:tcPr>
            <w:tcW w:type="dxa" w:w="33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تسهیلات</w:t>
            </w:r>
          </w:p>
        </w:tc>
        <w:tc>
          <w:tcPr>
            <w:tcW w:type="dxa" w:w="3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منابع ریالی</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r>
    </w:tbl>
    <w:p>
      <w:pPr>
        <w:spacing w:after="200"/>
      </w:pPr>
    </w:p>
    <w:p>
      <w:pPr>
        <w:bidi/>
        <w:spacing w:after="160" w:line="312"/>
        <w:jc w:val="left"/>
      </w:pPr>
      <w:r>
        <w:rPr>
          <w:rFonts w:ascii="Tahoma" w:cs="Tahoma" w:eastAsia="Tahoma" w:hAnsi="Tahoma"/>
          <w:sz w:val="21"/>
          <w:szCs w:val="21"/>
          <w:rtl/>
        </w:rPr>
        <w:t xml:space="preserve">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داده‌های فعلی علت این افزایش فصلی را 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pPr>
        <w:pStyle w:val="Heading2"/>
        <w:keepNext/>
        <w:bidi/>
        <w:spacing w:after="160" w:before="300"/>
        <w:jc w:val="left"/>
      </w:pPr>
      <w:bookmarkStart w:name="_Toc41" w:id="41"/>
      <w:r>
        <w:rPr>
          <w:rFonts w:ascii="Tahoma" w:cs="Tahoma" w:eastAsia="Tahoma" w:hAnsi="Tahoma"/>
          <w:b/>
          <w:bCs/>
          <w:color w:val="1F4E79"/>
          <w:sz w:val="28"/>
          <w:szCs w:val="28"/>
          <w:rtl/>
        </w:rPr>
        <w:t xml:space="preserve">۵.۳ نسبت تسهیلات به منابع</w:t>
      </w:r>
      <w:bookmarkEnd w:id="41"/>
    </w:p>
    <w:p>
      <w:pPr>
        <w:pStyle w:val="Heading3"/>
        <w:keepNext/>
        <w:bidi/>
        <w:spacing w:after="160" w:before="300"/>
        <w:jc w:val="left"/>
      </w:pPr>
      <w:r>
        <w:rPr>
          <w:rFonts w:ascii="Tahoma" w:cs="Tahoma" w:eastAsia="Tahoma" w:hAnsi="Tahoma"/>
          <w:b/>
          <w:bCs/>
          <w:color w:val="1F4E79"/>
          <w:sz w:val="24"/>
          <w:szCs w:val="24"/>
          <w:rtl/>
        </w:rPr>
        <w:t xml:space="preserve">۵.۳.۱ نسبت رسمی بانک</w:t>
      </w:r>
    </w:p>
    <w:p>
      <w:pPr>
        <w:bidi/>
        <w:spacing w:after="160" w:line="312"/>
        <w:jc w:val="left"/>
      </w:pPr>
      <w:r>
        <w:rPr>
          <w:rFonts w:ascii="Tahoma" w:cs="Tahoma" w:eastAsia="Tahoma" w:hAnsi="Tahoma"/>
          <w:sz w:val="21"/>
          <w:szCs w:val="21"/>
          <w:rtl/>
        </w:rPr>
        <w:t xml:space="preserve">نسبت تسهیلات به منابع ریالی، شاخص متعارف سنجش کفایت منابع و ریسک نقدینگی است. نمودار ۵-۱ این نسبت را در آمار رسمی بانک و در نمونه نشان می‌دهد.</w:t>
      </w:r>
    </w:p>
    <w:p>
      <w:pPr>
        <w:keepNext/>
        <w:spacing w:after="60" w:before="160"/>
        <w:jc w:val="center"/>
      </w:pPr>
      <w:r>
        <w:drawing>
          <wp:inline distT="0" distB="0" distL="0" distR="0">
            <wp:extent cx="5715000" cy="2343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۵-۱: نسبت تسهیلات به منابع ریالی در آمار رسمی بانک و در نمونه، ۰۱/۱۴۰۰ تا ۱۲/۱۴۰۴</w:t>
      </w:r>
    </w:p>
    <w:p>
      <w:pPr>
        <w:bidi/>
        <w:spacing w:after="160" w:line="312"/>
        <w:jc w:val="left"/>
      </w:pPr>
      <w:r>
        <w:rPr>
          <w:rFonts w:ascii="Tahoma" w:cs="Tahoma" w:eastAsia="Tahoma" w:hAnsi="Tahoma"/>
          <w:sz w:val="21"/>
          <w:szCs w:val="21"/>
          <w:rtl/>
        </w:rPr>
        <w:t xml:space="preserve">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 روند صعودی پایداری در نسبت دیده نمی‌شود.</w:t>
      </w:r>
    </w:p>
    <w:p>
      <w:pPr>
        <w:pStyle w:val="Heading3"/>
        <w:keepNext/>
        <w:bidi/>
        <w:spacing w:after="160" w:before="300"/>
        <w:jc w:val="left"/>
      </w:pPr>
      <w:r>
        <w:rPr>
          <w:rFonts w:ascii="Tahoma" w:cs="Tahoma" w:eastAsia="Tahoma" w:hAnsi="Tahoma"/>
          <w:b/>
          <w:bCs/>
          <w:color w:val="1F4E79"/>
          <w:sz w:val="24"/>
          <w:szCs w:val="24"/>
          <w:rtl/>
        </w:rPr>
        <w:t xml:space="preserve">۵.۳.۲ نسبت در نمونه</w:t>
      </w:r>
    </w:p>
    <w:p>
      <w:pPr>
        <w:keepNext/>
        <w:bidi/>
        <w:spacing w:after="100" w:before="200"/>
        <w:jc w:val="left"/>
      </w:pPr>
      <w:r>
        <w:rPr>
          <w:rFonts w:ascii="Tahoma" w:cs="Tahoma" w:eastAsia="Tahoma" w:hAnsi="Tahoma"/>
          <w:b/>
          <w:bCs/>
          <w:sz w:val="21"/>
          <w:szCs w:val="21"/>
          <w:rtl/>
        </w:rPr>
        <w:t xml:space="preserve">جدول ۵-۵: نسبت تسهیلات به منابع ریالی، آمار رسمی و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653"/>
        <w:gridCol w:w="1717"/>
        <w:gridCol w:w="2188"/>
        <w:gridCol w:w="2278"/>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6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رسمی</w:t>
            </w:r>
          </w:p>
        </w:tc>
        <w:tc>
          <w:tcPr>
            <w:tcW w:type="dxa" w:w="17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نمونه</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 در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 در نمونه</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۱۰۷.۸٪</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۱۱۱.۶٪</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۱۱۵.۵٪</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pPr>
        <w:pStyle w:val="Heading2"/>
        <w:keepNext/>
        <w:bidi/>
        <w:spacing w:after="160" w:before="300"/>
        <w:jc w:val="left"/>
      </w:pPr>
      <w:bookmarkStart w:name="_Toc42" w:id="42"/>
      <w:r>
        <w:rPr>
          <w:rFonts w:ascii="Tahoma" w:cs="Tahoma" w:eastAsia="Tahoma" w:hAnsi="Tahoma"/>
          <w:b/>
          <w:bCs/>
          <w:color w:val="1F4E79"/>
          <w:sz w:val="28"/>
          <w:szCs w:val="28"/>
          <w:rtl/>
        </w:rPr>
        <w:t xml:space="preserve">۵.۴ ترکیب محصولی پرتفوی</w:t>
      </w:r>
      <w:bookmarkEnd w:id="42"/>
    </w:p>
    <w:p>
      <w:pPr>
        <w:pStyle w:val="Heading3"/>
        <w:keepNext/>
        <w:bidi/>
        <w:spacing w:after="160" w:before="300"/>
        <w:jc w:val="left"/>
      </w:pPr>
      <w:r>
        <w:rPr>
          <w:rFonts w:ascii="Tahoma" w:cs="Tahoma" w:eastAsia="Tahoma" w:hAnsi="Tahoma"/>
          <w:b/>
          <w:bCs/>
          <w:color w:val="1F4E79"/>
          <w:sz w:val="24"/>
          <w:szCs w:val="24"/>
          <w:rtl/>
        </w:rPr>
        <w:t xml:space="preserve">۵.۴.۱ توزیع بر حسب نوع عقد</w:t>
      </w:r>
    </w:p>
    <w:p>
      <w:pPr>
        <w:keepNext/>
        <w:spacing w:after="60" w:before="160"/>
        <w:jc w:val="center"/>
      </w:pPr>
      <w:r>
        <w:drawing>
          <wp:inline distT="0" distB="0" distL="0" distR="0">
            <wp:extent cx="571500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۵-۲: توزیع پرتفوی تسهیلات به تفکیک نوع عقد، ۱۲/۱۴۰۴</w:t>
      </w:r>
    </w:p>
    <w:p>
      <w:pPr>
        <w:keepNext/>
        <w:bidi/>
        <w:spacing w:after="100" w:before="200"/>
        <w:jc w:val="left"/>
      </w:pPr>
      <w:r>
        <w:rPr>
          <w:rFonts w:ascii="Tahoma" w:cs="Tahoma" w:eastAsia="Tahoma" w:hAnsi="Tahoma"/>
          <w:b/>
          <w:bCs/>
          <w:sz w:val="21"/>
          <w:szCs w:val="21"/>
          <w:rtl/>
        </w:rPr>
        <w:t xml:space="preserve">جدول ۵-۶: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2"/>
        <w:gridCol w:w="2165"/>
        <w:gridCol w:w="2838"/>
        <w:gridCol w:w="1895"/>
      </w:tblGrid>
      <w:tr>
        <w:trPr>
          <w:cantSplit/>
          <w:tblHeader/>
        </w:trPr>
        <w:tc>
          <w:tcPr>
            <w:tcW w:type="dxa" w:w="24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۴۲۶,۲۳۵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۵۰.۵</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۳۹.۳۷٪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۶۳۷,۹۷۵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۲۲.۴۰٪</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۱۴,۲۲۱</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۱۹۳,۱۷۴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۳۴,۰۷۰</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۷,۳۴۴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۵,۶۰۷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۰.۵۱٪</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۳,۶۷۷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۵.۴.۲ تحلیل</w:t>
      </w:r>
    </w:p>
    <w:p>
      <w:pPr>
        <w:bidi/>
        <w:spacing w:after="160" w:line="312"/>
        <w:jc w:val="left"/>
      </w:pPr>
      <w:r>
        <w:rPr>
          <w:rFonts w:ascii="Tahoma" w:cs="Tahoma" w:eastAsia="Tahoma" w:hAnsi="Tahoma"/>
          <w:sz w:val="21"/>
          <w:szCs w:val="21"/>
          <w:rtl/>
        </w:rPr>
        <w:t xml:space="preserve">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 تکمیل رکورد این قراردادها در بخش‌های ۲.۵ و ۹.۴ درخواست شده است.</w:t>
      </w:r>
    </w:p>
    <w:p>
      <w:pPr>
        <w:bidi/>
        <w:spacing w:after="160" w:line="312"/>
        <w:jc w:val="left"/>
      </w:pPr>
      <w:r>
        <w:rPr>
          <w:rFonts w:ascii="Tahoma" w:cs="Tahoma" w:eastAsia="Tahoma" w:hAnsi="Tahoma"/>
          <w:sz w:val="21"/>
          <w:szCs w:val="21"/>
          <w:rtl/>
        </w:rPr>
        <w:t xml:space="preserve">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p>
    <w:p>
      <w:pPr>
        <w:pStyle w:val="Heading2"/>
        <w:keepNext/>
        <w:bidi/>
        <w:spacing w:after="160" w:before="300"/>
        <w:jc w:val="left"/>
      </w:pPr>
      <w:bookmarkStart w:name="_Toc43" w:id="43"/>
      <w:r>
        <w:rPr>
          <w:rFonts w:ascii="Tahoma" w:cs="Tahoma" w:eastAsia="Tahoma" w:hAnsi="Tahoma"/>
          <w:b/>
          <w:bCs/>
          <w:color w:val="1F4E79"/>
          <w:sz w:val="28"/>
          <w:szCs w:val="28"/>
          <w:rtl/>
        </w:rPr>
        <w:t xml:space="preserve">۵.۵ ترکیب بخش اقتصادی</w:t>
      </w:r>
      <w:bookmarkEnd w:id="43"/>
    </w:p>
    <w:p>
      <w:pPr>
        <w:pStyle w:val="Heading3"/>
        <w:keepNext/>
        <w:bidi/>
        <w:spacing w:after="160" w:before="300"/>
        <w:jc w:val="left"/>
      </w:pPr>
      <w:r>
        <w:rPr>
          <w:rFonts w:ascii="Tahoma" w:cs="Tahoma" w:eastAsia="Tahoma" w:hAnsi="Tahoma"/>
          <w:b/>
          <w:bCs/>
          <w:color w:val="1F4E79"/>
          <w:sz w:val="24"/>
          <w:szCs w:val="24"/>
          <w:rtl/>
        </w:rPr>
        <w:t xml:space="preserve">۵.۵.۱ توزیع</w:t>
      </w:r>
    </w:p>
    <w:p>
      <w:pPr>
        <w:bidi/>
        <w:spacing w:after="160" w:line="312"/>
        <w:jc w:val="left"/>
      </w:pPr>
      <w:r>
        <w:rPr>
          <w:rFonts w:ascii="Tahoma" w:cs="Tahoma" w:eastAsia="Tahoma" w:hAnsi="Tahoma"/>
          <w:sz w:val="21"/>
          <w:szCs w:val="21"/>
          <w:rtl/>
        </w:rPr>
        <w:t xml:space="preserve">بخش اقتصادی در جدول مانده‌ی تسهیلات ثبت شده است (جدول ۵-۷ و نمودار ۵-۳)؛ اعتبارات اسنادی در این جدول به‌عنوان یکی از بخش‌ها ثبت شده است (تعریف آن در بخش‌های ۶.۴.۴ و ۹.۵ پرسیده شده است). این تحلیل برخلاف تحلیل نوع عقد، ۱۰۰ درصد پرتفوی را پوشش می‌دهد و ارقام آن بر ارقام دیگر بخش‌های این فصل ترجیح دارد.</w:t>
      </w:r>
    </w:p>
    <w:p>
      <w:pPr>
        <w:keepNext/>
        <w:spacing w:after="60" w:before="160"/>
        <w:jc w:val="center"/>
      </w:pPr>
      <w:r>
        <w:drawing>
          <wp:inline distT="0" distB="0" distL="0" distR="0">
            <wp:extent cx="5715000" cy="2247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۵-۳: توزیع مانده و مطالبات غیرجاری به تفکیک بخش اقتصادی، ۱۲/۱۴۰۴</w:t>
      </w:r>
    </w:p>
    <w:p>
      <w:pPr>
        <w:keepNext/>
        <w:bidi/>
        <w:spacing w:after="100" w:before="200"/>
        <w:jc w:val="left"/>
      </w:pPr>
      <w:r>
        <w:rPr>
          <w:rFonts w:ascii="Tahoma" w:cs="Tahoma" w:eastAsia="Tahoma" w:hAnsi="Tahoma"/>
          <w:b/>
          <w:bCs/>
          <w:sz w:val="21"/>
          <w:szCs w:val="21"/>
          <w:rtl/>
        </w:rPr>
        <w:t xml:space="preserve">جدول ۵-۷: ترکیب پرتفوی به تفکیک بخش اقتصادی (مبنای الف،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۵.۵.۲ تحلیل</w:t>
      </w:r>
    </w:p>
    <w:p>
      <w:pPr>
        <w:bidi/>
        <w:spacing w:after="160" w:line="312"/>
        <w:jc w:val="left"/>
      </w:pPr>
      <w:r>
        <w:rPr>
          <w:rFonts w:ascii="Tahoma" w:cs="Tahoma" w:eastAsia="Tahoma" w:hAnsi="Tahoma"/>
          <w:sz w:val="21"/>
          <w:szCs w:val="21"/>
          <w:rtl/>
        </w:rPr>
        <w:t xml:space="preserve">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pPr>
        <w:bidi/>
        <w:spacing w:after="160" w:line="312"/>
        <w:jc w:val="left"/>
      </w:pPr>
      <w:r>
        <w:rPr>
          <w:rFonts w:ascii="Tahoma" w:cs="Tahoma" w:eastAsia="Tahoma" w:hAnsi="Tahoma"/>
          <w:sz w:val="21"/>
          <w:szCs w:val="21"/>
          <w:rtl/>
        </w:rPr>
        <w:t xml:space="preserve">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pPr>
        <w:keepNext/>
        <w:bidi/>
        <w:spacing w:after="100" w:before="200"/>
        <w:jc w:val="left"/>
      </w:pPr>
      <w:r>
        <w:rPr>
          <w:rFonts w:ascii="Tahoma" w:cs="Tahoma" w:eastAsia="Tahoma" w:hAnsi="Tahoma"/>
          <w:b/>
          <w:bCs/>
          <w:sz w:val="21"/>
          <w:szCs w:val="21"/>
          <w:rtl/>
        </w:rPr>
        <w:t xml:space="preserve">جدول ۵-۸: سهم هر بخش اقتصادی از مانده‌ی پرتفوی و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۰.۸۱٪</w:t>
            </w:r>
          </w:p>
        </w:tc>
      </w:tr>
    </w:tbl>
    <w:p>
      <w:pPr>
        <w:spacing w:after="200"/>
      </w:pPr>
    </w:p>
    <w:p>
      <w:pPr>
        <w:bidi/>
        <w:spacing w:after="160" w:line="312"/>
        <w:jc w:val="left"/>
      </w:pPr>
      <w:r>
        <w:rPr>
          <w:rFonts w:ascii="Tahoma" w:cs="Tahoma" w:eastAsia="Tahoma" w:hAnsi="Tahoma"/>
          <w:sz w:val="21"/>
          <w:szCs w:val="21"/>
          <w:rtl/>
        </w:rPr>
        <w:t xml:space="preserve">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pPr>
        <w:pStyle w:val="Heading2"/>
        <w:keepNext/>
        <w:bidi/>
        <w:spacing w:after="160" w:before="300"/>
        <w:jc w:val="left"/>
      </w:pPr>
      <w:bookmarkStart w:name="_Toc44" w:id="44"/>
      <w:r>
        <w:rPr>
          <w:rFonts w:ascii="Tahoma" w:cs="Tahoma" w:eastAsia="Tahoma" w:hAnsi="Tahoma"/>
          <w:b/>
          <w:bCs/>
          <w:color w:val="1F4E79"/>
          <w:sz w:val="28"/>
          <w:szCs w:val="28"/>
          <w:rtl/>
        </w:rPr>
        <w:t xml:space="preserve">۵.۶ توزیع اندازه‌ی تسهیلات</w:t>
      </w:r>
      <w:bookmarkEnd w:id="44"/>
    </w:p>
    <w:p>
      <w:pPr>
        <w:keepNext/>
        <w:spacing w:after="60" w:before="160"/>
        <w:jc w:val="center"/>
      </w:pPr>
      <w:r>
        <w:drawing>
          <wp:inline distT="0" distB="0" distL="0" distR="0">
            <wp:extent cx="5715000" cy="2466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۵-۴: توزیع تسهیلات بر اساس مبلغ اعطاشده</w:t>
      </w:r>
    </w:p>
    <w:p>
      <w:pPr>
        <w:keepNext/>
        <w:bidi/>
        <w:spacing w:after="100" w:before="200"/>
        <w:jc w:val="left"/>
      </w:pPr>
      <w:r>
        <w:rPr>
          <w:rFonts w:ascii="Tahoma" w:cs="Tahoma" w:eastAsia="Tahoma" w:hAnsi="Tahoma"/>
          <w:b/>
          <w:bCs/>
          <w:sz w:val="21"/>
          <w:szCs w:val="21"/>
          <w:rtl/>
        </w:rPr>
        <w:t xml:space="preserve">جدول ۵-۹: توزیع قراردادها بر حسب مبلغ اعطاشده (مبنای اعطا،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bl>
    <w:p>
      <w:pPr>
        <w:spacing w:after="200"/>
      </w:pPr>
    </w:p>
    <w:p>
      <w:pPr>
        <w:bidi/>
        <w:spacing w:after="160" w:line="312"/>
        <w:jc w:val="left"/>
      </w:pPr>
      <w:r>
        <w:rPr>
          <w:rFonts w:ascii="Tahoma" w:cs="Tahoma" w:eastAsia="Tahoma" w:hAnsi="Tahoma"/>
          <w:sz w:val="21"/>
          <w:szCs w:val="21"/>
          <w:rtl/>
        </w:rPr>
        <w:t xml:space="preserve">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pPr>
        <w:bidi/>
        <w:spacing w:after="160" w:line="312"/>
        <w:jc w:val="left"/>
      </w:pPr>
      <w:r>
        <w:rPr>
          <w:rFonts w:ascii="Tahoma" w:cs="Tahoma" w:eastAsia="Tahoma" w:hAnsi="Tahoma"/>
          <w:sz w:val="21"/>
          <w:szCs w:val="21"/>
          <w:rtl/>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سنجش کمّی این ساختار به داده‌ی سررسید سپرده نیاز دارد که در بخش ۹.۴ درخواست شده است. ارقام این جدول بر مبنای مبلغ اعطا هستند؛ توزیع مانده‌ی مطالبات غیرجاری به تفکیک اندازه در بخش ۶.۵ آمده است.</w:t>
      </w:r>
    </w:p>
    <w:p>
      <w:pPr>
        <w:pStyle w:val="Heading2"/>
        <w:keepNext/>
        <w:bidi/>
        <w:spacing w:after="160" w:before="300"/>
        <w:jc w:val="left"/>
      </w:pPr>
      <w:bookmarkStart w:name="_Toc45" w:id="45"/>
      <w:r>
        <w:rPr>
          <w:rFonts w:ascii="Tahoma" w:cs="Tahoma" w:eastAsia="Tahoma" w:hAnsi="Tahoma"/>
          <w:b/>
          <w:bCs/>
          <w:color w:val="1F4E79"/>
          <w:sz w:val="28"/>
          <w:szCs w:val="28"/>
          <w:rtl/>
        </w:rPr>
        <w:t xml:space="preserve">۵.۷ پروفایل سررسید</w:t>
      </w:r>
      <w:bookmarkEnd w:id="45"/>
    </w:p>
    <w:p>
      <w:pPr>
        <w:bidi/>
        <w:spacing w:after="160" w:line="312"/>
        <w:jc w:val="left"/>
      </w:pPr>
      <w:r>
        <w:rPr>
          <w:rFonts w:ascii="Tahoma" w:cs="Tahoma" w:eastAsia="Tahoma" w:hAnsi="Tahoma"/>
          <w:sz w:val="21"/>
          <w:szCs w:val="21"/>
          <w:rtl/>
        </w:rPr>
        <w:t xml:space="preserve">تحلیل سررسید به تاریخ اعطا و مدت قرارداد نیاز دارد که برای بخشی از پرتفوی در دسترس است؛ جدول ۵-۱۰ دامنه‌ی پوشش آن را نشان می‌دهد.</w:t>
      </w:r>
    </w:p>
    <w:p>
      <w:pPr>
        <w:keepNext/>
        <w:bidi/>
        <w:spacing w:after="100" w:before="200"/>
        <w:jc w:val="left"/>
      </w:pPr>
      <w:r>
        <w:rPr>
          <w:rFonts w:ascii="Tahoma" w:cs="Tahoma" w:eastAsia="Tahoma" w:hAnsi="Tahoma"/>
          <w:b/>
          <w:bCs/>
          <w:sz w:val="21"/>
          <w:szCs w:val="21"/>
          <w:rtl/>
        </w:rPr>
        <w:t xml:space="preserve">جدول ۵-۱۰: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۷۶.۸۴٪ از الف</w:t>
            </w:r>
          </w:p>
        </w:tc>
      </w:tr>
    </w:tbl>
    <w:p>
      <w:pPr>
        <w:spacing w:after="200"/>
      </w:pPr>
    </w:p>
    <w:p>
      <w:pPr>
        <w:bidi/>
        <w:spacing w:after="160" w:line="312"/>
        <w:jc w:val="left"/>
      </w:pPr>
      <w:r>
        <w:rPr>
          <w:rFonts w:ascii="Tahoma" w:cs="Tahoma" w:eastAsia="Tahoma" w:hAnsi="Tahoma"/>
          <w:sz w:val="21"/>
          <w:szCs w:val="21"/>
          <w:rtl/>
        </w:rPr>
        <w:t xml:space="preserve">پوشش تعدادی ۶۷.۴ درصد است، اما پوشش ارزشی ۹۹.۰۲ درصد پرتفوی دارای رکورد را شامل می‌شود؛ قراردادهای فاقد داده‌ی سررسید عمدتاً خرد هستند.</w:t>
      </w:r>
    </w:p>
    <w:p>
      <w:pPr>
        <w:keepNext/>
        <w:spacing w:after="60" w:before="160"/>
        <w:jc w:val="center"/>
      </w:pPr>
      <w:r>
        <w:drawing>
          <wp:inline distT="0" distB="0" distL="0" distR="0">
            <wp:extent cx="5715000" cy="2466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۵-۵: پروفایل سررسید پرتفوی تسهیلات بر حسب عمر باقی‌مانده</w:t>
      </w:r>
    </w:p>
    <w:p>
      <w:pPr>
        <w:keepNext/>
        <w:bidi/>
        <w:spacing w:after="100" w:before="200"/>
        <w:jc w:val="left"/>
      </w:pPr>
      <w:r>
        <w:rPr>
          <w:rFonts w:ascii="Tahoma" w:cs="Tahoma" w:eastAsia="Tahoma" w:hAnsi="Tahoma"/>
          <w:b/>
          <w:bCs/>
          <w:sz w:val="21"/>
          <w:szCs w:val="21"/>
          <w:rtl/>
        </w:rPr>
        <w:t xml:space="preserve">جدول ۵-۱۱: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pPr>
        <w:bidi/>
        <w:spacing w:after="160" w:line="312"/>
        <w:jc w:val="left"/>
      </w:pPr>
      <w:r>
        <w:rPr>
          <w:rFonts w:ascii="Tahoma" w:cs="Tahoma" w:eastAsia="Tahoma" w:hAnsi="Tahoma"/>
          <w:sz w:val="21"/>
          <w:szCs w:val="21"/>
          <w:rtl/>
        </w:rPr>
        <w:t xml:space="preserve">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 تطابق سررسید منابع و مصارف با داده‌ی سررسید سپرده بررسی می‌شود (بخش ۹.۴).</w:t>
      </w:r>
    </w:p>
    <w:p>
      <w:pPr>
        <w:pStyle w:val="Heading2"/>
        <w:keepNext/>
        <w:bidi/>
        <w:spacing w:after="160" w:before="300"/>
        <w:jc w:val="left"/>
      </w:pPr>
      <w:bookmarkStart w:name="_Toc46" w:id="46"/>
      <w:r>
        <w:rPr>
          <w:rFonts w:ascii="Tahoma" w:cs="Tahoma" w:eastAsia="Tahoma" w:hAnsi="Tahoma"/>
          <w:b/>
          <w:bCs/>
          <w:color w:val="1F4E79"/>
          <w:sz w:val="28"/>
          <w:szCs w:val="28"/>
          <w:rtl/>
        </w:rPr>
        <w:t xml:space="preserve">۵.۸ نرخ سود مؤثر قراردادی</w:t>
      </w:r>
      <w:bookmarkEnd w:id="46"/>
    </w:p>
    <w:p>
      <w:pPr>
        <w:bidi/>
        <w:spacing w:after="160" w:line="312"/>
        <w:jc w:val="left"/>
      </w:pPr>
      <w:r>
        <w:rPr>
          <w:rFonts w:ascii="Tahoma" w:cs="Tahoma" w:eastAsia="Tahoma" w:hAnsi="Tahoma"/>
          <w:sz w:val="21"/>
          <w:szCs w:val="21"/>
          <w:rtl/>
        </w:rPr>
        <w:t xml:space="preserve">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pPr>
        <w:keepNext/>
        <w:spacing w:after="60" w:before="160"/>
        <w:jc w:val="center"/>
      </w:pPr>
      <w:r>
        <w:drawing>
          <wp:inline distT="0" distB="0" distL="0" distR="0">
            <wp:extent cx="5715000" cy="2466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۵-۶: نرخ سود مؤثر قراردادی تسهیلات به تفکیک نوع عقد (وزن مانده‌ی ۱۲/۱۴۰۴)</w:t>
      </w:r>
    </w:p>
    <w:p>
      <w:pPr>
        <w:keepNext/>
        <w:bidi/>
        <w:spacing w:after="100" w:before="200"/>
        <w:jc w:val="left"/>
      </w:pPr>
      <w:r>
        <w:rPr>
          <w:rFonts w:ascii="Tahoma" w:cs="Tahoma" w:eastAsia="Tahoma" w:hAnsi="Tahoma"/>
          <w:b/>
          <w:bCs/>
          <w:sz w:val="21"/>
          <w:szCs w:val="21"/>
          <w:rtl/>
        </w:rPr>
        <w:t xml:space="preserve">جدول ۵-۱۲: نرخ سود مؤثر قراردادی به تفکیک نوع عقد (قراردادهای دارای رکورد، وزن مانده‌ی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2"/>
        <w:gridCol w:w="2561"/>
        <w:gridCol w:w="2561"/>
        <w:gridCol w:w="2166"/>
      </w:tblGrid>
      <w:tr>
        <w:trPr>
          <w:cantSplit/>
          <w:tblHeader/>
        </w:trPr>
        <w:tc>
          <w:tcPr>
            <w:tcW w:type="dxa" w:w="2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دارای رکورد</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قراردادی</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۲۲.۷۷٪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۲۲.۰۲٪</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۲۱.۲۷٪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۱۶.۹۱٪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۱۵.۳۷٪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۳.۹۹٪</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۱۷.۰۸٪</w:t>
            </w:r>
          </w:p>
        </w:tc>
      </w:tr>
    </w:tbl>
    <w:p>
      <w:pPr>
        <w:spacing w:after="200"/>
      </w:pPr>
    </w:p>
    <w:p>
      <w:pPr>
        <w:bidi/>
        <w:spacing w:after="160" w:line="312"/>
        <w:jc w:val="left"/>
      </w:pPr>
      <w:r>
        <w:rPr>
          <w:rFonts w:ascii="Tahoma" w:cs="Tahoma" w:eastAsia="Tahoma" w:hAnsi="Tahoma"/>
          <w:sz w:val="21"/>
          <w:szCs w:val="21"/>
          <w:rtl/>
        </w:rPr>
        <w:t xml:space="preserve">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pPr>
        <w:bidi/>
        <w:spacing w:after="160" w:line="312"/>
        <w:jc w:val="left"/>
      </w:pPr>
      <w:r>
        <w:rPr>
          <w:rFonts w:ascii="Tahoma" w:cs="Tahoma" w:eastAsia="Tahoma" w:hAnsi="Tahoma"/>
          <w:sz w:val="21"/>
          <w:szCs w:val="21"/>
          <w:rtl/>
        </w:rPr>
        <w:t xml:space="preserve">به‌جز قرض‌الحسنه،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p>
    <w:p>
      <w:pPr>
        <w:pStyle w:val="Heading2"/>
        <w:keepNext/>
        <w:bidi/>
        <w:spacing w:after="160" w:before="300"/>
        <w:jc w:val="left"/>
      </w:pPr>
      <w:bookmarkStart w:name="_Toc47" w:id="47"/>
      <w:r>
        <w:rPr>
          <w:rFonts w:ascii="Tahoma" w:cs="Tahoma" w:eastAsia="Tahoma" w:hAnsi="Tahoma"/>
          <w:b/>
          <w:bCs/>
          <w:color w:val="1F4E79"/>
          <w:sz w:val="28"/>
          <w:szCs w:val="28"/>
          <w:rtl/>
        </w:rPr>
        <w:t xml:space="preserve">۵.۹ پوشش وثیقه</w:t>
      </w:r>
      <w:bookmarkEnd w:id="47"/>
    </w:p>
    <w:p>
      <w:pPr>
        <w:bidi/>
        <w:spacing w:after="160" w:line="312"/>
        <w:jc w:val="left"/>
      </w:pPr>
      <w:r>
        <w:rPr>
          <w:rFonts w:ascii="Tahoma" w:cs="Tahoma" w:eastAsia="Tahoma" w:hAnsi="Tahoma"/>
          <w:sz w:val="21"/>
          <w:szCs w:val="21"/>
          <w:rtl/>
        </w:rPr>
        <w:t xml:space="preserve">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pPr>
        <w:pStyle w:val="Heading3"/>
        <w:keepNext/>
        <w:bidi/>
        <w:spacing w:after="160" w:before="300"/>
        <w:jc w:val="left"/>
      </w:pPr>
      <w:r>
        <w:rPr>
          <w:rFonts w:ascii="Tahoma" w:cs="Tahoma" w:eastAsia="Tahoma" w:hAnsi="Tahoma"/>
          <w:b/>
          <w:bCs/>
          <w:color w:val="1F4E79"/>
          <w:sz w:val="24"/>
          <w:szCs w:val="24"/>
          <w:rtl/>
        </w:rPr>
        <w:t xml:space="preserve">۵.۹.۱ به تفکیک نوع عقد</w:t>
      </w:r>
    </w:p>
    <w:p>
      <w:pPr>
        <w:keepNext/>
        <w:spacing w:after="60" w:before="160"/>
        <w:jc w:val="center"/>
      </w:pPr>
      <w:r>
        <w:drawing>
          <wp:inline distT="0" distB="0" distL="0" distR="0">
            <wp:extent cx="57150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۵-۷: نسبت پوشش وثیقه به تفکیک نوع عقد</w:t>
      </w:r>
    </w:p>
    <w:p>
      <w:pPr>
        <w:keepNext/>
        <w:bidi/>
        <w:spacing w:after="100" w:before="200"/>
        <w:jc w:val="left"/>
      </w:pPr>
      <w:r>
        <w:rPr>
          <w:rFonts w:ascii="Tahoma" w:cs="Tahoma" w:eastAsia="Tahoma" w:hAnsi="Tahoma"/>
          <w:b/>
          <w:bCs/>
          <w:sz w:val="21"/>
          <w:szCs w:val="21"/>
          <w:rtl/>
        </w:rPr>
        <w:t xml:space="preserve">جدول ۵-۱۳: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3"/>
        <w:gridCol w:w="2824"/>
        <w:gridCol w:w="2753"/>
        <w:gridCol w:w="1710"/>
      </w:tblGrid>
      <w:tr>
        <w:trPr>
          <w:cantSplit/>
          <w:tblHeader/>
        </w:trPr>
        <w:tc>
          <w:tcPr>
            <w:tcW w:type="dxa" w:w="20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8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ارزش وثیقه (هزار میلیارد تومان)</w:t>
            </w:r>
          </w:p>
        </w:tc>
        <w:tc>
          <w:tcPr>
            <w:tcW w:type="dxa" w:w="17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۱۶۱.۱۹٪</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۱۲۰.۱۴٪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۱۱۸.۴۱٪</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۱۱۷.۴۷٪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۱۳.۵</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۱۰۴.۹۰٪</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۱۰۲.۹۵٪</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۸۰.۸۷٪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۲۳۸.۱</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۱۱۵.۷۵٪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۵.۹.۲ به تفکیک بخش اقتصادی</w:t>
      </w:r>
    </w:p>
    <w:p>
      <w:pPr>
        <w:keepNext/>
        <w:spacing w:after="60" w:before="160"/>
        <w:jc w:val="center"/>
      </w:pPr>
      <w:r>
        <w:drawing>
          <wp:inline distT="0" distB="0" distL="0" distR="0">
            <wp:extent cx="5715000" cy="24669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۵-۸: نسبت پوشش وثیقه به تفکیک بخش اقتصادی</w:t>
      </w:r>
    </w:p>
    <w:p>
      <w:pPr>
        <w:keepNext/>
        <w:bidi/>
        <w:spacing w:after="100" w:before="200"/>
        <w:jc w:val="left"/>
      </w:pPr>
      <w:r>
        <w:rPr>
          <w:rFonts w:ascii="Tahoma" w:cs="Tahoma" w:eastAsia="Tahoma" w:hAnsi="Tahoma"/>
          <w:b/>
          <w:bCs/>
          <w:sz w:val="21"/>
          <w:szCs w:val="21"/>
          <w:rtl/>
        </w:rPr>
        <w:t xml:space="preserve">جدول ۵-۱۴: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۷۹.۳۰٪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۵.۹.۳ تحلیل</w:t>
      </w:r>
    </w:p>
    <w:p>
      <w:pPr>
        <w:bidi/>
        <w:spacing w:after="160" w:line="312"/>
        <w:jc w:val="left"/>
      </w:pPr>
      <w:r>
        <w:rPr>
          <w:rFonts w:ascii="Tahoma" w:cs="Tahoma" w:eastAsia="Tahoma" w:hAnsi="Tahoma"/>
          <w:sz w:val="21"/>
          <w:szCs w:val="21"/>
          <w:rtl/>
        </w:rPr>
        <w:t xml:space="preserve">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pPr>
        <w:bidi/>
        <w:spacing w:after="160" w:line="312"/>
        <w:jc w:val="left"/>
      </w:pPr>
      <w:r>
        <w:rPr>
          <w:rFonts w:ascii="Tahoma" w:cs="Tahoma" w:eastAsia="Tahoma" w:hAnsi="Tahoma"/>
          <w:sz w:val="21"/>
          <w:szCs w:val="21"/>
          <w:rtl/>
        </w:rPr>
        <w:t xml:space="preserve">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pPr>
        <w:pStyle w:val="Heading2"/>
        <w:keepNext/>
        <w:bidi/>
        <w:spacing w:after="160" w:before="300"/>
        <w:jc w:val="left"/>
      </w:pPr>
      <w:bookmarkStart w:name="_Toc48" w:id="48"/>
      <w:r>
        <w:rPr>
          <w:rFonts w:ascii="Tahoma" w:cs="Tahoma" w:eastAsia="Tahoma" w:hAnsi="Tahoma"/>
          <w:b/>
          <w:bCs/>
          <w:color w:val="1F4E79"/>
          <w:sz w:val="28"/>
          <w:szCs w:val="28"/>
          <w:rtl/>
        </w:rPr>
        <w:t xml:space="preserve">۵.۱۰ جمع‌بندی فصل</w:t>
      </w:r>
      <w:bookmarkEnd w:id="48"/>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رشد تسهیلات و منابع در آمار رسمی نزدیک به هم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ماه اسفند اوج فصلی رشد است: میانگین رشد یک‌ماهه‌ی تسهیلات در اسفند ۶.۲ درصد و در دیگر ماه‌ها حدود ۲.۵ درصد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توزیع اندازه نامتقارن است: ۱.۱ درصد قراردادها ۴۰.۵۵ درصد مبلغ اعطا را دارند. ۴۲.۸۵ درصد مانده ظرف یک سال و ۳۱.۴۰ درصد بیش از سه سال سررسید دارد.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اعتبارات اسنادی با ۴.۲۲ درصد پرتفوی ۴۰.۴۴ درصد کل مطالبات غیرجاری را دارد و در فصل ۶ بررسی می‌شود.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تحلیل‌های نوع عقد، سررسید، نرخ و وثیقه بر ۷۷.۶ درصد پرتفوی متکی‌اند؛ تحلیل بخش اقتصادی ۱۰۰ درصد پرتفوی را پوشش می‌دهد.</w:t>
      </w:r>
    </w:p>
    <w:p>
      <w:pPr>
        <w:pBdr>
          <w:bottom w:val="single" w:color="BBBBBB" w:sz="6"/>
        </w:pBdr>
        <w:spacing w:after="100" w:before="100"/>
      </w:pPr>
    </w:p>
    <w:p>
      <w:pPr>
        <w:pStyle w:val="Heading1"/>
        <w:keepNext/>
        <w:pageBreakBefore/>
        <w:bidi/>
        <w:spacing w:after="160" w:before="0"/>
        <w:jc w:val="left"/>
      </w:pPr>
      <w:bookmarkStart w:name="_Toc49" w:id="49"/>
      <w:r>
        <w:rPr>
          <w:rFonts w:ascii="Tahoma" w:cs="Tahoma" w:eastAsia="Tahoma" w:hAnsi="Tahoma"/>
          <w:b/>
          <w:bCs/>
          <w:color w:val="1F4E79"/>
          <w:sz w:val="34"/>
          <w:szCs w:val="34"/>
          <w:rtl/>
        </w:rPr>
        <w:t xml:space="preserve">فصل ۶: کیفیت دارایی، ریسک اعتباری و تمرکز</w:t>
      </w:r>
      <w:bookmarkEnd w:id="49"/>
    </w:p>
    <w:p>
      <w:pPr>
        <w:pStyle w:val="Heading2"/>
        <w:keepNext/>
        <w:bidi/>
        <w:spacing w:after="160" w:before="300"/>
        <w:jc w:val="left"/>
      </w:pPr>
      <w:bookmarkStart w:name="_Toc50" w:id="50"/>
      <w:r>
        <w:rPr>
          <w:rFonts w:ascii="Tahoma" w:cs="Tahoma" w:eastAsia="Tahoma" w:hAnsi="Tahoma"/>
          <w:b/>
          <w:bCs/>
          <w:color w:val="1F4E79"/>
          <w:sz w:val="28"/>
          <w:szCs w:val="28"/>
          <w:rtl/>
        </w:rPr>
        <w:t xml:space="preserve">۶.۱ هدف و ساختار فصل</w:t>
      </w:r>
      <w:bookmarkEnd w:id="50"/>
    </w:p>
    <w:p>
      <w:pPr>
        <w:bidi/>
        <w:spacing w:after="160" w:line="312"/>
        <w:jc w:val="left"/>
      </w:pPr>
      <w:r>
        <w:rPr>
          <w:rFonts w:ascii="Tahoma" w:cs="Tahoma" w:eastAsia="Tahoma" w:hAnsi="Tahoma"/>
          <w:sz w:val="21"/>
          <w:szCs w:val="21"/>
          <w:rtl/>
        </w:rPr>
        <w:t xml:space="preserve">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pPr>
        <w:bidi/>
        <w:spacing w:after="160" w:line="312"/>
        <w:jc w:val="left"/>
      </w:pPr>
      <w:r>
        <w:rPr>
          <w:rFonts w:ascii="Tahoma" w:cs="Tahoma" w:eastAsia="Tahoma" w:hAnsi="Tahoma"/>
          <w:sz w:val="21"/>
          <w:szCs w:val="21"/>
          <w:rtl/>
        </w:rPr>
        <w:t xml:space="preserve">فصل در چهار گروه تحلیل پیش می‌رود: تصویر کلان (بخش‌های ۶.۲ و ۶.۳)، منابع ریسک (بخش‌های ۶.۴ تا ۶.۷)، شاخص‌های پیش‌نگر (بخش‌های ۶.۸ و ۶.۹) و تمرکز (بخش‌های ۶.۱۰ و ۶.۱۱).</w:t>
      </w:r>
    </w:p>
    <w:p>
      <w:pPr>
        <w:bidi/>
        <w:spacing w:after="160" w:line="312"/>
        <w:jc w:val="left"/>
      </w:pPr>
      <w:r>
        <w:rPr>
          <w:rFonts w:ascii="Tahoma" w:cs="Tahoma" w:eastAsia="Tahoma" w:hAnsi="Tahoma"/>
          <w:sz w:val="21"/>
          <w:szCs w:val="21"/>
          <w:rtl/>
        </w:rPr>
        <w:t xml:space="preserve">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۵۸ ماه قابل مقایسه همبستگی ۰.۹۶ دارند (بخش ۲.۴.۵). همه‌ی مبالغ این فصل بر حسب هزار میلیارد تومان است.</w:t>
      </w:r>
    </w:p>
    <w:p>
      <w:pPr>
        <w:pStyle w:val="Heading2"/>
        <w:keepNext/>
        <w:bidi/>
        <w:spacing w:after="160" w:before="300"/>
        <w:jc w:val="left"/>
      </w:pPr>
      <w:bookmarkStart w:name="_Toc51" w:id="51"/>
      <w:r>
        <w:rPr>
          <w:rFonts w:ascii="Tahoma" w:cs="Tahoma" w:eastAsia="Tahoma" w:hAnsi="Tahoma"/>
          <w:b/>
          <w:bCs/>
          <w:color w:val="1F4E79"/>
          <w:sz w:val="28"/>
          <w:szCs w:val="28"/>
          <w:rtl/>
        </w:rPr>
        <w:t xml:space="preserve">۶.۲ روند طبقه‌بندی مطالبات</w:t>
      </w:r>
      <w:bookmarkEnd w:id="51"/>
    </w:p>
    <w:p>
      <w:pPr>
        <w:pStyle w:val="Heading3"/>
        <w:keepNext/>
        <w:bidi/>
        <w:spacing w:after="160" w:before="300"/>
        <w:jc w:val="left"/>
      </w:pPr>
      <w:r>
        <w:rPr>
          <w:rFonts w:ascii="Tahoma" w:cs="Tahoma" w:eastAsia="Tahoma" w:hAnsi="Tahoma"/>
          <w:b/>
          <w:bCs/>
          <w:color w:val="1F4E79"/>
          <w:sz w:val="24"/>
          <w:szCs w:val="24"/>
          <w:rtl/>
        </w:rPr>
        <w:t xml:space="preserve">۶.۲.۱ سری زمانی</w:t>
      </w:r>
    </w:p>
    <w:p>
      <w:pPr>
        <w:keepNext/>
        <w:spacing w:after="60" w:before="160"/>
        <w:jc w:val="center"/>
      </w:pPr>
      <w:r>
        <w:drawing>
          <wp:inline distT="0" distB="0" distL="0" distR="0">
            <wp:extent cx="5715000" cy="2152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 روند طبقه‌بندی مانده‌ی تسهیلات نمونه، ۰۱/۱۴۰۰ تا ۱۲/۱۴۰۴</w:t>
      </w:r>
    </w:p>
    <w:p>
      <w:pPr>
        <w:keepNext/>
        <w:bidi/>
        <w:spacing w:after="100" w:before="200"/>
        <w:jc w:val="left"/>
      </w:pPr>
      <w:r>
        <w:rPr>
          <w:rFonts w:ascii="Tahoma" w:cs="Tahoma" w:eastAsia="Tahoma" w:hAnsi="Tahoma"/>
          <w:b/>
          <w:bCs/>
          <w:sz w:val="21"/>
          <w:szCs w:val="21"/>
          <w:rtl/>
        </w:rPr>
        <w:t xml:space="preserve">جدول ۶-۱: طبقه‌بندی مطالبات در مقاطع منتخب (مبنای الف،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7"/>
        <w:gridCol w:w="1174"/>
        <w:gridCol w:w="1453"/>
        <w:gridCol w:w="1029"/>
        <w:gridCol w:w="1500"/>
        <w:gridCol w:w="1453"/>
        <w:gridCol w:w="1504"/>
      </w:tblGrid>
      <w:tr>
        <w:trPr>
          <w:cantSplit/>
          <w:tblHeader/>
        </w:trPr>
        <w:tc>
          <w:tcPr>
            <w:tcW w:type="dxa" w:w="12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1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سررسیدگذشته</w:t>
            </w:r>
          </w:p>
        </w:tc>
        <w:tc>
          <w:tcPr>
            <w:tcW w:type="dxa" w:w="10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c>
          <w:tcPr>
            <w:tcW w:type="dxa" w:w="15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۳۰.۷۱</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۴۱.۰۴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۰.۴۴</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۲.۹۶٪</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۵۹.۱۶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۱.۷۳</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۸۴.۴۳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۴.۹۳٪</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۶.۲.۲ تحلیل</w:t>
      </w:r>
    </w:p>
    <w:p>
      <w:pPr>
        <w:bidi/>
        <w:spacing w:after="160" w:line="312"/>
        <w:jc w:val="left"/>
      </w:pPr>
      <w:r>
        <w:rPr>
          <w:rFonts w:ascii="Tahoma" w:cs="Tahoma" w:eastAsia="Tahoma" w:hAnsi="Tahoma"/>
          <w:sz w:val="21"/>
          <w:szCs w:val="21"/>
          <w:rtl/>
        </w:rPr>
        <w:t xml:space="preserve">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pPr>
        <w:bidi/>
        <w:spacing w:after="160" w:line="312"/>
        <w:jc w:val="left"/>
      </w:pPr>
      <w:r>
        <w:rPr>
          <w:rFonts w:ascii="Tahoma" w:cs="Tahoma" w:eastAsia="Tahoma" w:hAnsi="Tahoma"/>
          <w:sz w:val="21"/>
          <w:szCs w:val="21"/>
          <w:rtl/>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p>
    <w:p>
      <w:pPr>
        <w:bidi/>
        <w:spacing w:after="160" w:line="312"/>
        <w:jc w:val="left"/>
      </w:pPr>
      <w:r>
        <w:rPr>
          <w:rFonts w:ascii="Tahoma" w:cs="Tahoma" w:eastAsia="Tahoma" w:hAnsi="Tahoma"/>
          <w:sz w:val="21"/>
          <w:szCs w:val="21"/>
          <w:rtl/>
        </w:rPr>
        <w:t xml:space="preserve">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pPr>
        <w:pStyle w:val="Heading3"/>
        <w:keepNext/>
        <w:bidi/>
        <w:spacing w:after="160" w:before="300"/>
        <w:jc w:val="left"/>
      </w:pPr>
      <w:r>
        <w:rPr>
          <w:rFonts w:ascii="Tahoma" w:cs="Tahoma" w:eastAsia="Tahoma" w:hAnsi="Tahoma"/>
          <w:b/>
          <w:bCs/>
          <w:color w:val="1F4E79"/>
          <w:sz w:val="24"/>
          <w:szCs w:val="24"/>
          <w:rtl/>
        </w:rPr>
        <w:t xml:space="preserve">۶.۲.۳ جابه‌جایی طبقات در ماه‌های پایانی ۱۴۰۴</w:t>
      </w:r>
    </w:p>
    <w:p>
      <w:pPr>
        <w:bidi/>
        <w:spacing w:after="160" w:line="312"/>
        <w:jc w:val="left"/>
      </w:pPr>
      <w:r>
        <w:rPr>
          <w:rFonts w:ascii="Tahoma" w:cs="Tahoma" w:eastAsia="Tahoma" w:hAnsi="Tahoma"/>
          <w:sz w:val="21"/>
          <w:szCs w:val="21"/>
          <w:rtl/>
        </w:rPr>
        <w:t xml:space="preserve">در سری ماهانه، میان دی و بهمن ۱۴۰۴ بخشی از مانده‌ی مشکوک‌الوصول به طبقه‌ی معوق منتقل شده و مجموع مطالبات غیرجاری تقریباً ثابت مانده است (جدول ۶-۲).</w:t>
      </w:r>
    </w:p>
    <w:p>
      <w:pPr>
        <w:keepNext/>
        <w:bidi/>
        <w:spacing w:after="100" w:before="200"/>
        <w:jc w:val="left"/>
      </w:pPr>
      <w:r>
        <w:rPr>
          <w:rFonts w:ascii="Tahoma" w:cs="Tahoma" w:eastAsia="Tahoma" w:hAnsi="Tahoma"/>
          <w:b/>
          <w:bCs/>
          <w:sz w:val="21"/>
          <w:szCs w:val="21"/>
          <w:rtl/>
        </w:rPr>
        <w:t xml:space="preserve">جدول ۶-۲: جابه‌جایی میان طبقات در ماه‌های پایانی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7"/>
        <w:gridCol w:w="2345"/>
        <w:gridCol w:w="2507"/>
        <w:gridCol w:w="2431"/>
      </w:tblGrid>
      <w:tr>
        <w:trPr>
          <w:cantSplit/>
          <w:tblHeader/>
        </w:trPr>
        <w:tc>
          <w:tcPr>
            <w:tcW w:type="dxa" w:w="20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3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25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24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۶.۱۸</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۱۰.۵۹</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۴.۷۶</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۱۰.۵۳</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تغییر</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۲.۵۲ بیشتر</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۲.۹۱ کمتر</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 کمتر</w:t>
            </w:r>
          </w:p>
        </w:tc>
      </w:tr>
    </w:tbl>
    <w:p>
      <w:pPr>
        <w:spacing w:after="200"/>
      </w:pPr>
    </w:p>
    <w:p>
      <w:pPr>
        <w:bidi/>
        <w:spacing w:after="160" w:line="312"/>
        <w:jc w:val="left"/>
      </w:pPr>
      <w:r>
        <w:rPr>
          <w:rFonts w:ascii="Tahoma" w:cs="Tahoma" w:eastAsia="Tahoma" w:hAnsi="Tahoma"/>
          <w:sz w:val="21"/>
          <w:szCs w:val="21"/>
          <w:rtl/>
        </w:rPr>
        <w:t xml:space="preserve">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 علت این جابه‌جایی در بخش ۹.۵ پرسیده شده است.</w:t>
      </w:r>
    </w:p>
    <w:p>
      <w:pPr>
        <w:pStyle w:val="Heading2"/>
        <w:keepNext/>
        <w:bidi/>
        <w:spacing w:after="160" w:before="300"/>
        <w:jc w:val="left"/>
      </w:pPr>
      <w:bookmarkStart w:name="_Toc52" w:id="52"/>
      <w:r>
        <w:rPr>
          <w:rFonts w:ascii="Tahoma" w:cs="Tahoma" w:eastAsia="Tahoma" w:hAnsi="Tahoma"/>
          <w:b/>
          <w:bCs/>
          <w:color w:val="1F4E79"/>
          <w:sz w:val="28"/>
          <w:szCs w:val="28"/>
          <w:rtl/>
        </w:rPr>
        <w:t xml:space="preserve">۶.۳ تجزیه‌ی مطالبات غیرجاری بر مبنای پوشش داده</w:t>
      </w:r>
      <w:bookmarkEnd w:id="52"/>
    </w:p>
    <w:p>
      <w:pPr>
        <w:bidi/>
        <w:spacing w:after="160" w:line="312"/>
        <w:jc w:val="left"/>
      </w:pPr>
      <w:r>
        <w:rPr>
          <w:rFonts w:ascii="Tahoma" w:cs="Tahoma" w:eastAsia="Tahoma" w:hAnsi="Tahoma"/>
          <w:sz w:val="21"/>
          <w:szCs w:val="21"/>
          <w:rtl/>
        </w:rPr>
        <w:t xml:space="preserve">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pPr>
        <w:keepNext/>
        <w:bidi/>
        <w:spacing w:after="100" w:before="200"/>
        <w:jc w:val="left"/>
      </w:pPr>
      <w:r>
        <w:rPr>
          <w:rFonts w:ascii="Tahoma" w:cs="Tahoma" w:eastAsia="Tahoma" w:hAnsi="Tahoma"/>
          <w:b/>
          <w:bCs/>
          <w:sz w:val="21"/>
          <w:szCs w:val="21"/>
          <w:rtl/>
        </w:rPr>
        <w:t xml:space="preserve">جدول ۶-۳: کیفیت دارایی بر حسب وضعیت پوشش داده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47"/>
        <w:gridCol w:w="1389"/>
        <w:gridCol w:w="1475"/>
        <w:gridCol w:w="2051"/>
        <w:gridCol w:w="1888"/>
      </w:tblGrid>
      <w:tr>
        <w:trPr>
          <w:cantSplit/>
          <w:tblHeader/>
        </w:trPr>
        <w:tc>
          <w:tcPr>
            <w:tcW w:type="dxa" w:w="25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پرتفوی</w:t>
            </w:r>
          </w:p>
        </w:tc>
        <w:tc>
          <w:tcPr>
            <w:tcW w:type="dxa" w:w="13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4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c>
          <w:tcPr>
            <w:tcW w:type="dxa" w:w="20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8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۵.۲۱٪</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۲۱.۰۴٪</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پرتفوی</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pPr>
        <w:keepNext/>
        <w:bidi/>
        <w:spacing w:after="100" w:before="200"/>
        <w:jc w:val="left"/>
      </w:pPr>
      <w:r>
        <w:rPr>
          <w:rFonts w:ascii="Tahoma" w:cs="Tahoma" w:eastAsia="Tahoma" w:hAnsi="Tahoma"/>
          <w:b/>
          <w:bCs/>
          <w:sz w:val="21"/>
          <w:szCs w:val="21"/>
          <w:rtl/>
        </w:rPr>
        <w:t xml:space="preserve">جدول ۶-۴: تجزیه‌ی سه‌گانه‌ی پرتفوی بر حسب ریسک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2"/>
        <w:gridCol w:w="1312"/>
        <w:gridCol w:w="1666"/>
        <w:gridCol w:w="1937"/>
        <w:gridCol w:w="1783"/>
      </w:tblGrid>
      <w:tr>
        <w:trPr>
          <w:cantSplit/>
          <w:tblHeader/>
        </w:trPr>
        <w:tc>
          <w:tcPr>
            <w:tcW w:type="dxa" w:w="2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3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6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پرتفوی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۷۷.۱٪</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۲۴.۰</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۸.۹۹٪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(کل)</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pPr>
        <w:bidi/>
        <w:spacing w:after="160" w:line="312"/>
        <w:jc w:val="left"/>
      </w:pPr>
      <w:r>
        <w:rPr>
          <w:rFonts w:ascii="Tahoma" w:cs="Tahoma" w:eastAsia="Tahoma" w:hAnsi="Tahoma"/>
          <w:sz w:val="21"/>
          <w:szCs w:val="21"/>
          <w:rtl/>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تفکیک این دو به پاسخ بانک درباره‌ی ۶۳۷,۹۷۵ قرارداد فاقد رکورد وابسته است (بخش ۹.۵). تحلیل‌های اندازه (بخش ۶.۵)، نسل (بخش ۶.۶) و تمرکز تک‌نامی (بخش ۶.۱۰) بر مبنای الف-۱ هستند و نسبت غیرجاری آن‌ها حول ۵.۲۱ درصد، و نه ۸.۷۶ درصد، قرار می‌گیرد.</w:t>
      </w:r>
    </w:p>
    <w:p>
      <w:pPr>
        <w:pStyle w:val="Heading2"/>
        <w:keepNext/>
        <w:bidi/>
        <w:spacing w:after="160" w:before="300"/>
        <w:jc w:val="left"/>
      </w:pPr>
      <w:bookmarkStart w:name="_Toc53" w:id="53"/>
      <w:r>
        <w:rPr>
          <w:rFonts w:ascii="Tahoma" w:cs="Tahoma" w:eastAsia="Tahoma" w:hAnsi="Tahoma"/>
          <w:b/>
          <w:bCs/>
          <w:color w:val="1F4E79"/>
          <w:sz w:val="28"/>
          <w:szCs w:val="28"/>
          <w:rtl/>
        </w:rPr>
        <w:t xml:space="preserve">۶.۴ اعتبارات اسنادی</w:t>
      </w:r>
      <w:bookmarkEnd w:id="53"/>
    </w:p>
    <w:p>
      <w:pPr>
        <w:pStyle w:val="Heading3"/>
        <w:keepNext/>
        <w:bidi/>
        <w:spacing w:after="160" w:before="300"/>
        <w:jc w:val="left"/>
      </w:pPr>
      <w:r>
        <w:rPr>
          <w:rFonts w:ascii="Tahoma" w:cs="Tahoma" w:eastAsia="Tahoma" w:hAnsi="Tahoma"/>
          <w:b/>
          <w:bCs/>
          <w:color w:val="1F4E79"/>
          <w:sz w:val="24"/>
          <w:szCs w:val="24"/>
          <w:rtl/>
        </w:rPr>
        <w:t xml:space="preserve">۶.۴.۱ جایگاه بخش</w:t>
      </w:r>
    </w:p>
    <w:p>
      <w:pPr>
        <w:bidi/>
        <w:spacing w:after="160" w:line="312"/>
        <w:jc w:val="left"/>
      </w:pPr>
      <w:r>
        <w:rPr>
          <w:rFonts w:ascii="Tahoma" w:cs="Tahoma" w:eastAsia="Tahoma" w:hAnsi="Tahoma"/>
          <w:sz w:val="21"/>
          <w:szCs w:val="21"/>
          <w:rtl/>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pPr>
        <w:pStyle w:val="Heading3"/>
        <w:keepNext/>
        <w:bidi/>
        <w:spacing w:after="160" w:before="300"/>
        <w:jc w:val="left"/>
      </w:pPr>
      <w:r>
        <w:rPr>
          <w:rFonts w:ascii="Tahoma" w:cs="Tahoma" w:eastAsia="Tahoma" w:hAnsi="Tahoma"/>
          <w:b/>
          <w:bCs/>
          <w:color w:val="1F4E79"/>
          <w:sz w:val="24"/>
          <w:szCs w:val="24"/>
          <w:rtl/>
        </w:rPr>
        <w:t xml:space="preserve">۶.۴.۲ مسیر وخامت</w:t>
      </w:r>
    </w:p>
    <w:p>
      <w:pPr>
        <w:keepNext/>
        <w:spacing w:after="60" w:before="160"/>
        <w:jc w:val="center"/>
      </w:pPr>
      <w:r>
        <w:drawing>
          <wp:inline distT="0" distB="0" distL="0" distR="0">
            <wp:extent cx="571500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۶-۲: روند نسبت مطالبات غیرجاری اعتبارات اسنادی و سایر پرتفوی، ۰۱/۱۴۰۰ تا ۱۲/۱۴۰۴</w:t>
      </w:r>
    </w:p>
    <w:p>
      <w:pPr>
        <w:keepNext/>
        <w:bidi/>
        <w:spacing w:after="100" w:before="200"/>
        <w:jc w:val="left"/>
      </w:pPr>
      <w:r>
        <w:rPr>
          <w:rFonts w:ascii="Tahoma" w:cs="Tahoma" w:eastAsia="Tahoma" w:hAnsi="Tahoma"/>
          <w:b/>
          <w:bCs/>
          <w:sz w:val="21"/>
          <w:szCs w:val="21"/>
          <w:rtl/>
        </w:rPr>
        <w:t xml:space="preserve">جدول ۶-۵: روند اعتبارات اسنادی و سایر پرتفوی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667"/>
        <w:gridCol w:w="2257"/>
        <w:gridCol w:w="2715"/>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اعتبارات اسنادی</w:t>
            </w:r>
          </w:p>
        </w:tc>
        <w:tc>
          <w:tcPr>
            <w:tcW w:type="dxa" w:w="2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آن</w:t>
            </w:r>
          </w:p>
        </w:tc>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سایر پرتفوی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۵.۴۰</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r>
    </w:tbl>
    <w:p>
      <w:pPr>
        <w:spacing w:after="200"/>
      </w:pPr>
    </w:p>
    <w:p>
      <w:pPr>
        <w:bidi/>
        <w:spacing w:after="160" w:line="312"/>
        <w:jc w:val="left"/>
      </w:pPr>
      <w:r>
        <w:rPr>
          <w:rFonts w:ascii="Tahoma" w:cs="Tahoma" w:eastAsia="Tahoma" w:hAnsi="Tahoma"/>
          <w:sz w:val="21"/>
          <w:szCs w:val="21"/>
          <w:rtl/>
        </w:rPr>
        <w:t xml:space="preserve">مانده‌ی اعتبارات اسنادی از ۰.۴ به ۵.۴ هزار میلیارد تومان، یعنی ۱۲.۵ برابر رسیده، در حالی که کل پرتفوی ۶.۱ برابر شده است (جدول ۶-۵ و نمودار ۶-۲).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pPr>
        <w:pStyle w:val="Heading3"/>
        <w:keepNext/>
        <w:bidi/>
        <w:spacing w:after="160" w:before="300"/>
        <w:jc w:val="left"/>
      </w:pPr>
      <w:r>
        <w:rPr>
          <w:rFonts w:ascii="Tahoma" w:cs="Tahoma" w:eastAsia="Tahoma" w:hAnsi="Tahoma"/>
          <w:b/>
          <w:bCs/>
          <w:color w:val="1F4E79"/>
          <w:sz w:val="24"/>
          <w:szCs w:val="24"/>
          <w:rtl/>
        </w:rPr>
        <w:t xml:space="preserve">۶.۴.۳ سهم اعتبارات اسنادی از افزایش مطالبات غیرجاری</w:t>
      </w:r>
    </w:p>
    <w:p>
      <w:pPr>
        <w:keepNext/>
        <w:bidi/>
        <w:spacing w:after="100" w:before="200"/>
        <w:jc w:val="left"/>
      </w:pPr>
      <w:r>
        <w:rPr>
          <w:rFonts w:ascii="Tahoma" w:cs="Tahoma" w:eastAsia="Tahoma" w:hAnsi="Tahoma"/>
          <w:b/>
          <w:bCs/>
          <w:sz w:val="21"/>
          <w:szCs w:val="21"/>
          <w:rtl/>
        </w:rPr>
        <w:t xml:space="preserve">جدول ۶-۶: سهم هر بخش از افزایش مطالبات غیرجاری (۰۱/۱۴۰۰ تا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۱۰.۲</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رکوردهای دارای برچسب اعتبارات اسنادی بالاترین نسبت غیرجاری را دارند، اما بزرگ‌ترین منبع افزایش مطلق مطالبات غیرجاری سایر پرتفوی است که ۵۶.۱ درصد افزایش را تشکیل می‌دهد (جدول ۶-۶).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pPr>
        <w:pStyle w:val="Heading3"/>
        <w:keepNext/>
        <w:bidi/>
        <w:spacing w:after="160" w:before="300"/>
        <w:jc w:val="left"/>
      </w:pPr>
      <w:r>
        <w:rPr>
          <w:rFonts w:ascii="Tahoma" w:cs="Tahoma" w:eastAsia="Tahoma" w:hAnsi="Tahoma"/>
          <w:b/>
          <w:bCs/>
          <w:color w:val="1F4E79"/>
          <w:sz w:val="24"/>
          <w:szCs w:val="24"/>
          <w:rtl/>
        </w:rPr>
        <w:t xml:space="preserve">۶.۴.۴ شفافیت اطلاعات مشتری در این بخش</w:t>
      </w:r>
    </w:p>
    <w:p>
      <w:pPr>
        <w:bidi/>
        <w:spacing w:after="160" w:line="312"/>
        <w:jc w:val="left"/>
      </w:pPr>
      <w:r>
        <w:rPr>
          <w:rFonts w:ascii="Tahoma" w:cs="Tahoma" w:eastAsia="Tahoma" w:hAnsi="Tahoma"/>
          <w:sz w:val="21"/>
          <w:szCs w:val="21"/>
          <w:rtl/>
        </w:rPr>
        <w:t xml:space="preserve">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دریافت فهرست کامل قراردادها با مشتری، وثیقه و طبقه‌ی هر یک (بخش ۹.۴) امکان تحلیل کامل این بخش را فراهم می‌کند. تعداد اعتبارات اسنادی در آمار رسمی ۱۲/۱۴۰۴ (۸۵۳ فقره) با تعداد قراردادهای دارای این برچسب در پایگاه (۲۰,۷۳۳) متفاوت است و تعریف این دو در بخش ۹.۵ پرسیده شده است.</w:t>
      </w:r>
    </w:p>
    <w:p>
      <w:pPr>
        <w:pStyle w:val="Heading2"/>
        <w:keepNext/>
        <w:bidi/>
        <w:spacing w:after="160" w:before="300"/>
        <w:jc w:val="left"/>
      </w:pPr>
      <w:bookmarkStart w:name="_Toc54" w:id="54"/>
      <w:r>
        <w:rPr>
          <w:rFonts w:ascii="Tahoma" w:cs="Tahoma" w:eastAsia="Tahoma" w:hAnsi="Tahoma"/>
          <w:b/>
          <w:bCs/>
          <w:color w:val="1F4E79"/>
          <w:sz w:val="28"/>
          <w:szCs w:val="28"/>
          <w:rtl/>
        </w:rPr>
        <w:t xml:space="preserve">۶.۵ کیفیت دارایی بر حسب اندازه</w:t>
      </w:r>
      <w:bookmarkEnd w:id="54"/>
    </w:p>
    <w:p>
      <w:pPr>
        <w:pStyle w:val="Heading3"/>
        <w:keepNext/>
        <w:bidi/>
        <w:spacing w:after="160" w:before="300"/>
        <w:jc w:val="left"/>
      </w:pPr>
      <w:r>
        <w:rPr>
          <w:rFonts w:ascii="Tahoma" w:cs="Tahoma" w:eastAsia="Tahoma" w:hAnsi="Tahoma"/>
          <w:b/>
          <w:bCs/>
          <w:color w:val="1F4E79"/>
          <w:sz w:val="24"/>
          <w:szCs w:val="24"/>
          <w:rtl/>
        </w:rPr>
        <w:t xml:space="preserve">۶.۵.۱ اندازه‌ی وام</w:t>
      </w:r>
    </w:p>
    <w:p>
      <w:pPr>
        <w:keepNext/>
        <w:spacing w:after="60" w:before="160"/>
        <w:jc w:val="center"/>
      </w:pPr>
      <w:r>
        <w:drawing>
          <wp:inline distT="0" distB="0" distL="0" distR="0">
            <wp:extent cx="5715000" cy="2143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۶-۳: نسبت مطالبات غیرجاری به تفکیک اندازه‌ی وام</w:t>
      </w:r>
    </w:p>
    <w:p>
      <w:pPr>
        <w:keepNext/>
        <w:bidi/>
        <w:spacing w:after="100" w:before="200"/>
        <w:jc w:val="left"/>
      </w:pPr>
      <w:r>
        <w:rPr>
          <w:rFonts w:ascii="Tahoma" w:cs="Tahoma" w:eastAsia="Tahoma" w:hAnsi="Tahoma"/>
          <w:b/>
          <w:bCs/>
          <w:sz w:val="21"/>
          <w:szCs w:val="21"/>
          <w:rtl/>
        </w:rPr>
        <w:t xml:space="preserve">جدول ۶-۷: مطالبات غیرجاری به تفکیک اندازه‌ی وام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1874"/>
        <w:gridCol w:w="1340"/>
        <w:gridCol w:w="1978"/>
        <w:gridCol w:w="1820"/>
      </w:tblGrid>
      <w:tr>
        <w:trPr>
          <w:cantSplit/>
          <w:tblHeader/>
        </w:trPr>
        <w:tc>
          <w:tcPr>
            <w:tcW w:type="dxa" w:w="23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8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3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9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8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۷۶,۵۱۶</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۰.۶٪</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۲۷۳,۵۳۴</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۱۰۳,۹۱۱</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۰.۵۲</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۵,۳۶۳</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۲,۲۹۵</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۱۰.۴٪</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۴۶۱,۶۱۹</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۵.۱۹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bl>
    <w:p>
      <w:pPr>
        <w:spacing w:after="200"/>
      </w:pPr>
    </w:p>
    <w:p>
      <w:pPr>
        <w:bidi/>
        <w:spacing w:after="160" w:line="312"/>
        <w:jc w:val="left"/>
      </w:pPr>
      <w:r>
        <w:rPr>
          <w:rFonts w:ascii="Tahoma" w:cs="Tahoma" w:eastAsia="Tahoma" w:hAnsi="Tahoma"/>
          <w:sz w:val="21"/>
          <w:szCs w:val="21"/>
          <w:rtl/>
        </w:rPr>
        <w:t xml:space="preserve">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pPr>
        <w:pStyle w:val="Heading3"/>
        <w:keepNext/>
        <w:bidi/>
        <w:spacing w:after="160" w:before="300"/>
        <w:jc w:val="left"/>
      </w:pPr>
      <w:r>
        <w:rPr>
          <w:rFonts w:ascii="Tahoma" w:cs="Tahoma" w:eastAsia="Tahoma" w:hAnsi="Tahoma"/>
          <w:b/>
          <w:bCs/>
          <w:color w:val="1F4E79"/>
          <w:sz w:val="24"/>
          <w:szCs w:val="24"/>
          <w:rtl/>
        </w:rPr>
        <w:t xml:space="preserve">۶.۵.۲ اندازه‌ی شعبه</w:t>
      </w:r>
    </w:p>
    <w:p>
      <w:pPr>
        <w:keepNext/>
        <w:spacing w:after="60" w:before="160"/>
        <w:jc w:val="center"/>
      </w:pPr>
      <w:r>
        <w:drawing>
          <wp:inline distT="0" distB="0" distL="0" distR="0">
            <wp:extent cx="5715000"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۶-۴: نسبت مطالبات غیرجاری به تفکیک چارک اندازه‌ی شعبه</w:t>
      </w:r>
    </w:p>
    <w:p>
      <w:pPr>
        <w:keepNext/>
        <w:bidi/>
        <w:spacing w:after="100" w:before="200"/>
        <w:jc w:val="left"/>
      </w:pPr>
      <w:r>
        <w:rPr>
          <w:rFonts w:ascii="Tahoma" w:cs="Tahoma" w:eastAsia="Tahoma" w:hAnsi="Tahoma"/>
          <w:b/>
          <w:bCs/>
          <w:sz w:val="21"/>
          <w:szCs w:val="21"/>
          <w:rtl/>
        </w:rPr>
        <w:t xml:space="preserve">جدول ۶-۸: مطالبات غیرجاری به تفکیک اندازه‌ی شعبه (مبنای الف-۱، ۴۴۷ شعبه،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42"/>
        <w:gridCol w:w="2277"/>
        <w:gridCol w:w="1794"/>
        <w:gridCol w:w="2437"/>
      </w:tblGrid>
      <w:tr>
        <w:trPr>
          <w:cantSplit/>
          <w:tblHeader/>
        </w:trPr>
        <w:tc>
          <w:tcPr>
            <w:tcW w:type="dxa" w:w="28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چارک اندازه‌ی شعبه</w:t>
            </w:r>
          </w:p>
        </w:tc>
        <w:tc>
          <w:tcPr>
            <w:tcW w:type="dxa" w:w="22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شعبه</w:t>
            </w:r>
          </w:p>
        </w:tc>
        <w:tc>
          <w:tcPr>
            <w:tcW w:type="dxa" w:w="17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24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کوچک‌ترین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دوم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سوم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۶۳.۸</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۵.۸٪</w:t>
            </w:r>
          </w:p>
        </w:tc>
      </w:tr>
    </w:tbl>
    <w:p>
      <w:pPr>
        <w:spacing w:after="200"/>
      </w:pPr>
    </w:p>
    <w:p>
      <w:pPr>
        <w:bidi/>
        <w:spacing w:after="160" w:line="312"/>
        <w:jc w:val="left"/>
      </w:pPr>
      <w:r>
        <w:rPr>
          <w:rFonts w:ascii="Tahoma" w:cs="Tahoma" w:eastAsia="Tahoma" w:hAnsi="Tahoma"/>
          <w:sz w:val="21"/>
          <w:szCs w:val="21"/>
          <w:rtl/>
        </w:rPr>
        <w:t xml:space="preserve">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pPr>
        <w:pStyle w:val="Heading2"/>
        <w:keepNext/>
        <w:bidi/>
        <w:spacing w:after="160" w:before="300"/>
        <w:jc w:val="left"/>
      </w:pPr>
      <w:bookmarkStart w:name="_Toc55" w:id="55"/>
      <w:r>
        <w:rPr>
          <w:rFonts w:ascii="Tahoma" w:cs="Tahoma" w:eastAsia="Tahoma" w:hAnsi="Tahoma"/>
          <w:b/>
          <w:bCs/>
          <w:color w:val="1F4E79"/>
          <w:sz w:val="28"/>
          <w:szCs w:val="28"/>
          <w:rtl/>
        </w:rPr>
        <w:t xml:space="preserve">۶.۶ کیفیت دارایی بر حسب نسل اعطا</w:t>
      </w:r>
      <w:bookmarkEnd w:id="55"/>
    </w:p>
    <w:p>
      <w:pPr>
        <w:bidi/>
        <w:spacing w:after="160" w:line="312"/>
        <w:jc w:val="left"/>
      </w:pPr>
      <w:r>
        <w:rPr>
          <w:rFonts w:ascii="Tahoma" w:cs="Tahoma" w:eastAsia="Tahoma" w:hAnsi="Tahoma"/>
          <w:sz w:val="21"/>
          <w:szCs w:val="21"/>
          <w:rtl/>
        </w:rPr>
        <w:t xml:space="preserve">تحلیل نسل، قراردادها را بر اساس سال اعطا گروه‌بندی می‌کند و اثر رشد پرتفوی را خنثی می‌کند؛ برای ارزیابی سیاست اعتباری هر سال سنجه‌ی مناسبی است.</w:t>
      </w:r>
    </w:p>
    <w:p>
      <w:pPr>
        <w:keepNext/>
        <w:spacing w:after="60" w:before="160"/>
        <w:jc w:val="center"/>
      </w:pPr>
      <w:r>
        <w:drawing>
          <wp:inline distT="0" distB="0" distL="0" distR="0">
            <wp:extent cx="5715000" cy="21431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۶-۵: نسبت مطالبات غیرجاری به تفکیک سال اعطای تسهیلات</w:t>
      </w:r>
    </w:p>
    <w:p>
      <w:pPr>
        <w:keepNext/>
        <w:bidi/>
        <w:spacing w:after="100" w:before="200"/>
        <w:jc w:val="left"/>
      </w:pPr>
      <w:r>
        <w:rPr>
          <w:rFonts w:ascii="Tahoma" w:cs="Tahoma" w:eastAsia="Tahoma" w:hAnsi="Tahoma"/>
          <w:b/>
          <w:bCs/>
          <w:sz w:val="21"/>
          <w:szCs w:val="21"/>
          <w:rtl/>
        </w:rPr>
        <w:t xml:space="preserve">جدول ۶-۹: کیفیت نسل‌های اعطا (مبنای الف-۱،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041"/>
        <w:gridCol w:w="1459"/>
        <w:gridCol w:w="2155"/>
        <w:gridCol w:w="1984"/>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اعطا</w:t>
            </w:r>
          </w:p>
        </w:tc>
        <w:tc>
          <w:tcPr>
            <w:tcW w:type="dxa" w:w="20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4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2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9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۱۰,۰۴۸</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۵.۸۷</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۲۹,۳۳۷</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۶۲,۰۷۹</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۴.۴۲</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۹۶,۷۴۰</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۰.۷۲</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۱۱۶,۵۵۱</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۲۰.۳۴</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۲.۶۵</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۱۳.۰۵٪</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۱۴۶,۸۶۴</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۵۹.۲۰</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۲.۱۳٪</w:t>
            </w:r>
          </w:p>
        </w:tc>
      </w:tr>
    </w:tbl>
    <w:p>
      <w:pPr>
        <w:spacing w:after="200"/>
      </w:pPr>
    </w:p>
    <w:p>
      <w:pPr>
        <w:bidi/>
        <w:spacing w:after="160" w:line="312"/>
        <w:jc w:val="left"/>
      </w:pPr>
      <w:r>
        <w:rPr>
          <w:rFonts w:ascii="Tahoma" w:cs="Tahoma" w:eastAsia="Tahoma" w:hAnsi="Tahoma"/>
          <w:sz w:val="21"/>
          <w:szCs w:val="21"/>
          <w:rtl/>
        </w:rPr>
        <w:t xml:space="preserve">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pPr>
        <w:bidi/>
        <w:spacing w:after="160" w:line="312"/>
        <w:jc w:val="left"/>
      </w:pPr>
      <w:r>
        <w:rPr>
          <w:rFonts w:ascii="Tahoma" w:cs="Tahoma" w:eastAsia="Tahoma" w:hAnsi="Tahoma"/>
          <w:sz w:val="21"/>
          <w:szCs w:val="21"/>
          <w:rtl/>
        </w:rPr>
        <w:t xml:space="preserve">نسبت ۲.۱۳ درصد نسل ۱۴۰۴ بهبود کیفیت نیست: تسهیلات این نسل حداکثر دوازده ماه عمر دارند و بخش عمده‌ی آن‌ها هنوز به مرحله‌ی نکول نرسیده‌اند. نسبت غیرجاری نسل‌های جدید با گذشت زمان بالا می‌رود و رقم ۱۴۰۴ هنوز بیانگر ریسک نهایی این نسل نیست.</w:t>
      </w:r>
    </w:p>
    <w:p>
      <w:pPr>
        <w:bidi/>
        <w:spacing w:after="160" w:line="312"/>
        <w:jc w:val="left"/>
      </w:pPr>
      <w:r>
        <w:rPr>
          <w:rFonts w:ascii="Tahoma" w:cs="Tahoma" w:eastAsia="Tahoma" w:hAnsi="Tahoma"/>
          <w:sz w:val="21"/>
          <w:szCs w:val="21"/>
          <w:rtl/>
        </w:rPr>
        <w:t xml:space="preserve">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pPr>
        <w:pStyle w:val="Heading2"/>
        <w:keepNext/>
        <w:bidi/>
        <w:spacing w:after="160" w:before="300"/>
        <w:jc w:val="left"/>
      </w:pPr>
      <w:bookmarkStart w:name="_Toc56" w:id="56"/>
      <w:r>
        <w:rPr>
          <w:rFonts w:ascii="Tahoma" w:cs="Tahoma" w:eastAsia="Tahoma" w:hAnsi="Tahoma"/>
          <w:b/>
          <w:bCs/>
          <w:color w:val="1F4E79"/>
          <w:sz w:val="28"/>
          <w:szCs w:val="28"/>
          <w:rtl/>
        </w:rPr>
        <w:t xml:space="preserve">۶.۷ تعداد طرف‌های قرارداد و ریسک</w:t>
      </w:r>
      <w:bookmarkEnd w:id="56"/>
    </w:p>
    <w:p>
      <w:pPr>
        <w:bidi/>
        <w:spacing w:after="160" w:line="312"/>
        <w:jc w:val="left"/>
      </w:pPr>
      <w:r>
        <w:rPr>
          <w:rFonts w:ascii="Tahoma" w:cs="Tahoma" w:eastAsia="Tahoma" w:hAnsi="Tahoma"/>
          <w:sz w:val="21"/>
          <w:szCs w:val="21"/>
          <w:rtl/>
        </w:rPr>
        <w:t xml:space="preserve">در جدول مانده‌ی تسهیلات، هر قرارداد به‌ازای هر طرف (وام‌گیرنده، ضامن و شریک) یک ردیف دارد. گروه «یک طرف» یعنی تنها یک طرف برای قرارداد ثبت شده است.</w:t>
      </w:r>
    </w:p>
    <w:p>
      <w:pPr>
        <w:keepNext/>
        <w:spacing w:after="60" w:before="160"/>
        <w:jc w:val="center"/>
      </w:pPr>
      <w:r>
        <w:drawing>
          <wp:inline distT="0" distB="0" distL="0" distR="0">
            <wp:extent cx="571500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۶-۶: نسبت مطالبات غیرجاری بر حسب تعداد طرف‌های قرارداد، با و بدون اعتبارات اسنادی</w:t>
      </w:r>
    </w:p>
    <w:p>
      <w:pPr>
        <w:keepNext/>
        <w:bidi/>
        <w:spacing w:after="100" w:before="200"/>
        <w:jc w:val="left"/>
      </w:pPr>
      <w:r>
        <w:rPr>
          <w:rFonts w:ascii="Tahoma" w:cs="Tahoma" w:eastAsia="Tahoma" w:hAnsi="Tahoma"/>
          <w:b/>
          <w:bCs/>
          <w:sz w:val="21"/>
          <w:szCs w:val="21"/>
          <w:rtl/>
        </w:rPr>
        <w:t xml:space="preserve">جدول ۶-۱۰: مطالبات غیرجاری بر حسب تعداد طرف‌های قرارداد (مبنای الف،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4"/>
        <w:gridCol w:w="1499"/>
        <w:gridCol w:w="1072"/>
        <w:gridCol w:w="1583"/>
        <w:gridCol w:w="1455"/>
        <w:gridCol w:w="1937"/>
      </w:tblGrid>
      <w:tr>
        <w:trPr>
          <w:cantSplit/>
          <w:tblHeader/>
        </w:trPr>
        <w:tc>
          <w:tcPr>
            <w:tcW w:type="dxa" w:w="1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طرف‌های قرارداد</w:t>
            </w:r>
          </w:p>
        </w:tc>
        <w:tc>
          <w:tcPr>
            <w:tcW w:type="dxa" w:w="14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0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4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بدون اعتبارات اسنادی</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۹۷۲,۷۳۴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۸.۵۶</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۱۰.۵۸٪</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دو تا سه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۳۳۲,۹۲۲</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۵.۳۳٪</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تا شش</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۱۶,۵۸۹</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۸.۸۵٪</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هفت تا ده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یازده و بیشتر</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r>
    </w:tbl>
    <w:p>
      <w:pPr>
        <w:spacing w:after="200"/>
      </w:pPr>
    </w:p>
    <w:p>
      <w:pPr>
        <w:bidi/>
        <w:spacing w:after="160" w:line="312"/>
        <w:jc w:val="left"/>
      </w:pPr>
      <w:r>
        <w:rPr>
          <w:rFonts w:ascii="Tahoma" w:cs="Tahoma" w:eastAsia="Tahoma" w:hAnsi="Tahoma"/>
          <w:sz w:val="21"/>
          <w:szCs w:val="21"/>
          <w:rtl/>
        </w:rPr>
        <w:t xml:space="preserve">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pPr>
        <w:pStyle w:val="Heading2"/>
        <w:keepNext/>
        <w:bidi/>
        <w:spacing w:after="160" w:before="300"/>
        <w:jc w:val="left"/>
      </w:pPr>
      <w:bookmarkStart w:name="_Toc57" w:id="57"/>
      <w:r>
        <w:rPr>
          <w:rFonts w:ascii="Tahoma" w:cs="Tahoma" w:eastAsia="Tahoma" w:hAnsi="Tahoma"/>
          <w:b/>
          <w:bCs/>
          <w:color w:val="1F4E79"/>
          <w:sz w:val="28"/>
          <w:szCs w:val="28"/>
          <w:rtl/>
        </w:rPr>
        <w:t xml:space="preserve">۶.۸ ماتریس انتقال وضعیت</w:t>
      </w:r>
      <w:bookmarkEnd w:id="57"/>
    </w:p>
    <w:p>
      <w:pPr>
        <w:bidi/>
        <w:spacing w:after="160" w:line="312"/>
        <w:jc w:val="left"/>
      </w:pPr>
      <w:r>
        <w:rPr>
          <w:rFonts w:ascii="Tahoma" w:cs="Tahoma" w:eastAsia="Tahoma" w:hAnsi="Tahoma"/>
          <w:sz w:val="21"/>
          <w:szCs w:val="21"/>
          <w:rtl/>
        </w:rPr>
        <w:t xml:space="preserve">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pPr>
        <w:keepNext/>
        <w:spacing w:after="60" w:before="160"/>
        <w:jc w:val="center"/>
      </w:pPr>
      <w:r>
        <w:drawing>
          <wp:inline distT="0" distB="0" distL="0" distR="0">
            <wp:extent cx="5715000" cy="2619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۶-۷: ماتریس انتقال یک‌ماهه‌ی وضعیت طبقه‌بندی مطالبات (درصد ردیفی)</w:t>
      </w:r>
    </w:p>
    <w:p>
      <w:pPr>
        <w:keepNext/>
        <w:bidi/>
        <w:spacing w:after="100" w:before="200"/>
        <w:jc w:val="left"/>
      </w:pPr>
      <w:r>
        <w:rPr>
          <w:rFonts w:ascii="Tahoma" w:cs="Tahoma" w:eastAsia="Tahoma" w:hAnsi="Tahoma"/>
          <w:b/>
          <w:bCs/>
          <w:sz w:val="21"/>
          <w:szCs w:val="21"/>
          <w:rtl/>
        </w:rPr>
        <w:t xml:space="preserve">جدول ۶-۱۱: نرخ‌های کلیدی انتقال یک‌ماهه‌ی وضعیت (بهمن به اسفند در دو سال متوالی، درصدهای گردشده)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7"/>
        <w:gridCol w:w="2188"/>
        <w:gridCol w:w="2188"/>
        <w:gridCol w:w="2327"/>
      </w:tblGrid>
      <w:tr>
        <w:trPr>
          <w:cantSplit/>
          <w:tblHeader/>
        </w:trPr>
        <w:tc>
          <w:tcPr>
            <w:tcW w:type="dxa" w:w="2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۱۱/۱۴۰۳ تا ۱۲/۱۴۰۳</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۱۱/۱۴۰۴ تا ۱۲/۱۴۰۴</w:t>
            </w:r>
          </w:p>
        </w:tc>
        <w:tc>
          <w:tcPr>
            <w:tcW w:type="dxa" w:w="23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تغییر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طبقه‌ی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۹۵.۷۲٪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۹۴.۴۴٪</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 واحد درصد کمتر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مهاجرت از جاری به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 درصد افزایش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بازگشت از سررسیدگذشته به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۳۷.۴۴٪</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۲۳.۱۶٪</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۳۸ درصد کاهش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۵۵.۶۵٪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۶۹.۸۲٪</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۱۴.۱۷ واحد درصد بیشتر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مشکوک‌الوصول</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۸۳.۶۱٪</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۹۶.۲۱٪</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۱۲.۶۰ واحد درصد بیشتر</w:t>
            </w:r>
          </w:p>
        </w:tc>
      </w:tr>
    </w:tbl>
    <w:p>
      <w:pPr>
        <w:spacing w:after="200"/>
      </w:pPr>
    </w:p>
    <w:p>
      <w:pPr>
        <w:bidi/>
        <w:spacing w:after="160" w:line="312"/>
        <w:jc w:val="left"/>
      </w:pPr>
      <w:r>
        <w:rPr>
          <w:rFonts w:ascii="Tahoma" w:cs="Tahoma" w:eastAsia="Tahoma" w:hAnsi="Tahoma"/>
          <w:sz w:val="21"/>
          <w:szCs w:val="21"/>
          <w:rtl/>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کاهش یافته است، که می‌تواند از تضعیف توان مالی وام‌گیرندگان یا کاهش اثربخشی وصول باشد؛ و ماندگاری در طبقات غیرجاری بیشتر شده است (سررسیدگذشته ۱۴ و مشکوک‌الوصول ۱۳ واحد درصد بیشتر). از هر صد قرارداد مشکوک‌الوصول، ۹۶ قرارداد یک ماه بعد در همان طبقه مانده‌اند.</w:t>
      </w:r>
    </w:p>
    <w:p>
      <w:pPr>
        <w:bidi/>
        <w:spacing w:after="160" w:line="312"/>
        <w:jc w:val="left"/>
      </w:pPr>
      <w:r>
        <w:rPr>
          <w:rFonts w:ascii="Tahoma" w:cs="Tahoma" w:eastAsia="Tahoma" w:hAnsi="Tahoma"/>
          <w:sz w:val="21"/>
          <w:szCs w:val="21"/>
          <w:rtl/>
        </w:rPr>
        <w:t xml:space="preserve">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pPr>
        <w:bidi/>
        <w:spacing w:after="160" w:line="312"/>
        <w:jc w:val="left"/>
      </w:pPr>
      <w:r>
        <w:rPr>
          <w:rFonts w:ascii="Tahoma" w:cs="Tahoma" w:eastAsia="Tahoma" w:hAnsi="Tahoma"/>
          <w:sz w:val="21"/>
          <w:szCs w:val="21"/>
          <w:rtl/>
        </w:rPr>
        <w:t xml:space="preserve">وضعیت با شناسه‌ی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و تأیید بانک در بخش ۹.۵ پرسیده شده است.</w:t>
      </w:r>
    </w:p>
    <w:p>
      <w:pPr>
        <w:pStyle w:val="Heading2"/>
        <w:keepNext/>
        <w:bidi/>
        <w:spacing w:after="160" w:before="300"/>
        <w:jc w:val="left"/>
      </w:pPr>
      <w:bookmarkStart w:name="_Toc58" w:id="58"/>
      <w:r>
        <w:rPr>
          <w:rFonts w:ascii="Tahoma" w:cs="Tahoma" w:eastAsia="Tahoma" w:hAnsi="Tahoma"/>
          <w:b/>
          <w:bCs/>
          <w:color w:val="1F4E79"/>
          <w:sz w:val="28"/>
          <w:szCs w:val="28"/>
          <w:rtl/>
        </w:rPr>
        <w:t xml:space="preserve">۶.۹ الگوی دیرکرد اقساط</w:t>
      </w:r>
      <w:bookmarkEnd w:id="58"/>
    </w:p>
    <w:p>
      <w:pPr>
        <w:bidi/>
        <w:spacing w:after="160" w:line="312"/>
        <w:jc w:val="left"/>
      </w:pPr>
      <w:r>
        <w:rPr>
          <w:rFonts w:ascii="Tahoma" w:cs="Tahoma" w:eastAsia="Tahoma" w:hAnsi="Tahoma"/>
          <w:sz w:val="21"/>
          <w:szCs w:val="21"/>
          <w:rtl/>
        </w:rPr>
        <w:t xml:space="preserve">حدود ۱۰.۲ درصد رکوردهای جدول اقساط، اقساط آتی هستند و رویداد پرداخت نیستند؛ تحلیل این دسته را جدا کرده است.</w:t>
      </w:r>
    </w:p>
    <w:p>
      <w:pPr>
        <w:keepNext/>
        <w:spacing w:after="60" w:before="160"/>
        <w:jc w:val="center"/>
      </w:pPr>
      <w:r>
        <w:drawing>
          <wp:inline distT="0" distB="0" distL="0" distR="0">
            <wp:extent cx="5715000" cy="24669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۶-۸: توزیع دیرکرد پرداخت اقساط</w:t>
      </w:r>
    </w:p>
    <w:p>
      <w:pPr>
        <w:keepNext/>
        <w:bidi/>
        <w:spacing w:after="100" w:before="200"/>
        <w:jc w:val="left"/>
      </w:pPr>
      <w:r>
        <w:rPr>
          <w:rFonts w:ascii="Tahoma" w:cs="Tahoma" w:eastAsia="Tahoma" w:hAnsi="Tahoma"/>
          <w:b/>
          <w:bCs/>
          <w:sz w:val="21"/>
          <w:szCs w:val="21"/>
          <w:rtl/>
        </w:rPr>
        <w:t xml:space="preserve">جدول ۶-۱۲: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9"/>
        <w:gridCol w:w="1916"/>
        <w:gridCol w:w="1916"/>
        <w:gridCol w:w="2689"/>
      </w:tblGrid>
      <w:tr>
        <w:trPr>
          <w:cantSplit/>
          <w:tblHeader/>
        </w:trPr>
        <w:tc>
          <w:tcPr>
            <w:tcW w:type="dxa" w:w="2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قسط</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w:t>
            </w:r>
          </w:p>
        </w:tc>
        <w:tc>
          <w:tcPr>
            <w:tcW w:type="dxa" w:w="26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اقساط سررسیدشده</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قسط آتی (سررسید نشده)</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۱,۷۴۲,۷۱۰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پرداخت در سررسید یا زودتر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۶,۱۵۴,۱۹۲</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۳۶.۱۵٪</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۴۰.۲۷٪</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تا هفت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۲,۱۸۵,۵۲۷</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۱۴.۳۰٪</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هشت تا سی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۲,۵۰۲,۹۵۱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۱۴.۷۰٪</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۱۶.۳۸٪</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سی‌ویک تا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۳,۳۹۷,۷۴۰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۱۹.۹۶٪</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۲۲.۲۳٪</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۱,۰۴۱,۶۶۳</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۶.۱۲٪</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w:t>
            </w:r>
          </w:p>
        </w:tc>
      </w:tr>
    </w:tbl>
    <w:p>
      <w:pPr>
        <w:spacing w:after="200"/>
      </w:pPr>
    </w:p>
    <w:p>
      <w:pPr>
        <w:bidi/>
        <w:spacing w:after="160" w:line="312"/>
        <w:jc w:val="left"/>
      </w:pPr>
      <w:r>
        <w:rPr>
          <w:rFonts w:ascii="Tahoma" w:cs="Tahoma" w:eastAsia="Tahoma" w:hAnsi="Tahoma"/>
          <w:sz w:val="21"/>
          <w:szCs w:val="21"/>
          <w:rtl/>
        </w:rPr>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غیرجاری است؛ این یافته با شتاب مهاجرت در ماتریس انتقال (بخش ۶.۸) هم‌جهت است.</w:t>
      </w:r>
    </w:p>
    <w:p>
      <w:pPr>
        <w:bidi/>
        <w:spacing w:after="160" w:line="312"/>
        <w:jc w:val="left"/>
      </w:pPr>
      <w:r>
        <w:rPr>
          <w:rFonts w:ascii="Tahoma" w:cs="Tahoma" w:eastAsia="Tahoma" w:hAnsi="Tahoma"/>
          <w:sz w:val="21"/>
          <w:szCs w:val="21"/>
          <w:rtl/>
        </w:rPr>
        <w:t xml:space="preserve">دسته‌ی «پرداخت در سررسید یا زودتر» پرداخت در موعد و پیش از موعد را با هم دارد و تفکیک آن‌ها در فاز ۲ انجام می‌شود.</w:t>
      </w:r>
    </w:p>
    <w:p>
      <w:pPr>
        <w:pStyle w:val="Heading2"/>
        <w:keepNext/>
        <w:bidi/>
        <w:spacing w:after="160" w:before="300"/>
        <w:jc w:val="left"/>
      </w:pPr>
      <w:bookmarkStart w:name="_Toc59" w:id="59"/>
      <w:r>
        <w:rPr>
          <w:rFonts w:ascii="Tahoma" w:cs="Tahoma" w:eastAsia="Tahoma" w:hAnsi="Tahoma"/>
          <w:b/>
          <w:bCs/>
          <w:color w:val="1F4E79"/>
          <w:sz w:val="28"/>
          <w:szCs w:val="28"/>
          <w:rtl/>
        </w:rPr>
        <w:t xml:space="preserve">۶.۱۰ تمرکز تک‌نامی</w:t>
      </w:r>
      <w:bookmarkEnd w:id="59"/>
    </w:p>
    <w:p>
      <w:pPr>
        <w:bidi/>
        <w:spacing w:after="160" w:line="312"/>
        <w:jc w:val="left"/>
      </w:pPr>
      <w:r>
        <w:rPr>
          <w:rFonts w:ascii="Tahoma" w:cs="Tahoma" w:eastAsia="Tahoma" w:hAnsi="Tahoma"/>
          <w:sz w:val="21"/>
          <w:szCs w:val="21"/>
          <w:rtl/>
        </w:rPr>
        <w:t xml:space="preserve">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pPr>
        <w:keepNext/>
        <w:spacing w:after="60" w:before="160"/>
        <w:jc w:val="center"/>
      </w:pPr>
      <w:r>
        <w:drawing>
          <wp:inline distT="0" distB="0" distL="0" distR="0">
            <wp:extent cx="5715000" cy="38195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195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۶-۹: تمرکز تک‌نامی، مانده‌ی بیست مشتری بزرگ تسهیلاتی</w:t>
      </w:r>
    </w:p>
    <w:p>
      <w:pPr>
        <w:keepNext/>
        <w:bidi/>
        <w:spacing w:after="100" w:before="200"/>
        <w:jc w:val="left"/>
      </w:pPr>
      <w:r>
        <w:rPr>
          <w:rFonts w:ascii="Tahoma" w:cs="Tahoma" w:eastAsia="Tahoma" w:hAnsi="Tahoma"/>
          <w:b/>
          <w:bCs/>
          <w:sz w:val="21"/>
          <w:szCs w:val="21"/>
          <w:rtl/>
        </w:rPr>
        <w:t xml:space="preserve">جدول ۶-۱۳: تمرکز تک‌نامی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90"/>
        <w:gridCol w:w="3360"/>
      </w:tblGrid>
      <w:tr>
        <w:trPr>
          <w:cantSplit/>
          <w:tblHeader/>
        </w:trPr>
        <w:tc>
          <w:tcPr>
            <w:tcW w:type="dxa" w:w="5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کل پرتفوی نمونه</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۹.۵۴٪</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پرتفوی قابل‌انتساب</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بزرگ‌ترین مشتری منفرد</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بزرگ‌ترین مشتری از کل پرتفوی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قرارداد بزرگ‌ترین مشتری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یک فقره</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w:t>
            </w:r>
          </w:p>
        </w:tc>
      </w:tr>
    </w:tbl>
    <w:p>
      <w:pPr>
        <w:spacing w:after="200"/>
      </w:pPr>
    </w:p>
    <w:p>
      <w:pPr>
        <w:bidi/>
        <w:spacing w:after="160" w:line="312"/>
        <w:jc w:val="left"/>
      </w:pPr>
      <w:r>
        <w:rPr>
          <w:rFonts w:ascii="Tahoma" w:cs="Tahoma" w:eastAsia="Tahoma" w:hAnsi="Tahoma"/>
          <w:sz w:val="21"/>
          <w:szCs w:val="21"/>
          <w:rtl/>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pPr>
        <w:bidi/>
        <w:spacing w:after="160" w:line="312"/>
        <w:jc w:val="left"/>
      </w:pPr>
      <w:r>
        <w:rPr>
          <w:rFonts w:ascii="Tahoma" w:cs="Tahoma" w:eastAsia="Tahoma" w:hAnsi="Tahoma"/>
          <w:sz w:val="21"/>
          <w:szCs w:val="21"/>
          <w:rtl/>
        </w:rPr>
        <w:t xml:space="preserve">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pPr>
        <w:bidi/>
        <w:spacing w:after="160" w:line="312"/>
        <w:jc w:val="left"/>
      </w:pPr>
      <w:r>
        <w:rPr>
          <w:rFonts w:ascii="Tahoma" w:cs="Tahoma" w:eastAsia="Tahoma" w:hAnsi="Tahoma"/>
          <w:sz w:val="21"/>
          <w:szCs w:val="21"/>
          <w:rtl/>
        </w:rPr>
        <w:t xml:space="preserve">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pPr>
        <w:pStyle w:val="Heading2"/>
        <w:keepNext/>
        <w:bidi/>
        <w:spacing w:after="160" w:before="300"/>
        <w:jc w:val="left"/>
      </w:pPr>
      <w:bookmarkStart w:name="_Toc60" w:id="60"/>
      <w:r>
        <w:rPr>
          <w:rFonts w:ascii="Tahoma" w:cs="Tahoma" w:eastAsia="Tahoma" w:hAnsi="Tahoma"/>
          <w:b/>
          <w:bCs/>
          <w:color w:val="1F4E79"/>
          <w:sz w:val="28"/>
          <w:szCs w:val="28"/>
          <w:rtl/>
        </w:rPr>
        <w:t xml:space="preserve">۶.۱۱ نیمرخ ریسک بانک</w:t>
      </w:r>
      <w:bookmarkEnd w:id="60"/>
    </w:p>
    <w:p>
      <w:pPr>
        <w:bidi/>
        <w:spacing w:after="160" w:line="312"/>
        <w:jc w:val="left"/>
      </w:pPr>
      <w:r>
        <w:rPr>
          <w:rFonts w:ascii="Tahoma" w:cs="Tahoma" w:eastAsia="Tahoma" w:hAnsi="Tahoma"/>
          <w:sz w:val="21"/>
          <w:szCs w:val="21"/>
          <w:rtl/>
        </w:rPr>
        <w:t xml:space="preserve">جمع‌بندی یافته‌های فصل چهار کانون ریسک را مشخص می‌کند (جدول ۶-۱۴).</w:t>
      </w:r>
    </w:p>
    <w:p>
      <w:pPr>
        <w:keepNext/>
        <w:bidi/>
        <w:spacing w:after="100" w:before="200"/>
        <w:jc w:val="left"/>
      </w:pPr>
      <w:r>
        <w:rPr>
          <w:rFonts w:ascii="Tahoma" w:cs="Tahoma" w:eastAsia="Tahoma" w:hAnsi="Tahoma"/>
          <w:b/>
          <w:bCs/>
          <w:sz w:val="21"/>
          <w:szCs w:val="21"/>
          <w:rtl/>
        </w:rPr>
        <w:t xml:space="preserve">جدول ۶-۱۴: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6"/>
        <w:gridCol w:w="2656"/>
        <w:gridCol w:w="2656"/>
        <w:gridCol w:w="1382"/>
      </w:tblGrid>
      <w:tr>
        <w:trPr>
          <w:cantSplit/>
          <w:tblHeader/>
        </w:trPr>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کانون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در معرض (هزار میلیارد تومان)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 کلیدی</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(رکوردهای دارای این برچسب)</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۸۴.۰۱٪ غیرجاری، ۸۷٪ فاقد رکورد قرارداد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بحرانی</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نسل ۱۴۰۴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نسل، هنوز نابالغ</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تمرکز تک‌نامی</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مشتری با ۴.۳۰٪ پرتفوی نمونه</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وام‌های بزرگ (بیش از ۵ میلیارد تومان)</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 غیرجاری، ۶۸.۳٪ مطالبات غیرجاری بخش دارای رکورد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w:t>
            </w:r>
          </w:p>
        </w:tc>
      </w:tr>
    </w:tbl>
    <w:p>
      <w:pPr>
        <w:spacing w:after="200"/>
      </w:pPr>
    </w:p>
    <w:p>
      <w:pPr>
        <w:pStyle w:val="Heading2"/>
        <w:keepNext/>
        <w:bidi/>
        <w:spacing w:after="160" w:before="300"/>
        <w:jc w:val="left"/>
      </w:pPr>
      <w:bookmarkStart w:name="_Toc61" w:id="61"/>
      <w:r>
        <w:rPr>
          <w:rFonts w:ascii="Tahoma" w:cs="Tahoma" w:eastAsia="Tahoma" w:hAnsi="Tahoma"/>
          <w:b/>
          <w:bCs/>
          <w:color w:val="1F4E79"/>
          <w:sz w:val="28"/>
          <w:szCs w:val="28"/>
          <w:rtl/>
        </w:rPr>
        <w:t xml:space="preserve">۶.۱۲ جمع‌بندی فصل</w:t>
      </w:r>
      <w:bookmarkEnd w:id="61"/>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ریسک با اندازه‌ی وام افزایش می‌یابد: ۲,۲۹۵ وام بزرگ ۶۸.۳ درصد مطالبات غیرجاری بخش دارای رکورد را دارند و تسهیلات خرد کمترین نسبت را دارند (۰.۶ درصد).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نسل ۱۴۰۳ بدترین نسل اعطاست (۱۳.۰۵ درصد) و نسل ۱۴۰۴ با ۵۹.۲ هزار میلیارد تومان بزرگ‌ترین نسل و هنوز نابالغ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بدون اعتبارات اسنادی، نسبت غیرجاری قراردادهای یک‌طرفه (۵.۴۵ درصد) و دو تا سه‌طرفه (۵.۱۱ درصد) تفاوت قابل‌توجهی ندارد.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تمرکز تک‌نامی: بیست مشتری برتر ۹.۵۴ درصد پرتفوی نمونه و بزرگ‌ترین مشتری ۴.۳۰ درصد آن را دارد؛ این ارقام بر ۷۷.۶ درصد پرتفوی قابل‌انتساب به مشتری متکی‌اند.</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جدول ۶-۸ مبنای ارزیابی عملکرد شعب نیست: اثر اندازه‌ی وام و اثر شعبه با تحلیل چندمتغیره در فاز ۲ تفکیک می‌شوند.</w:t>
      </w:r>
    </w:p>
    <w:p>
      <w:pPr>
        <w:pBdr>
          <w:bottom w:val="single" w:color="BBBBBB" w:sz="6"/>
        </w:pBdr>
        <w:spacing w:after="100" w:before="100"/>
      </w:pPr>
    </w:p>
    <w:p>
      <w:pPr>
        <w:pStyle w:val="Heading1"/>
        <w:keepNext/>
        <w:pageBreakBefore/>
        <w:bidi/>
        <w:spacing w:after="160" w:before="0"/>
        <w:jc w:val="left"/>
      </w:pPr>
      <w:bookmarkStart w:name="_Toc62" w:id="62"/>
      <w:r>
        <w:rPr>
          <w:rFonts w:ascii="Tahoma" w:cs="Tahoma" w:eastAsia="Tahoma" w:hAnsi="Tahoma"/>
          <w:b/>
          <w:bCs/>
          <w:color w:val="1F4E79"/>
          <w:sz w:val="34"/>
          <w:szCs w:val="34"/>
          <w:rtl/>
        </w:rPr>
        <w:t xml:space="preserve">فصل ۷: شبکه‌ی شعب و توزیع جغرافیایی</w:t>
      </w:r>
      <w:bookmarkEnd w:id="62"/>
    </w:p>
    <w:p>
      <w:pPr>
        <w:pStyle w:val="Heading2"/>
        <w:keepNext/>
        <w:bidi/>
        <w:spacing w:after="160" w:before="300"/>
        <w:jc w:val="left"/>
      </w:pPr>
      <w:bookmarkStart w:name="_Toc63" w:id="63"/>
      <w:r>
        <w:rPr>
          <w:rFonts w:ascii="Tahoma" w:cs="Tahoma" w:eastAsia="Tahoma" w:hAnsi="Tahoma"/>
          <w:b/>
          <w:bCs/>
          <w:color w:val="1F4E79"/>
          <w:sz w:val="28"/>
          <w:szCs w:val="28"/>
          <w:rtl/>
        </w:rPr>
        <w:t xml:space="preserve">۷.۰ هدف و دامنه‌ی فصل</w:t>
      </w:r>
      <w:bookmarkEnd w:id="63"/>
    </w:p>
    <w:p>
      <w:pPr>
        <w:bidi/>
        <w:spacing w:after="160" w:line="312"/>
        <w:jc w:val="left"/>
      </w:pPr>
      <w:r>
        <w:rPr>
          <w:rFonts w:ascii="Tahoma" w:cs="Tahoma" w:eastAsia="Tahoma" w:hAnsi="Tahoma"/>
          <w:sz w:val="21"/>
          <w:szCs w:val="21"/>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Tahoma" w:cs="Tahoma" w:eastAsia="Tahoma" w:hAnsi="Tahoma"/>
          <w:sz w:val="21"/>
          <w:szCs w:val="21"/>
          <w:rtl/>
        </w:rPr>
        <w:t xml:space="preserve">ارقام بخش‌های ۷.۱ تا ۷.۶ بر </w:t>
      </w:r>
      <w:r>
        <w:rPr>
          <w:rFonts w:ascii="Tahoma" w:cs="Tahoma" w:eastAsia="Tahoma" w:hAnsi="Tahoma"/>
          <w:b/>
          <w:bCs/>
          <w:sz w:val="21"/>
          <w:szCs w:val="21"/>
          <w:rtl/>
        </w:rPr>
        <w:t xml:space="preserve">آمار رسمی ماهانه‌ی کل بانک</w:t>
      </w:r>
      <w:r>
        <w:rPr>
          <w:rFonts w:ascii="Tahoma" w:cs="Tahoma" w:eastAsia="Tahoma" w:hAnsi="Tahoma"/>
          <w:sz w:val="21"/>
          <w:szCs w:val="21"/>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4" w:id="64"/>
      <w:r>
        <w:rPr>
          <w:rFonts w:ascii="Tahoma" w:cs="Tahoma" w:eastAsia="Tahoma" w:hAnsi="Tahoma"/>
          <w:b/>
          <w:bCs/>
          <w:color w:val="1F4E79"/>
          <w:sz w:val="28"/>
          <w:szCs w:val="28"/>
          <w:rtl/>
        </w:rPr>
        <w:t xml:space="preserve">۷.۱ ساختار استانی منابع و مصارف</w:t>
      </w:r>
      <w:bookmarkEnd w:id="64"/>
    </w:p>
    <w:p>
      <w:pPr>
        <w:bidi/>
        <w:spacing w:after="160" w:line="312"/>
        <w:jc w:val="left"/>
      </w:pPr>
      <w:r>
        <w:rPr>
          <w:rFonts w:ascii="Tahoma" w:cs="Tahoma" w:eastAsia="Tahoma" w:hAnsi="Tahoma"/>
          <w:sz w:val="21"/>
          <w:szCs w:val="21"/>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Tahoma" w:cs="Tahoma" w:eastAsia="Tahoma" w:hAnsi="Tahoma"/>
          <w:b/>
          <w:bCs/>
          <w:sz w:val="21"/>
          <w:szCs w:val="21"/>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۷-۱: نقشه‌ی استانی توزیع منابع و کیفیت دارایی‌ها</w:t>
      </w:r>
    </w:p>
    <w:p>
      <w:pPr>
        <w:bidi/>
        <w:spacing w:after="160" w:line="312"/>
        <w:jc w:val="left"/>
      </w:pPr>
      <w:r>
        <w:rPr>
          <w:rFonts w:ascii="Tahoma" w:cs="Tahoma" w:eastAsia="Tahoma" w:hAnsi="Tahoma"/>
          <w:sz w:val="21"/>
          <w:szCs w:val="21"/>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۷-۲: سهم ۱۵ استان بزرگ از منابع ریالی و تسهیلات بانک (۱۲/۱۴۰۴)</w:t>
      </w:r>
    </w:p>
    <w:p>
      <w:pPr>
        <w:bidi/>
        <w:spacing w:after="160" w:line="312"/>
        <w:jc w:val="left"/>
      </w:pPr>
      <w:r>
        <w:rPr>
          <w:rFonts w:ascii="Tahoma" w:cs="Tahoma" w:eastAsia="Tahoma" w:hAnsi="Tahoma"/>
          <w:sz w:val="21"/>
          <w:szCs w:val="21"/>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Tahoma" w:cs="Tahoma" w:eastAsia="Tahoma" w:hAnsi="Tahoma"/>
          <w:b/>
          <w:bCs/>
          <w:sz w:val="21"/>
          <w:szCs w:val="21"/>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مازاد یا کسری منابع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۰.۰۱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pBdr>
          <w:bottom w:val="single" w:color="BBBBBB" w:sz="6"/>
        </w:pBdr>
        <w:spacing w:after="100" w:before="100"/>
      </w:pPr>
    </w:p>
    <w:p>
      <w:pPr>
        <w:pStyle w:val="Heading2"/>
        <w:keepNext/>
        <w:bidi/>
        <w:spacing w:after="160" w:before="300"/>
        <w:jc w:val="left"/>
      </w:pPr>
      <w:bookmarkStart w:name="_Toc65" w:id="65"/>
      <w:r>
        <w:rPr>
          <w:rFonts w:ascii="Tahoma" w:cs="Tahoma" w:eastAsia="Tahoma" w:hAnsi="Tahoma"/>
          <w:b/>
          <w:bCs/>
          <w:color w:val="1F4E79"/>
          <w:sz w:val="28"/>
          <w:szCs w:val="28"/>
          <w:rtl/>
        </w:rPr>
        <w:t xml:space="preserve">۷.۲ توازن منابع و مصارف استان‌ها</w:t>
      </w:r>
      <w:bookmarkEnd w:id="65"/>
    </w:p>
    <w:p>
      <w:pPr>
        <w:bidi/>
        <w:spacing w:after="160" w:line="312"/>
        <w:jc w:val="left"/>
      </w:pPr>
      <w:r>
        <w:rPr>
          <w:rFonts w:ascii="Tahoma" w:cs="Tahoma" w:eastAsia="Tahoma" w:hAnsi="Tahoma"/>
          <w:sz w:val="21"/>
          <w:szCs w:val="21"/>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۷-۳: نسبت تسهیلات به منابع ریالی به تفکیک استان (۱۲/۱۴۰۴)</w:t>
      </w:r>
    </w:p>
    <w:p>
      <w:pPr>
        <w:bidi/>
        <w:spacing w:after="160" w:line="312"/>
        <w:jc w:val="left"/>
      </w:pPr>
      <w:r>
        <w:rPr>
          <w:rFonts w:ascii="Tahoma" w:cs="Tahoma" w:eastAsia="Tahoma" w:hAnsi="Tahoma"/>
          <w:sz w:val="21"/>
          <w:szCs w:val="21"/>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6" w:id="66"/>
      <w:r>
        <w:rPr>
          <w:rFonts w:ascii="Tahoma" w:cs="Tahoma" w:eastAsia="Tahoma" w:hAnsi="Tahoma"/>
          <w:b/>
          <w:bCs/>
          <w:color w:val="1F4E79"/>
          <w:sz w:val="28"/>
          <w:szCs w:val="28"/>
          <w:rtl/>
        </w:rPr>
        <w:t xml:space="preserve">۷.۳ کیفیت دارایی در استان‌ها</w:t>
      </w:r>
      <w:bookmarkEnd w:id="66"/>
    </w:p>
    <w:p>
      <w:pPr>
        <w:bidi/>
        <w:spacing w:after="160" w:line="312"/>
        <w:jc w:val="left"/>
      </w:pPr>
      <w:r>
        <w:rPr>
          <w:rFonts w:ascii="Tahoma" w:cs="Tahoma" w:eastAsia="Tahoma" w:hAnsi="Tahoma"/>
          <w:sz w:val="21"/>
          <w:szCs w:val="21"/>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Tahoma" w:cs="Tahoma" w:eastAsia="Tahoma" w:hAnsi="Tahoma"/>
          <w:sz w:val="21"/>
          <w:szCs w:val="21"/>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Tahoma" w:cs="Tahoma" w:eastAsia="Tahoma" w:hAnsi="Tahoma"/>
          <w:b/>
          <w:bCs/>
          <w:sz w:val="21"/>
          <w:szCs w:val="21"/>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bl>
    <w:p>
      <w:pPr>
        <w:spacing w:after="200"/>
      </w:pPr>
    </w:p>
    <w:p>
      <w:pPr>
        <w:bidi/>
        <w:spacing w:after="160" w:line="312"/>
        <w:jc w:val="left"/>
      </w:pPr>
      <w:r>
        <w:rPr>
          <w:rFonts w:ascii="Tahoma" w:cs="Tahoma" w:eastAsia="Tahoma" w:hAnsi="Tahoma"/>
          <w:sz w:val="21"/>
          <w:szCs w:val="21"/>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بر نسبت غیرجاری کل بانک اثر بیشتری دارد، زیرا سهم این چهار استان از مطالبات غیرجاری ۳۷.۹ درصد است (جدول ۷-۳).</w:t>
      </w:r>
    </w:p>
    <w:p>
      <w:pPr>
        <w:pBdr>
          <w:bottom w:val="single" w:color="BBBBBB" w:sz="6"/>
        </w:pBdr>
        <w:spacing w:after="100" w:before="100"/>
      </w:pPr>
    </w:p>
    <w:p>
      <w:pPr>
        <w:pStyle w:val="Heading2"/>
        <w:keepNext/>
        <w:bidi/>
        <w:spacing w:after="160" w:before="300"/>
        <w:jc w:val="left"/>
      </w:pPr>
      <w:bookmarkStart w:name="_Toc67" w:id="67"/>
      <w:r>
        <w:rPr>
          <w:rFonts w:ascii="Tahoma" w:cs="Tahoma" w:eastAsia="Tahoma" w:hAnsi="Tahoma"/>
          <w:b/>
          <w:bCs/>
          <w:color w:val="1F4E79"/>
          <w:sz w:val="28"/>
          <w:szCs w:val="28"/>
          <w:rtl/>
        </w:rPr>
        <w:t xml:space="preserve">۷.۴ روند رشد استانی در ۶۰ ماه</w:t>
      </w:r>
      <w:bookmarkEnd w:id="67"/>
    </w:p>
    <w:p>
      <w:pPr>
        <w:bidi/>
        <w:spacing w:after="160" w:line="312"/>
        <w:jc w:val="left"/>
      </w:pPr>
      <w:r>
        <w:rPr>
          <w:rFonts w:ascii="Tahoma" w:cs="Tahoma" w:eastAsia="Tahoma" w:hAnsi="Tahoma"/>
          <w:sz w:val="21"/>
          <w:szCs w:val="21"/>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۷-۵: چند برابر شدن منابع و تسهیلات هر استان از ۰۱/۱۴۰۰ تا ۱۲/۱۴۰۴</w:t>
      </w:r>
    </w:p>
    <w:p>
      <w:pPr>
        <w:bidi/>
        <w:spacing w:after="160" w:line="312"/>
        <w:jc w:val="left"/>
      </w:pPr>
      <w:r>
        <w:rPr>
          <w:rFonts w:ascii="Tahoma" w:cs="Tahoma" w:eastAsia="Tahoma" w:hAnsi="Tahoma"/>
          <w:sz w:val="21"/>
          <w:szCs w:val="21"/>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68" w:id="68"/>
      <w:r>
        <w:rPr>
          <w:rFonts w:ascii="Tahoma" w:cs="Tahoma" w:eastAsia="Tahoma" w:hAnsi="Tahoma"/>
          <w:b/>
          <w:bCs/>
          <w:color w:val="1F4E79"/>
          <w:sz w:val="28"/>
          <w:szCs w:val="28"/>
          <w:rtl/>
        </w:rPr>
        <w:t xml:space="preserve">۷.۵ ترکیب منابع در استان‌ها</w:t>
      </w:r>
      <w:bookmarkEnd w:id="68"/>
    </w:p>
    <w:p>
      <w:pPr>
        <w:bidi/>
        <w:spacing w:after="160" w:line="312"/>
        <w:jc w:val="left"/>
      </w:pPr>
      <w:r>
        <w:rPr>
          <w:rFonts w:ascii="Tahoma" w:cs="Tahoma" w:eastAsia="Tahoma" w:hAnsi="Tahoma"/>
          <w:sz w:val="21"/>
          <w:szCs w:val="21"/>
          <w:rtl/>
        </w:rPr>
        <w:t xml:space="preserve">ترکیب منابع هر استان بر هزینه‌ی تأمین مالی آن اثر مستقیم دارد: قرض‌الحسنه (جاری و پس‌انداز) بدون هزینه‌ی سود است و سپرده‌ی بلندمدت معمولاً پرهزینه‌ترین منبع است. نمودار ۷-۶ ترکیب منابع هر استان را در ۱۰/۱۴۰۴ نشان می‌دهد؛ این مقطع آخرین مقطعی است که جمع انواع سپرده در فایل رسمی با جمع منابع هم‌خوان است (بخش ۹.۵).</w:t>
      </w:r>
    </w:p>
    <w:p>
      <w:pPr>
        <w:keepNext/>
        <w:spacing w:after="60" w:before="160"/>
        <w:jc w:val="center"/>
      </w:pPr>
      <w:r>
        <w:drawing>
          <wp:inline distT="0" distB="0" distL="0" distR="0">
            <wp:extent cx="5715000" cy="54387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۷-۶: ترکیب منابع ریالی هر استان بر حسب نوع سپرده (۱۰/۱۴۰۴)</w:t>
      </w:r>
    </w:p>
    <w:p>
      <w:pPr>
        <w:bidi/>
        <w:spacing w:after="160" w:line="312"/>
        <w:jc w:val="left"/>
      </w:pPr>
      <w:r>
        <w:rPr>
          <w:rFonts w:ascii="Tahoma" w:cs="Tahoma" w:eastAsia="Tahoma" w:hAnsi="Tahoma"/>
          <w:sz w:val="21"/>
          <w:szCs w:val="21"/>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69" w:id="69"/>
      <w:r>
        <w:rPr>
          <w:rFonts w:ascii="Tahoma" w:cs="Tahoma" w:eastAsia="Tahoma" w:hAnsi="Tahoma"/>
          <w:b/>
          <w:bCs/>
          <w:color w:val="1F4E79"/>
          <w:sz w:val="28"/>
          <w:szCs w:val="28"/>
          <w:rtl/>
        </w:rPr>
        <w:t xml:space="preserve">۷.۶ ساختار شبکه‌ی شعب</w:t>
      </w:r>
      <w:bookmarkEnd w:id="69"/>
    </w:p>
    <w:p>
      <w:pPr>
        <w:bidi/>
        <w:spacing w:after="160" w:line="312"/>
        <w:jc w:val="left"/>
      </w:pPr>
      <w:r>
        <w:rPr>
          <w:rFonts w:ascii="Tahoma" w:cs="Tahoma" w:eastAsia="Tahoma" w:hAnsi="Tahoma"/>
          <w:sz w:val="21"/>
          <w:szCs w:val="21"/>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Tahoma" w:cs="Tahoma" w:eastAsia="Tahoma" w:hAnsi="Tahoma"/>
          <w:sz w:val="21"/>
          <w:szCs w:val="21"/>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pPr>
        <w:keepNext/>
        <w:spacing w:after="60" w:before="160"/>
        <w:jc w:val="center"/>
      </w:pPr>
      <w:r>
        <w:drawing>
          <wp:inline distT="0" distB="0" distL="0" distR="0">
            <wp:extent cx="5715000" cy="4905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0" w:id="70"/>
      <w:r>
        <w:rPr>
          <w:rFonts w:ascii="Tahoma" w:cs="Tahoma" w:eastAsia="Tahoma" w:hAnsi="Tahoma"/>
          <w:b/>
          <w:bCs/>
          <w:color w:val="1F4E79"/>
          <w:sz w:val="28"/>
          <w:szCs w:val="28"/>
          <w:rtl/>
        </w:rPr>
        <w:t xml:space="preserve">۷.۷ هم‌خوانی الگوی استانی نمونه با بانک</w:t>
      </w:r>
      <w:bookmarkEnd w:id="70"/>
    </w:p>
    <w:p>
      <w:pPr>
        <w:bidi/>
        <w:spacing w:after="160" w:line="312"/>
        <w:jc w:val="left"/>
      </w:pPr>
      <w:r>
        <w:rPr>
          <w:rFonts w:ascii="Tahoma" w:cs="Tahoma" w:eastAsia="Tahoma" w:hAnsi="Tahoma"/>
          <w:sz w:val="21"/>
          <w:szCs w:val="21"/>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۷-۸: مقایسه‌ی سهم استانی تسهیلات نمونه با آمار رسمی و پوشش هر استان (۱۲/۱۴۰۴)</w:t>
      </w:r>
    </w:p>
    <w:p>
      <w:pPr>
        <w:bidi/>
        <w:spacing w:after="160" w:line="312"/>
        <w:jc w:val="left"/>
      </w:pPr>
      <w:r>
        <w:rPr>
          <w:rFonts w:ascii="Tahoma" w:cs="Tahoma" w:eastAsia="Tahoma" w:hAnsi="Tahoma"/>
          <w:sz w:val="21"/>
          <w:szCs w:val="21"/>
          <w:rtl/>
        </w:rPr>
        <w:t xml:space="preserve">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pPr>
        <w:pBdr>
          <w:bottom w:val="single" w:color="BBBBBB" w:sz="6"/>
        </w:pBdr>
        <w:spacing w:after="100" w:before="100"/>
      </w:pPr>
    </w:p>
    <w:p>
      <w:pPr>
        <w:pStyle w:val="Heading2"/>
        <w:keepNext/>
        <w:bidi/>
        <w:spacing w:after="160" w:before="300"/>
        <w:jc w:val="left"/>
      </w:pPr>
      <w:bookmarkStart w:name="_Toc71" w:id="71"/>
      <w:r>
        <w:rPr>
          <w:rFonts w:ascii="Tahoma" w:cs="Tahoma" w:eastAsia="Tahoma" w:hAnsi="Tahoma"/>
          <w:b/>
          <w:bCs/>
          <w:color w:val="1F4E79"/>
          <w:sz w:val="28"/>
          <w:szCs w:val="28"/>
          <w:rtl/>
        </w:rPr>
        <w:t xml:space="preserve">۷.۸ پراکندگی جغرافیایی مشتریان</w:t>
      </w:r>
      <w:bookmarkEnd w:id="71"/>
    </w:p>
    <w:p>
      <w:pPr>
        <w:bidi/>
        <w:spacing w:after="160" w:line="312"/>
        <w:jc w:val="left"/>
      </w:pPr>
      <w:r>
        <w:rPr>
          <w:rFonts w:ascii="Tahoma" w:cs="Tahoma" w:eastAsia="Tahoma" w:hAnsi="Tahoma"/>
          <w:sz w:val="21"/>
          <w:szCs w:val="21"/>
          <w:rtl/>
        </w:rPr>
        <w:t xml:space="preserve">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Tahoma" w:cs="Tahoma" w:eastAsia="Tahoma" w:hAnsi="Tahoma"/>
          <w:sz w:val="21"/>
          <w:szCs w:val="21"/>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5715000" cy="36480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6480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۷-۹: سهم ۱۲ استان بزرگ از مشتریان نمونه در مقایسه با سهم آن‌ها از منابع رسمی بانک</w:t>
      </w:r>
    </w:p>
    <w:p>
      <w:pPr>
        <w:bidi/>
        <w:spacing w:after="160" w:line="312"/>
        <w:jc w:val="left"/>
      </w:pPr>
      <w:r>
        <w:rPr>
          <w:rFonts w:ascii="Tahoma" w:cs="Tahoma" w:eastAsia="Tahoma" w:hAnsi="Tahoma"/>
          <w:sz w:val="21"/>
          <w:szCs w:val="21"/>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2" w:id="72"/>
      <w:r>
        <w:rPr>
          <w:rFonts w:ascii="Tahoma" w:cs="Tahoma" w:eastAsia="Tahoma" w:hAnsi="Tahoma"/>
          <w:b/>
          <w:bCs/>
          <w:color w:val="1F4E79"/>
          <w:sz w:val="28"/>
          <w:szCs w:val="28"/>
          <w:rtl/>
        </w:rPr>
        <w:t xml:space="preserve">۷.۹ جمع‌بندی فصل</w:t>
      </w:r>
      <w:bookmarkEnd w:id="72"/>
    </w:p>
    <w:p>
      <w:pPr>
        <w:bidi/>
        <w:spacing w:after="160" w:line="312"/>
        <w:jc w:val="left"/>
      </w:pPr>
      <w:r>
        <w:rPr>
          <w:rFonts w:ascii="Tahoma" w:cs="Tahoma" w:eastAsia="Tahoma" w:hAnsi="Tahoma"/>
          <w:sz w:val="21"/>
          <w:szCs w:val="21"/>
          <w:rtl/>
        </w:rPr>
        <w:t xml:space="preserve">نتایج جغرافیایی فصل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ساختار:</w:t>
      </w:r>
      <w:r>
        <w:rPr>
          <w:rFonts w:ascii="Tahoma" w:cs="Tahoma" w:eastAsia="Tahoma" w:hAnsi="Tahoma"/>
          <w:sz w:val="21"/>
          <w:szCs w:val="21"/>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توازن:</w:t>
      </w:r>
      <w:r>
        <w:rPr>
          <w:rFonts w:ascii="Tahoma" w:cs="Tahoma" w:eastAsia="Tahoma" w:hAnsi="Tahoma"/>
          <w:sz w:val="21"/>
          <w:szCs w:val="21"/>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ریسک جغرافیایی:</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ترکیب منابع:</w:t>
      </w:r>
      <w:r>
        <w:rPr>
          <w:rFonts w:ascii="Tahoma" w:cs="Tahoma" w:eastAsia="Tahoma" w:hAnsi="Tahoma"/>
          <w:sz w:val="21"/>
          <w:szCs w:val="21"/>
          <w:rtl/>
        </w:rPr>
        <w:t xml:space="preserve"> سهم قرض‌الحسنه در استان‌ها از ۲۲ تا ۶۳ درصد تغییر می‌کند و تهران کمترین سهم قرض‌الحسنه (۲۲.۲ درصد) و در نتیجه پرهزینه‌ترین ترکیب منابع را دارد.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شبکه:</w:t>
      </w:r>
      <w:r>
        <w:rPr>
          <w:rFonts w:ascii="Tahoma" w:cs="Tahoma" w:eastAsia="Tahoma" w:hAnsi="Tahoma"/>
          <w:sz w:val="21"/>
          <w:szCs w:val="21"/>
          <w:rtl/>
        </w:rPr>
        <w:t xml:space="preserve"> ۵۰۳ واحد، با تمرکز تسهیلات بیشتر از منابع (جینی ۰.۵۱ در برابر ۰.۴۲).</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هم‌خوانی نمونه:</w:t>
      </w:r>
      <w:r>
        <w:rPr>
          <w:rFonts w:ascii="Tahoma" w:cs="Tahoma" w:eastAsia="Tahoma" w:hAnsi="Tahoma"/>
          <w:sz w:val="21"/>
          <w:szCs w:val="21"/>
          <w:rtl/>
        </w:rPr>
        <w:t xml:space="preserve"> الگوی استانی نمونه با آمار رسمی همبستگی ۰.۹۹ دارد (سهم استانی بخشی از طراحی نمونه است) و پوشش استان‌ها ۵۴ تا ۸۲ درصد است.</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مشتریان:</w:t>
      </w:r>
      <w:r>
        <w:rPr>
          <w:rFonts w:ascii="Tahoma" w:cs="Tahoma" w:eastAsia="Tahoma" w:hAnsi="Tahoma"/>
          <w:sz w:val="21"/>
          <w:szCs w:val="21"/>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3" w:id="73"/>
      <w:r>
        <w:rPr>
          <w:rFonts w:ascii="Tahoma" w:cs="Tahoma" w:eastAsia="Tahoma" w:hAnsi="Tahoma"/>
          <w:b/>
          <w:bCs/>
          <w:color w:val="1F4E79"/>
          <w:sz w:val="34"/>
          <w:szCs w:val="34"/>
          <w:rtl/>
        </w:rPr>
        <w:t xml:space="preserve">فصل ۸: برآورد سودآوری</w:t>
      </w:r>
      <w:bookmarkEnd w:id="73"/>
    </w:p>
    <w:p>
      <w:pPr>
        <w:pStyle w:val="Heading2"/>
        <w:keepNext/>
        <w:bidi/>
        <w:spacing w:after="160" w:before="300"/>
        <w:jc w:val="left"/>
      </w:pPr>
      <w:bookmarkStart w:name="_Toc74" w:id="74"/>
      <w:r>
        <w:rPr>
          <w:rFonts w:ascii="Tahoma" w:cs="Tahoma" w:eastAsia="Tahoma" w:hAnsi="Tahoma"/>
          <w:b/>
          <w:bCs/>
          <w:color w:val="1F4E79"/>
          <w:sz w:val="28"/>
          <w:szCs w:val="28"/>
          <w:rtl/>
        </w:rPr>
        <w:t xml:space="preserve">۸.۱ هدف، مبنا و دامنه</w:t>
      </w:r>
      <w:bookmarkEnd w:id="74"/>
    </w:p>
    <w:p>
      <w:pPr>
        <w:bidi/>
        <w:spacing w:after="160" w:line="312"/>
        <w:jc w:val="left"/>
      </w:pPr>
      <w:r>
        <w:rPr>
          <w:rFonts w:ascii="Tahoma" w:cs="Tahoma" w:eastAsia="Tahoma" w:hAnsi="Tahoma"/>
          <w:sz w:val="21"/>
          <w:szCs w:val="21"/>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Tahoma" w:cs="Tahoma" w:eastAsia="Tahoma" w:hAnsi="Tahoma"/>
          <w:sz w:val="21"/>
          <w:szCs w:val="21"/>
          <w:rtl/>
        </w:rPr>
        <w:t xml:space="preserve">برآورد سه جزء دارد: هزینه‌ی تأمین مالی که از جدول مرجع سود پرداختی خود بانک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5" w:id="75"/>
      <w:r>
        <w:rPr>
          <w:rFonts w:ascii="Tahoma" w:cs="Tahoma" w:eastAsia="Tahoma" w:hAnsi="Tahoma"/>
          <w:b/>
          <w:bCs/>
          <w:color w:val="1F4E79"/>
          <w:sz w:val="28"/>
          <w:szCs w:val="28"/>
          <w:rtl/>
        </w:rPr>
        <w:t xml:space="preserve">۸.۲ هزینه‌ی تأمین مالی بانک</w:t>
      </w:r>
      <w:bookmarkEnd w:id="75"/>
    </w:p>
    <w:p>
      <w:pPr>
        <w:bidi/>
        <w:spacing w:after="160" w:line="312"/>
        <w:jc w:val="left"/>
      </w:pPr>
      <w:r>
        <w:rPr>
          <w:rFonts w:ascii="Tahoma" w:cs="Tahoma" w:eastAsia="Tahoma" w:hAnsi="Tahoma"/>
          <w:sz w:val="21"/>
          <w:szCs w:val="21"/>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pPr>
        <w:keepNext/>
        <w:bidi/>
        <w:spacing w:after="100" w:before="200"/>
        <w:jc w:val="left"/>
      </w:pPr>
      <w:r>
        <w:rPr>
          <w:rFonts w:ascii="Tahoma" w:cs="Tahoma" w:eastAsia="Tahoma" w:hAnsi="Tahoma"/>
          <w:b/>
          <w:bCs/>
          <w:sz w:val="21"/>
          <w:szCs w:val="21"/>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۸.۰۸٪</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۱۰.۴۶٪</w:t>
            </w:r>
          </w:p>
        </w:tc>
      </w:tr>
    </w:tbl>
    <w:p>
      <w:pPr>
        <w:spacing w:after="200"/>
      </w:pPr>
    </w:p>
    <w:p>
      <w:pPr>
        <w:keepNext/>
        <w:spacing w:after="60" w:before="160"/>
        <w:jc w:val="center"/>
      </w:pPr>
      <w:r>
        <w:drawing>
          <wp:inline distT="0" distB="0" distL="0" distR="0">
            <wp:extent cx="5715000" cy="21526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۸-۱: منابع، سود پرداختی سالانه و نرخ هزینه‌ی تأمین مالی بانک</w:t>
      </w:r>
    </w:p>
    <w:p>
      <w:pPr>
        <w:bidi/>
        <w:spacing w:after="160" w:line="312"/>
        <w:jc w:val="left"/>
      </w:pPr>
      <w:r>
        <w:rPr>
          <w:rFonts w:ascii="Tahoma" w:cs="Tahoma" w:eastAsia="Tahoma" w:hAnsi="Tahoma"/>
          <w:sz w:val="21"/>
          <w:szCs w:val="21"/>
          <w:rtl/>
        </w:rPr>
        <w:t xml:space="preserve">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pPr>
        <w:pBdr>
          <w:bottom w:val="single" w:color="BBBBBB" w:sz="6"/>
        </w:pBdr>
        <w:spacing w:after="100" w:before="100"/>
      </w:pPr>
    </w:p>
    <w:p>
      <w:pPr>
        <w:pStyle w:val="Heading2"/>
        <w:keepNext/>
        <w:bidi/>
        <w:spacing w:after="160" w:before="300"/>
        <w:jc w:val="left"/>
      </w:pPr>
      <w:bookmarkStart w:name="_Toc76" w:id="76"/>
      <w:r>
        <w:rPr>
          <w:rFonts w:ascii="Tahoma" w:cs="Tahoma" w:eastAsia="Tahoma" w:hAnsi="Tahoma"/>
          <w:b/>
          <w:bCs/>
          <w:color w:val="1F4E79"/>
          <w:sz w:val="28"/>
          <w:szCs w:val="28"/>
          <w:rtl/>
        </w:rPr>
        <w:t xml:space="preserve">۸.۳ ترکیب منابع و ساختار هزینه</w:t>
      </w:r>
      <w:bookmarkEnd w:id="76"/>
    </w:p>
    <w:p>
      <w:pPr>
        <w:bidi/>
        <w:spacing w:after="160" w:line="312"/>
        <w:jc w:val="left"/>
      </w:pPr>
      <w:r>
        <w:rPr>
          <w:rFonts w:ascii="Tahoma" w:cs="Tahoma" w:eastAsia="Tahoma" w:hAnsi="Tahoma"/>
          <w:sz w:val="21"/>
          <w:szCs w:val="21"/>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۸-۲: ترکیب منابع ریالی بانک بر حسب نوع سپرده (۰۱/۱۴۰۰ تا ۱۰/۱۴۰۴)</w:t>
      </w:r>
    </w:p>
    <w:p>
      <w:pPr>
        <w:bidi/>
        <w:spacing w:after="160" w:line="312"/>
        <w:jc w:val="left"/>
      </w:pPr>
      <w:r>
        <w:rPr>
          <w:rFonts w:ascii="Tahoma" w:cs="Tahoma" w:eastAsia="Tahoma" w:hAnsi="Tahoma"/>
          <w:sz w:val="21"/>
          <w:szCs w:val="21"/>
          <w:rtl/>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7" w:id="77"/>
      <w:r>
        <w:rPr>
          <w:rFonts w:ascii="Tahoma" w:cs="Tahoma" w:eastAsia="Tahoma" w:hAnsi="Tahoma"/>
          <w:b/>
          <w:bCs/>
          <w:color w:val="1F4E79"/>
          <w:sz w:val="28"/>
          <w:szCs w:val="28"/>
          <w:rtl/>
        </w:rPr>
        <w:t xml:space="preserve">۸.۴ بازده تسهیلات</w:t>
      </w:r>
      <w:bookmarkEnd w:id="77"/>
    </w:p>
    <w:p>
      <w:pPr>
        <w:pStyle w:val="Heading3"/>
        <w:keepNext/>
        <w:bidi/>
        <w:spacing w:after="160" w:before="300"/>
        <w:jc w:val="left"/>
      </w:pPr>
      <w:r>
        <w:rPr>
          <w:rFonts w:ascii="Tahoma" w:cs="Tahoma" w:eastAsia="Tahoma" w:hAnsi="Tahoma"/>
          <w:b/>
          <w:bCs/>
          <w:color w:val="1F4E79"/>
          <w:sz w:val="24"/>
          <w:szCs w:val="24"/>
          <w:rtl/>
        </w:rPr>
        <w:t xml:space="preserve">۸.۴.۱ نرخ قراردادی</w:t>
      </w:r>
    </w:p>
    <w:p>
      <w:pPr>
        <w:bidi/>
        <w:spacing w:after="160" w:line="312"/>
        <w:jc w:val="left"/>
      </w:pPr>
      <w:r>
        <w:rPr>
          <w:rFonts w:ascii="Tahoma" w:cs="Tahoma" w:eastAsia="Tahoma" w:hAnsi="Tahoma"/>
          <w:sz w:val="21"/>
          <w:szCs w:val="21"/>
          <w:rtl/>
        </w:rPr>
        <w:t xml:space="preserve">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pPr>
        <w:keepNext/>
        <w:bidi/>
        <w:spacing w:after="100" w:before="200"/>
        <w:jc w:val="left"/>
      </w:pPr>
      <w:r>
        <w:rPr>
          <w:rFonts w:ascii="Tahoma" w:cs="Tahoma" w:eastAsia="Tahoma" w:hAnsi="Tahoma"/>
          <w:b/>
          <w:bCs/>
          <w:sz w:val="21"/>
          <w:szCs w:val="21"/>
          <w:rtl/>
        </w:rPr>
        <w:t xml:space="preserve">جدول ۸-۲: نرخ قراردادی تسهیلات به تفکیک نوع قرارداد و اختلاف آن با هزینه‌ی تأمین مالی (وزن مانده‌ی ۱۲/۱۴۰۴،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71"/>
        <w:gridCol w:w="2662"/>
        <w:gridCol w:w="1971"/>
        <w:gridCol w:w="2746"/>
      </w:tblGrid>
      <w:tr>
        <w:trPr>
          <w:cantSplit/>
          <w:tblHeader/>
        </w:trPr>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قرارداد</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دارای رکورد</w:t>
            </w:r>
          </w:p>
        </w:tc>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قراردادی</w:t>
            </w:r>
          </w:p>
        </w:tc>
        <w:tc>
          <w:tcPr>
            <w:tcW w:type="dxa" w:w="27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اختلاف با هزینه‌ی تأمین مالی</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۲۲.۷۷٪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۱۲.۳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۲۲.۰۲٪</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۲۱.۲۷٪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۱۶.۹۱٪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۱۵.۳۷٪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 کمتر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۱۷.۰۸٪</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۶.۶ بیشتر</w:t>
            </w:r>
          </w:p>
        </w:tc>
      </w:tr>
    </w:tbl>
    <w:p>
      <w:pPr>
        <w:spacing w:after="200"/>
      </w:pPr>
    </w:p>
    <w:p>
      <w:pPr>
        <w:keepNext/>
        <w:spacing w:after="60" w:before="160"/>
        <w:jc w:val="center"/>
      </w:pPr>
      <w:r>
        <w:drawing>
          <wp:inline distT="0" distB="0" distL="0" distR="0">
            <wp:extent cx="5715000" cy="29718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۸-۳: نرخ قراردادی تسهیلات به تفکیک نوع قرارداد و نرخ هزینه‌ی تأمین مالی</w:t>
      </w:r>
    </w:p>
    <w:p>
      <w:pPr>
        <w:bidi/>
        <w:spacing w:after="160" w:line="312"/>
        <w:jc w:val="left"/>
      </w:pPr>
      <w:r>
        <w:rPr>
          <w:rFonts w:ascii="Tahoma" w:cs="Tahoma" w:eastAsia="Tahoma" w:hAnsi="Tahoma"/>
          <w:sz w:val="21"/>
          <w:szCs w:val="21"/>
          <w:rtl/>
        </w:rPr>
        <w:t xml:space="preserve">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pPr>
        <w:pStyle w:val="Heading3"/>
        <w:keepNext/>
        <w:bidi/>
        <w:spacing w:after="160" w:before="300"/>
        <w:jc w:val="left"/>
      </w:pPr>
      <w:r>
        <w:rPr>
          <w:rFonts w:ascii="Tahoma" w:cs="Tahoma" w:eastAsia="Tahoma" w:hAnsi="Tahoma"/>
          <w:b/>
          <w:bCs/>
          <w:color w:val="1F4E79"/>
          <w:sz w:val="24"/>
          <w:szCs w:val="24"/>
          <w:rtl/>
        </w:rPr>
        <w:t xml:space="preserve">۸.۴.۲ درآمد دریافتی</w:t>
      </w:r>
    </w:p>
    <w:p>
      <w:pPr>
        <w:bidi/>
        <w:spacing w:after="160" w:line="312"/>
        <w:jc w:val="left"/>
      </w:pPr>
      <w:r>
        <w:rPr>
          <w:rFonts w:ascii="Tahoma" w:cs="Tahoma" w:eastAsia="Tahoma" w:hAnsi="Tahoma"/>
          <w:sz w:val="21"/>
          <w:szCs w:val="21"/>
          <w:rtl/>
        </w:rPr>
        <w:t xml:space="preserve">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غیرجاری ۲۱ درصد دارد و بازده آن احتمالاً پایین‌تر است.</w:t>
      </w:r>
    </w:p>
    <w:p>
      <w:pPr>
        <w:keepNext/>
        <w:bidi/>
        <w:spacing w:after="100" w:before="200"/>
        <w:jc w:val="left"/>
      </w:pPr>
      <w:r>
        <w:rPr>
          <w:rFonts w:ascii="Tahoma" w:cs="Tahoma" w:eastAsia="Tahoma" w:hAnsi="Tahoma"/>
          <w:b/>
          <w:bCs/>
          <w:sz w:val="21"/>
          <w:szCs w:val="21"/>
          <w:rtl/>
        </w:rPr>
        <w:t xml:space="preserve">جدول ۸-۳: درآمد دریافتی تسهیلات نمونه و بازده آن (مبالغ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7"/>
        <w:gridCol w:w="1332"/>
        <w:gridCol w:w="1332"/>
        <w:gridCol w:w="1429"/>
        <w:gridCol w:w="1620"/>
        <w:gridCol w:w="1539"/>
        <w:gridCol w:w="1361"/>
      </w:tblGrid>
      <w:tr>
        <w:trPr>
          <w:cantSplit/>
          <w:tblHeader/>
        </w:trPr>
        <w:tc>
          <w:tcPr>
            <w:tcW w:type="dxa" w:w="7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و جریمه‌ی دریافتی</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نمونه</w:t>
            </w:r>
          </w:p>
        </w:tc>
        <w:tc>
          <w:tcPr>
            <w:tcW w:type="dxa" w:w="14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بازده بر کل مانده‌ی نمونه</w:t>
            </w:r>
          </w:p>
        </w:tc>
        <w:tc>
          <w:tcPr>
            <w:tcW w:type="dxa" w:w="16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قراردادهای دارای دفتر اقساط</w:t>
            </w:r>
          </w:p>
        </w:tc>
        <w:tc>
          <w:tcPr>
            <w:tcW w:type="dxa" w:w="15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بازده بر قراردادهای دارای دفتر</w:t>
            </w:r>
          </w:p>
        </w:tc>
        <w:tc>
          <w:tcPr>
            <w:tcW w:type="dxa" w:w="13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۱.۷۹</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۱۱.۰٪</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۳.۱۸</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۳۶.۴</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۷۶.۱</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۵۳.۵</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۱۳.۹٪</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۶۹.۹</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w:t>
            </w:r>
          </w:p>
        </w:tc>
      </w:tr>
    </w:tbl>
    <w:p>
      <w:pPr>
        <w:spacing w:after="200"/>
      </w:pPr>
    </w:p>
    <w:p>
      <w:pPr>
        <w:keepNext/>
        <w:spacing w:after="60" w:before="160"/>
        <w:jc w:val="center"/>
      </w:pPr>
      <w:r>
        <w:drawing>
          <wp:inline distT="0" distB="0" distL="0" distR="0">
            <wp:extent cx="5715000" cy="28194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۸-۴: بازده درآمد دریافتی تسهیلات، نرخ قراردادی و نرخ هزینه‌ی تأمین مالی</w:t>
      </w:r>
    </w:p>
    <w:p>
      <w:pPr>
        <w:bidi/>
        <w:spacing w:after="160" w:line="312"/>
        <w:jc w:val="left"/>
      </w:pPr>
      <w:r>
        <w:rPr>
          <w:rFonts w:ascii="Tahoma" w:cs="Tahoma" w:eastAsia="Tahoma" w:hAnsi="Tahoma"/>
          <w:sz w:val="21"/>
          <w:szCs w:val="21"/>
          <w:rtl/>
        </w:rPr>
        <w:t xml:space="preserve">طبق نمودار ۸-۴، بازده بر قراردادهای دارای دفتر اقساط در ۱۴۰۴ برابر ۱۳.۲ درصد و بازده بر کل مانده‌ی نمونه ۸.۸ درصد است؛ هر دو کمتر از نرخ قراردادی ۱۷.۰۸ درصد‌اند. اگر فرض شود مانده‌ی غیرجاری (۵.۲۱ درصد بخش دارای رکورد) بازدهی ندارد، حدود ۰.۹ واحد درصد از این شکاف توضیح داده می‌شود؛ بقیه به تفاوت مبنای تعهدی و نقدی، تأخیر در پرداخت اقساط و پوشش دفتر اقساط مربوط است و تفکیک دقیق آن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78" w:id="78"/>
      <w:r>
        <w:rPr>
          <w:rFonts w:ascii="Tahoma" w:cs="Tahoma" w:eastAsia="Tahoma" w:hAnsi="Tahoma"/>
          <w:b/>
          <w:bCs/>
          <w:color w:val="1F4E79"/>
          <w:sz w:val="28"/>
          <w:szCs w:val="28"/>
          <w:rtl/>
        </w:rPr>
        <w:t xml:space="preserve">۸.۵ حاشیه‌ی ناخالص مالی</w:t>
      </w:r>
      <w:bookmarkEnd w:id="78"/>
    </w:p>
    <w:p>
      <w:pPr>
        <w:bidi/>
        <w:spacing w:after="160" w:line="312"/>
        <w:jc w:val="left"/>
      </w:pPr>
      <w:r>
        <w:rPr>
          <w:rFonts w:ascii="Tahoma" w:cs="Tahoma" w:eastAsia="Tahoma" w:hAnsi="Tahoma"/>
          <w:sz w:val="21"/>
          <w:szCs w:val="21"/>
          <w:rtl/>
        </w:rPr>
        <w:t xml:space="preserve">حاشیه‌ی ۱۴۰۴ با سه مبنای بازده محاسبه می‌شود و همه‌ی مبناها با وزن برابر گزارش می‌شوند.</w:t>
      </w:r>
    </w:p>
    <w:p>
      <w:pPr>
        <w:bidi/>
        <w:spacing w:after="160" w:line="312"/>
        <w:jc w:val="left"/>
      </w:pPr>
      <w:r>
        <w:rPr>
          <w:rFonts w:ascii="Tahoma" w:cs="Tahoma" w:eastAsia="Tahoma" w:hAnsi="Tahoma"/>
          <w:b/>
          <w:bCs/>
          <w:sz w:val="21"/>
          <w:szCs w:val="21"/>
          <w:rtl/>
        </w:rPr>
        <w:t xml:space="preserve">حاشیه‌ی قراردادی (حد بالا):</w:t>
      </w:r>
      <w:r>
        <w:rPr>
          <w:rFonts w:ascii="Tahoma" w:cs="Tahoma" w:eastAsia="Tahoma" w:hAnsi="Tahoma"/>
          <w:sz w:val="21"/>
          <w:szCs w:val="21"/>
          <w:rtl/>
        </w:rPr>
        <w:t xml:space="preserve"> نرخ قراردادی ۱۷.۰۸ درصد و نرخ هزینه‌ی تأمین مالی رسمی ۱۰.۴۶ درصد است؛ حاشیه‌ی قراردادی ۶.۶ واحد درصد می‌شود. اگر همین حاشیه به میانگین تسهیلات رسمی بانک در ۱۴۰۴ (۱۲۲.۸ هزار میلیارد تومان) اعمال شود، حدود ۸.۱ هزار میلیارد تومان در سال به دست می‌آید؛ این رقم سناریوی مبنای نرخ است، نه سود تحقق‌یافته، و نرخ هزینه در آن بر کل تسهیلات اعمال شده است. این برآورد بر مبنای تعهدی است، تحقق کامل نرخ قراردادی را فرض می‌کند و برای ۲۲.۴ درصد پرتفوی که رکورد قرارداد ندارد نرخ قراردادی در دسترس نیست.</w:t>
      </w:r>
    </w:p>
    <w:p>
      <w:pPr>
        <w:bidi/>
        <w:spacing w:after="160" w:line="312"/>
        <w:jc w:val="left"/>
      </w:pPr>
      <w:r>
        <w:rPr>
          <w:rFonts w:ascii="Tahoma" w:cs="Tahoma" w:eastAsia="Tahoma" w:hAnsi="Tahoma"/>
          <w:b/>
          <w:bCs/>
          <w:sz w:val="21"/>
          <w:szCs w:val="21"/>
          <w:rtl/>
        </w:rPr>
        <w:t xml:space="preserve">حد پایین‌تر، حاشیه‌ی درآمد دریافتی:</w:t>
      </w:r>
      <w:r>
        <w:rPr>
          <w:rFonts w:ascii="Tahoma" w:cs="Tahoma" w:eastAsia="Tahoma" w:hAnsi="Tahoma"/>
          <w:sz w:val="21"/>
          <w:szCs w:val="21"/>
          <w:rtl/>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pPr>
        <w:bidi/>
        <w:spacing w:after="160" w:line="312"/>
        <w:jc w:val="left"/>
      </w:pPr>
      <w:r>
        <w:rPr>
          <w:rFonts w:ascii="Tahoma" w:cs="Tahoma" w:eastAsia="Tahoma" w:hAnsi="Tahoma"/>
          <w:sz w:val="21"/>
          <w:szCs w:val="21"/>
          <w:rtl/>
        </w:rPr>
        <w:t xml:space="preserve">جدول ۸-۴ حساسیت حاشیه را نسبت به مبنای بازده و نرخ هزینه نشان می‌دهد. نرخ هزینه‌ی رسمی (۱۰.۴۶ درصد) مبنا و دو ستون دیگر دو واحد درصد کمتر و بیشتر از آن‌اند.</w:t>
      </w:r>
    </w:p>
    <w:p>
      <w:pPr>
        <w:keepNext/>
        <w:bidi/>
        <w:spacing w:after="100" w:before="200"/>
        <w:jc w:val="left"/>
      </w:pPr>
      <w:r>
        <w:rPr>
          <w:rFonts w:ascii="Tahoma" w:cs="Tahoma" w:eastAsia="Tahoma" w:hAnsi="Tahoma"/>
          <w:b/>
          <w:bCs/>
          <w:sz w:val="21"/>
          <w:szCs w:val="21"/>
          <w:rtl/>
        </w:rPr>
        <w:t xml:space="preserve">جدول ۸-۴: حساسیت حاشیه‌ی ناخالص مالی ۱۴۰۴ (واحد درصد؛ «منفی» یعنی بازده کمتر از هزینه است)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36"/>
        <w:gridCol w:w="1938"/>
        <w:gridCol w:w="2580"/>
        <w:gridCol w:w="1996"/>
      </w:tblGrid>
      <w:tr>
        <w:trPr>
          <w:cantSplit/>
          <w:tblHeader/>
        </w:trPr>
        <w:tc>
          <w:tcPr>
            <w:tcW w:type="dxa" w:w="28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بازده تسهیلات</w:t>
            </w:r>
          </w:p>
        </w:tc>
        <w:tc>
          <w:tcPr>
            <w:tcW w:type="dxa" w:w="19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۸.۴۶٪</w:t>
            </w:r>
          </w:p>
        </w:tc>
        <w:tc>
          <w:tcPr>
            <w:tcW w:type="dxa" w:w="25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۱۰.۴۶٪ (مبنای رسمی)</w:t>
            </w:r>
          </w:p>
        </w:tc>
        <w:tc>
          <w:tcPr>
            <w:tcW w:type="dxa" w:w="19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۱۲.۴۶٪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قراردادی (۱۷.۰۸٪)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۶.۶</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بر قراردادهای دارای دفتر اقساط (۱۳.۲٪)</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بر کل مانده‌ی نمونه (۸.۸٪)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منفی ۱.۷</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منفی ۳.۷</w:t>
            </w:r>
          </w:p>
        </w:tc>
      </w:tr>
    </w:tbl>
    <w:p>
      <w:pPr>
        <w:spacing w:after="200"/>
      </w:pPr>
    </w:p>
    <w:p>
      <w:pPr>
        <w:bidi/>
        <w:spacing w:after="160" w:line="312"/>
        <w:jc w:val="left"/>
      </w:pPr>
      <w:r>
        <w:rPr>
          <w:rFonts w:ascii="Tahoma" w:cs="Tahoma" w:eastAsia="Tahoma" w:hAnsi="Tahoma"/>
          <w:sz w:val="21"/>
          <w:szCs w:val="21"/>
          <w:rtl/>
        </w:rPr>
        <w:t xml:space="preserve">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79" w:id="79"/>
      <w:r>
        <w:rPr>
          <w:rFonts w:ascii="Tahoma" w:cs="Tahoma" w:eastAsia="Tahoma" w:hAnsi="Tahoma"/>
          <w:b/>
          <w:bCs/>
          <w:color w:val="1F4E79"/>
          <w:sz w:val="28"/>
          <w:szCs w:val="28"/>
          <w:rtl/>
        </w:rPr>
        <w:t xml:space="preserve">۸.۶ ساختار درآمد</w:t>
      </w:r>
      <w:bookmarkEnd w:id="79"/>
    </w:p>
    <w:p>
      <w:pPr>
        <w:bidi/>
        <w:spacing w:after="160" w:line="312"/>
        <w:jc w:val="left"/>
      </w:pPr>
      <w:r>
        <w:rPr>
          <w:rFonts w:ascii="Tahoma" w:cs="Tahoma" w:eastAsia="Tahoma" w:hAnsi="Tahoma"/>
          <w:sz w:val="21"/>
          <w:szCs w:val="21"/>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تعریف مبلغ کارمزد هنوز از بانک تأیید نشده است (بخش ۹.۵).</w:t>
      </w:r>
    </w:p>
    <w:p>
      <w:pPr>
        <w:keepNext/>
        <w:bidi/>
        <w:spacing w:after="100" w:before="200"/>
        <w:jc w:val="left"/>
      </w:pPr>
      <w:r>
        <w:rPr>
          <w:rFonts w:ascii="Tahoma" w:cs="Tahoma" w:eastAsia="Tahoma" w:hAnsi="Tahoma"/>
          <w:b/>
          <w:bCs/>
          <w:sz w:val="21"/>
          <w:szCs w:val="21"/>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درآمد سود تسهیلات در ۱۴۰۰ تا ۱۴۰۴ ۵.۰ برابر شده (از ۱.۶۷ به ۸.۳۵) و درآمد کارمزد ۱.۷ برابر (از ۰.۳۶ به ۰.۶۰)؛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0" w:id="80"/>
      <w:r>
        <w:rPr>
          <w:rFonts w:ascii="Tahoma" w:cs="Tahoma" w:eastAsia="Tahoma" w:hAnsi="Tahoma"/>
          <w:b/>
          <w:bCs/>
          <w:color w:val="1F4E79"/>
          <w:sz w:val="28"/>
          <w:szCs w:val="28"/>
          <w:rtl/>
        </w:rPr>
        <w:t xml:space="preserve">۸.۷ جمع‌بندی و محدودیت‌ها</w:t>
      </w:r>
      <w:bookmarkEnd w:id="80"/>
    </w:p>
    <w:p>
      <w:pPr>
        <w:bidi/>
        <w:spacing w:after="160" w:line="312"/>
        <w:jc w:val="left"/>
      </w:pPr>
      <w:r>
        <w:rPr>
          <w:rFonts w:ascii="Tahoma" w:cs="Tahoma" w:eastAsia="Tahoma" w:hAnsi="Tahoma"/>
          <w:sz w:val="21"/>
          <w:szCs w:val="21"/>
          <w:rtl/>
        </w:rPr>
        <w:t xml:space="preserve">نتایج برآورد سودآوری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هزینه‌ی تأمین مالی</w:t>
      </w:r>
      <w:r>
        <w:rPr>
          <w:rFonts w:ascii="Tahoma" w:cs="Tahoma" w:eastAsia="Tahoma" w:hAnsi="Tahoma"/>
          <w:sz w:val="21"/>
          <w:szCs w:val="21"/>
          <w:rtl/>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نرخ قراردادی</w:t>
      </w:r>
      <w:r>
        <w:rPr>
          <w:rFonts w:ascii="Tahoma" w:cs="Tahoma" w:eastAsia="Tahoma" w:hAnsi="Tahoma"/>
          <w:sz w:val="21"/>
          <w:szCs w:val="21"/>
          <w:rtl/>
        </w:rPr>
        <w:t xml:space="preserve"> تسهیلات (وزن مانده‌ی ۱۲/۱۴۰۴) ۱۷.۰۸ درصد و بدون قرض‌الحسنه ۱۹.۳۸ درصد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حاشیه‌ی ناخالص مالی</w:t>
      </w:r>
      <w:r>
        <w:rPr>
          <w:rFonts w:ascii="Tahoma" w:cs="Tahoma" w:eastAsia="Tahoma" w:hAnsi="Tahoma"/>
          <w:sz w:val="21"/>
          <w:szCs w:val="21"/>
          <w:rtl/>
        </w:rPr>
        <w:t xml:space="preserve"> ۱۴۰۴ بر مبنای نرخ قراردادی ۶.۶ واحد درصد (حد بالا؛ سناریوی حدود ۸.۱ هزار میلیارد تومان در سال، با پوشش اطلاعات قرارداد ۷۷.۶ درصد) و بر مبنای درآمد دریافتی بین منفی ۱.۷ واحد درصد و ۲.۸ واحد درصد مثبت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نوع قرارداد:</w:t>
      </w:r>
      <w:r>
        <w:rPr>
          <w:rFonts w:ascii="Tahoma" w:cs="Tahoma" w:eastAsia="Tahoma" w:hAnsi="Tahoma"/>
          <w:sz w:val="21"/>
          <w:szCs w:val="21"/>
          <w:rtl/>
        </w:rPr>
        <w:t xml:space="preserve"> مضاربه، مشارکت مدنی و مرابحه بیش از ۱۰ واحد درصد بالاتر از هزینه‌ی تأمین مالی‌اند و قرض‌الحسنه ۶.۵ واحد درصد پایین‌تر از آن است.</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بازده دریافتی</w:t>
      </w:r>
      <w:r>
        <w:rPr>
          <w:rFonts w:ascii="Tahoma" w:cs="Tahoma" w:eastAsia="Tahoma" w:hAnsi="Tahoma"/>
          <w:sz w:val="21"/>
          <w:szCs w:val="21"/>
          <w:rtl/>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pPr>
        <w:bidi/>
        <w:spacing w:after="160" w:line="312"/>
        <w:jc w:val="left"/>
      </w:pPr>
      <w:r>
        <w:rPr>
          <w:rFonts w:ascii="Tahoma" w:cs="Tahoma" w:eastAsia="Tahoma" w:hAnsi="Tahoma"/>
          <w:sz w:val="21"/>
          <w:szCs w:val="21"/>
          <w:rtl/>
        </w:rPr>
        <w:t xml:space="preserve">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1" w:id="81"/>
      <w:r>
        <w:rPr>
          <w:rFonts w:ascii="Tahoma" w:cs="Tahoma" w:eastAsia="Tahoma" w:hAnsi="Tahoma"/>
          <w:b/>
          <w:bCs/>
          <w:color w:val="1F4E79"/>
          <w:sz w:val="34"/>
          <w:szCs w:val="34"/>
          <w:rtl/>
        </w:rPr>
        <w:t xml:space="preserve">فصل ۹: جمع‌بندی، پیشنهادها و مسیر پیش رو</w:t>
      </w:r>
      <w:bookmarkEnd w:id="81"/>
    </w:p>
    <w:p>
      <w:pPr>
        <w:pStyle w:val="Heading2"/>
        <w:keepNext/>
        <w:bidi/>
        <w:spacing w:after="160" w:before="300"/>
        <w:jc w:val="left"/>
      </w:pPr>
      <w:bookmarkStart w:name="_Toc82" w:id="82"/>
      <w:r>
        <w:rPr>
          <w:rFonts w:ascii="Tahoma" w:cs="Tahoma" w:eastAsia="Tahoma" w:hAnsi="Tahoma"/>
          <w:b/>
          <w:bCs/>
          <w:color w:val="1F4E79"/>
          <w:sz w:val="28"/>
          <w:szCs w:val="28"/>
          <w:rtl/>
        </w:rPr>
        <w:t xml:space="preserve">۹.۱ جمع‌بندی یافته‌های فاز ۱</w:t>
      </w:r>
      <w:bookmarkEnd w:id="82"/>
    </w:p>
    <w:p>
      <w:pPr>
        <w:bidi/>
        <w:spacing w:after="160" w:line="312"/>
        <w:jc w:val="left"/>
      </w:pPr>
      <w:r>
        <w:rPr>
          <w:rFonts w:ascii="Tahoma" w:cs="Tahoma" w:eastAsia="Tahoma" w:hAnsi="Tahoma"/>
          <w:sz w:val="21"/>
          <w:szCs w:val="21"/>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نمونه و اعتبار تحلیل‌ها (فصل‌های ۱ و ۲):</w:t>
      </w:r>
      <w:r>
        <w:rPr>
          <w:rFonts w:ascii="Tahoma" w:cs="Tahoma" w:eastAsia="Tahoma" w:hAnsi="Tahoma"/>
          <w:sz w:val="21"/>
          <w:szCs w:val="21"/>
          <w:rtl/>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۵۸ ماه قابل مقایسه همبستگی ۰.۹۶ دارد و الگوی استانی آن با بانک همبستگی ۰.۹۹؛ دامنه‌ی تعمیم هر شاخص در جدول ۲-۶ آمده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مشتریان (فصل ۳):</w:t>
      </w:r>
      <w:r>
        <w:rPr>
          <w:rFonts w:ascii="Tahoma" w:cs="Tahoma" w:eastAsia="Tahoma" w:hAnsi="Tahoma"/>
          <w:sz w:val="21"/>
          <w:szCs w:val="21"/>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ماندگاری و ریزش کل بانک با نمونه‌ی مشتریان غیرفعال در فاز ۴ برآورد می‌شود؛ ساختار ماندگاری درون نمونه در بخش ۳.۵ و ۳.۶ توصیف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بازار سپرده (فصل ۴):</w:t>
      </w:r>
      <w:r>
        <w:rPr>
          <w:rFonts w:ascii="Tahoma" w:cs="Tahoma" w:eastAsia="Tahoma" w:hAnsi="Tahoma"/>
          <w:sz w:val="21"/>
          <w:szCs w:val="21"/>
          <w:rtl/>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بازار تسهیلات (فصل ۵):</w:t>
      </w:r>
      <w:r>
        <w:rPr>
          <w:rFonts w:ascii="Tahoma" w:cs="Tahoma" w:eastAsia="Tahoma" w:hAnsi="Tahoma"/>
          <w:sz w:val="21"/>
          <w:szCs w:val="21"/>
          <w:rtl/>
        </w:rPr>
        <w:t xml:space="preserve"> مانده‌ی تسهیلات بانک از ۲۸.۰ به ۱۴۸.۲ هزار میلیارد تومان (۵.۳ برابر) رسیده و با ضریبی نزدیک به منابع (۵.۱ برابر) رشد کرده است؛ نسبت تسهیلات به منابع رسمی در ۶۰ ماه میان ۱۰۵ و ۱۲۸ درصد بوده و در ۱۲/۱۴۰۴ برابر ۱۱۱.۳ درصد است. مرابحه محور اصلی پرتفوی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 (فصل ۶):</w:t>
      </w:r>
      <w:r>
        <w:rPr>
          <w:rFonts w:ascii="Tahoma" w:cs="Tahoma" w:eastAsia="Tahoma" w:hAnsi="Tahoma"/>
          <w:sz w:val="21"/>
          <w:szCs w:val="21"/>
          <w:rtl/>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جغرافیا (فصل ۷):</w:t>
      </w:r>
      <w:r>
        <w:rPr>
          <w:rFonts w:ascii="Tahoma" w:cs="Tahoma" w:eastAsia="Tahoma" w:hAnsi="Tahoma"/>
          <w:sz w:val="21"/>
          <w:szCs w:val="21"/>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سودآوری (فصل ۸):</w:t>
      </w:r>
      <w:r>
        <w:rPr>
          <w:rFonts w:ascii="Tahoma" w:cs="Tahoma" w:eastAsia="Tahoma" w:hAnsi="Tahoma"/>
          <w:sz w:val="21"/>
          <w:szCs w:val="21"/>
          <w:rtl/>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pPr>
        <w:pStyle w:val="Heading3"/>
        <w:keepNext/>
        <w:bidi/>
        <w:spacing w:after="160" w:before="300"/>
        <w:jc w:val="left"/>
      </w:pPr>
      <w:r>
        <w:rPr>
          <w:rFonts w:ascii="Tahoma" w:cs="Tahoma" w:eastAsia="Tahoma" w:hAnsi="Tahoma"/>
          <w:b/>
          <w:bCs/>
          <w:color w:val="1F4E79"/>
          <w:sz w:val="24"/>
          <w:szCs w:val="24"/>
          <w:rtl/>
        </w:rPr>
        <w:t xml:space="preserve">۹.۱.۱ محدودیت‌های اثرگذار بر تصمیم</w:t>
      </w:r>
    </w:p>
    <w:p>
      <w:pPr>
        <w:bidi/>
        <w:spacing w:after="160" w:line="312"/>
        <w:jc w:val="left"/>
      </w:pPr>
      <w:r>
        <w:rPr>
          <w:rFonts w:ascii="Tahoma" w:cs="Tahoma" w:eastAsia="Tahoma" w:hAnsi="Tahoma"/>
          <w:sz w:val="21"/>
          <w:szCs w:val="21"/>
          <w:rtl/>
        </w:rPr>
        <w:t xml:space="preserve">محدودیت‌های زیر می‌توانند رتبه‌بندی ریسک یا نتیجه‌گیری مدیریتی را تغییر دهند و پیش از تصمیم باید در نظر گرفته 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۲۲.۴ درصد مانده‌ی تسهیلات (۵۳.۸ درصد مطالبات غیرجاری) رکورد قرارداد ندارد؛ نتایج سطح قرارداد بر ۷۷.۶ درصد پرتفوی متکی‌اند.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تعداد اعتبارات اسنادی در پایگاه (۲۰,۷۳۳ قرارداد) با آمار رسمی (۸۵۳ فقره) یکسان نشده است؛ ریسک این گروه برای رکوردهای دارای این برچسب گزارش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نرخ‌های انتقال بر دو جفت ماه متکی‌اند و تغییر طبقه‌بندی دی تا بهمن ۱۴۰۴ را دربرمی‌گیرند.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فروش متقاطع، تمرکز مشتری و ساختار ماندگاری و ریزش ویژگی نمونه‌اند و به کل بانک تعمیم داده نمی‌شوند.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حاشیه‌ی مالی بدون صورت سود و زیان رسمی و با پوشش دفتر اقساط محدود برآورد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سرمایه، کفایت سرمایه، ذخایر و مقایسه با بانک‌های مشابه در داده‌های دریافتی نبوده و در این گزارش بررسی نشده‌اند.</w:t>
      </w:r>
    </w:p>
    <w:p>
      <w:pPr>
        <w:pBdr>
          <w:bottom w:val="single" w:color="BBBBBB" w:sz="6"/>
        </w:pBdr>
        <w:spacing w:after="100" w:before="100"/>
      </w:pPr>
    </w:p>
    <w:p>
      <w:pPr>
        <w:pStyle w:val="Heading2"/>
        <w:keepNext/>
        <w:bidi/>
        <w:spacing w:after="160" w:before="300"/>
        <w:jc w:val="left"/>
      </w:pPr>
      <w:bookmarkStart w:name="_Toc83" w:id="83"/>
      <w:r>
        <w:rPr>
          <w:rFonts w:ascii="Tahoma" w:cs="Tahoma" w:eastAsia="Tahoma" w:hAnsi="Tahoma"/>
          <w:b/>
          <w:bCs/>
          <w:color w:val="1F4E79"/>
          <w:sz w:val="28"/>
          <w:szCs w:val="28"/>
          <w:rtl/>
        </w:rPr>
        <w:t xml:space="preserve">۹.۲ پیشنهادهای اولیه برای مدیریت</w:t>
      </w:r>
      <w:bookmarkEnd w:id="83"/>
    </w:p>
    <w:p>
      <w:pPr>
        <w:bidi/>
        <w:spacing w:after="160" w:line="312"/>
        <w:jc w:val="left"/>
      </w:pPr>
      <w:r>
        <w:rPr>
          <w:rFonts w:ascii="Tahoma" w:cs="Tahoma" w:eastAsia="Tahoma" w:hAnsi="Tahoma"/>
          <w:sz w:val="21"/>
          <w:szCs w:val="21"/>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هدف‌گذاری فروش متقاطع.</w:t>
      </w:r>
      <w:r>
        <w:rPr>
          <w:rFonts w:ascii="Tahoma" w:cs="Tahoma" w:eastAsia="Tahoma" w:hAnsi="Tahoma"/>
          <w:sz w:val="21"/>
          <w:szCs w:val="21"/>
          <w:rtl/>
        </w:rPr>
        <w:t xml:space="preserve"> در نمونه، ۱۰۱,۱۹۶ سپرده‌گذار فاقد تسهیلات با مانده‌ی بیش از ۱۰ میلیون تومان، که ۴,۳۳۴ نفر آنان بیش از ۱ میلیارد تومان دارند، نقطه‌ی شروع برنامه‌ی فروش تسهیلات‌اند (بخش ۳.۳). اجرای برنامه با پایش نسبت تسهیلات به منابع (بخش ۵.۳) و کیفیت دارایی (فصل ۶) همراه است و هدف‌گذاری برای کل بانک پس از وزن‌دهی نمونه انجام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پایش متمرکز مطالبات غیرجاری.</w:t>
      </w:r>
      <w:r>
        <w:rPr>
          <w:rFonts w:ascii="Tahoma" w:cs="Tahoma" w:eastAsia="Tahoma" w:hAnsi="Tahoma"/>
          <w:sz w:val="21"/>
          <w:szCs w:val="21"/>
          <w:rtl/>
        </w:rPr>
        <w:t xml:space="preserve"> سه کانون بیشترین اثر را دارند: رکوردهای دارای برچسب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تحقق حاشیه‌ی قراردادی.</w:t>
      </w:r>
      <w:r>
        <w:rPr>
          <w:rFonts w:ascii="Tahoma" w:cs="Tahoma" w:eastAsia="Tahoma" w:hAnsi="Tahoma"/>
          <w:sz w:val="21"/>
          <w:szCs w:val="21"/>
          <w:rtl/>
        </w:rPr>
        <w:t xml:space="preserve"> نرخ قراردادی ۱۷.۰۸ درصد است اما بازده درآمد دریافتی ۱۴۰۴ برابر ۸.۸ تا ۱۳.۲ درصد است؛ حاشیه‌ی مالی میان سقف ۶.۶ واحد درصد و بازه‌ی منفی ۱.۷ تا ۲.۸ واحد درصد قرار دارد. بهبود وصول اقساط و کاهش مطالبات غیرجاری، نزدیک‌کردن بازده دریافتی به نرخ قراردادی ظرفیتی برای بهبود سودآوری است؛ سهم هر عامل با صورت سود و زیان رسمی مشخص می‌شود.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مدیریت هزینه‌ی منابع.</w:t>
      </w:r>
      <w:r>
        <w:rPr>
          <w:rFonts w:ascii="Tahoma" w:cs="Tahoma" w:eastAsia="Tahoma" w:hAnsi="Tahoma"/>
          <w:sz w:val="21"/>
          <w:szCs w:val="21"/>
          <w:rtl/>
        </w:rPr>
        <w:t xml:space="preserve"> نرخ هزینه‌ی تأمین مالی در پنج سال ۲.۲ واحد درصد افزایش یافته و سپرده‌ی بلندمدت ۴۶.۵ درصد منابع را تشکیل می‌دهد. افزایش سهم قرض‌الحسنه و کوتاه‌مدت، به‌ویژه در تهران که کمترین سهم قرض‌الحسنه را دارد، هزینه را کاهش می‌دهد.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تجهیز منابع در استان‌های کم‌منبع.</w:t>
      </w:r>
      <w:r>
        <w:rPr>
          <w:rFonts w:ascii="Tahoma" w:cs="Tahoma" w:eastAsia="Tahoma" w:hAnsi="Tahoma"/>
          <w:sz w:val="21"/>
          <w:szCs w:val="21"/>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تکمیل داده‌ها.</w:t>
      </w:r>
      <w:r>
        <w:rPr>
          <w:rFonts w:ascii="Tahoma" w:cs="Tahoma" w:eastAsia="Tahoma" w:hAnsi="Tahoma"/>
          <w:sz w:val="21"/>
          <w:szCs w:val="21"/>
          <w:rtl/>
        </w:rPr>
        <w:t xml:space="preserve"> اطلاعات قرارداد ۲۲.۴ درصد مانده‌ی تسهیلات، با نسبت غیرجاری ۲۱.۰ درصد، و جدول مشخصات مشتریان مهم‌ترین شکاف‌های اطلاعاتی‌اند و تکمیل آن‌ها کیفیت تصمیم‌گیری در هر پنج محور بالا را افزایش می‌دهد (بخش ۹.۴).</w:t>
      </w:r>
    </w:p>
    <w:p>
      <w:pPr>
        <w:pBdr>
          <w:bottom w:val="single" w:color="BBBBBB" w:sz="6"/>
        </w:pBdr>
        <w:spacing w:after="100" w:before="100"/>
      </w:pPr>
    </w:p>
    <w:p>
      <w:pPr>
        <w:pStyle w:val="Heading2"/>
        <w:keepNext/>
        <w:bidi/>
        <w:spacing w:after="160" w:before="300"/>
        <w:jc w:val="left"/>
      </w:pPr>
      <w:bookmarkStart w:name="_Toc84" w:id="84"/>
      <w:r>
        <w:rPr>
          <w:rFonts w:ascii="Tahoma" w:cs="Tahoma" w:eastAsia="Tahoma" w:hAnsi="Tahoma"/>
          <w:b/>
          <w:bCs/>
          <w:color w:val="1F4E79"/>
          <w:sz w:val="28"/>
          <w:szCs w:val="28"/>
          <w:rtl/>
        </w:rPr>
        <w:t xml:space="preserve">۹.۳ مسیر پیش رو: فازهای ۲ تا ۵</w:t>
      </w:r>
      <w:bookmarkEnd w:id="84"/>
    </w:p>
    <w:p>
      <w:pPr>
        <w:bidi/>
        <w:spacing w:after="160" w:line="312"/>
        <w:jc w:val="left"/>
      </w:pPr>
      <w:r>
        <w:rPr>
          <w:rFonts w:ascii="Tahoma" w:cs="Tahoma" w:eastAsia="Tahoma" w:hAnsi="Tahoma"/>
          <w:sz w:val="21"/>
          <w:szCs w:val="21"/>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Tahoma" w:cs="Tahoma" w:eastAsia="Tahoma" w:hAnsi="Tahoma"/>
          <w:b/>
          <w:bCs/>
          <w:sz w:val="21"/>
          <w:szCs w:val="21"/>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55"/>
        <w:gridCol w:w="2098"/>
        <w:gridCol w:w="2098"/>
        <w:gridCol w:w="2098"/>
        <w:gridCol w:w="2101"/>
      </w:tblGrid>
      <w:tr>
        <w:trPr>
          <w:cantSplit/>
          <w:tblHeader/>
        </w:trPr>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فاز</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ورودی اصلی</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w:t>
            </w:r>
          </w:p>
        </w:tc>
        <w:tc>
          <w:tcPr>
            <w:tcW w:type="dxa" w:w="21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 مؤثر</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خوشه‌بندی مشتریان در بازه‌ی ۵ ساله</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شاخص‌های رفتاری فصل 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بخش‌های رفتاری مشتریان و پروفایل هر بخش</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مشخصات مشتریان (حقیقی/حقوقی، سن، جنسیت، شغل، جغرافیا)</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الگوهای رفتاری به تفکیک گروه‌ها: سودآور، کلان، خرد، جغرافیا و بخش اقتصادی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خوشه‌های فاز ۲، ساختار استانی و هزینه‌ی منابع (فصل‌های ۷ و ۸)</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سودآوری و رفتار هر گروه</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کامل، جدول سود پرداختی کامل</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پیش‌بینی: سود و زیان، نکول، ارزش طول عمر و گرایش مشتری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فازهای ۲ و ۳، شاخص‌های پیش‌نگر فصل ۶</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آموزش‌دیده و ارزیابی دقت آن‌ها</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مشتریان غیرفعال و ریزش‌کرده</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یافته‌ها و راهکارهای سیاستی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تمام فازها</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نهایی و برنامه‌ی اقدام</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bidi/>
        <w:spacing w:after="160" w:line="312"/>
        <w:jc w:val="left"/>
      </w:pPr>
      <w:r>
        <w:rPr>
          <w:rFonts w:ascii="Tahoma" w:cs="Tahoma" w:eastAsia="Tahoma" w:hAnsi="Tahoma"/>
          <w:sz w:val="21"/>
          <w:szCs w:val="21"/>
          <w:rtl/>
        </w:rPr>
        <w:t xml:space="preserve">اجرای فاز ۲ منوط به تأیید گزارش حاضر است. دریافت داده‌های اولویت نخست (بخش ۹.۴) عمق تحلیل را افزایش می‌دهد؛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pPr>
        <w:pBdr>
          <w:bottom w:val="single" w:color="BBBBBB" w:sz="6"/>
        </w:pBdr>
        <w:spacing w:after="100" w:before="100"/>
      </w:pPr>
    </w:p>
    <w:p>
      <w:pPr>
        <w:pStyle w:val="Heading2"/>
        <w:keepNext/>
        <w:bidi/>
        <w:spacing w:after="160" w:before="300"/>
        <w:jc w:val="left"/>
      </w:pPr>
      <w:bookmarkStart w:name="_Toc85" w:id="85"/>
      <w:r>
        <w:rPr>
          <w:rFonts w:ascii="Tahoma" w:cs="Tahoma" w:eastAsia="Tahoma" w:hAnsi="Tahoma"/>
          <w:b/>
          <w:bCs/>
          <w:color w:val="1F4E79"/>
          <w:sz w:val="28"/>
          <w:szCs w:val="28"/>
          <w:rtl/>
        </w:rPr>
        <w:t xml:space="preserve">۹.۴ داده‌های درخواستی از بانک</w:t>
      </w:r>
      <w:bookmarkEnd w:id="85"/>
    </w:p>
    <w:p>
      <w:pPr>
        <w:bidi/>
        <w:spacing w:after="160" w:line="312"/>
        <w:jc w:val="left"/>
      </w:pPr>
      <w:r>
        <w:rPr>
          <w:rFonts w:ascii="Tahoma" w:cs="Tahoma" w:eastAsia="Tahoma" w:hAnsi="Tahoma"/>
          <w:sz w:val="21"/>
          <w:szCs w:val="21"/>
          <w:rtl/>
        </w:rPr>
        <w:t xml:space="preserve">جدول ۹-۲ داده‌های تکمیلی را به ترتیب اولویت فهرست می‌کند. اولویت ۱ مواردی است که بیشترین اثر را بر کیفیت فاز ۲ دارند.</w:t>
      </w:r>
    </w:p>
    <w:p>
      <w:pPr>
        <w:keepNext/>
        <w:bidi/>
        <w:spacing w:after="100" w:before="200"/>
        <w:jc w:val="left"/>
      </w:pPr>
      <w:r>
        <w:rPr>
          <w:rFonts w:ascii="Tahoma" w:cs="Tahoma" w:eastAsia="Tahoma" w:hAnsi="Tahoma"/>
          <w:b/>
          <w:bCs/>
          <w:sz w:val="21"/>
          <w:szCs w:val="21"/>
          <w:rtl/>
        </w:rPr>
        <w:t xml:space="preserve">جدول ۹-۲: داده‌های درخواستی از بانک و اولویت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7"/>
        <w:gridCol w:w="2885"/>
        <w:gridCol w:w="2885"/>
        <w:gridCol w:w="2083"/>
      </w:tblGrid>
      <w:tr>
        <w:trPr>
          <w:cantSplit/>
          <w:tblHeader/>
        </w:trPr>
        <w:tc>
          <w:tcPr>
            <w:tcW w:type="dxa" w:w="14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درخواستی</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w:t>
            </w:r>
          </w:p>
        </w:tc>
        <w:tc>
          <w:tcPr>
            <w:tcW w:type="dxa" w:w="2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فصل‌های اثرپذیر</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مشخصات مشتریان (</w:t>
            </w:r>
            <w:r>
              <w:rPr>
                <w:rFonts w:ascii="Consolas" w:cs="Consolas" w:eastAsia="Consolas" w:hAnsi="Consolas"/>
                <w:b w:val="false"/>
                <w:bCs w:val="false"/>
                <w:sz w:val="16"/>
                <w:szCs w:val="16"/>
                <w:rtl w:val="false"/>
              </w:rPr>
              <w:t xml:space="preserve">Customer_Profile</w:t>
            </w:r>
            <w:r>
              <w:rPr>
                <w:rFonts w:ascii="Tahoma" w:cs="Tahoma" w:eastAsia="Tahoma" w:hAnsi="Tahoma"/>
                <w:b w:val="false"/>
                <w:bCs w:val="false"/>
                <w:sz w:val="19"/>
                <w:szCs w:val="19"/>
                <w:rtl/>
              </w:rPr>
              <w:t xml:space="preserve">)</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حقیقی و حقوقی؛ تحلیل بر اساس سن، جنسیت، شغل و جغرافیا</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۲</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کل پرتفوی؛ دقت تحلیل ریسک</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قراردادهای اعتبارات اسنادی با مشتری، وثیقه و طبقه‌ی مطالبات</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تعریف با آمار رسمی و تحلیل کامل این گروه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تمام حساب‌ها، همراه با شناسه‌ی تراکنش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هزینه‌ی تأمین مالی به تفکیک گروه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 و فاز ۳</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ریزش کل بانک و مدل گرایش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۴</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 سپرده‌ها</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ارزیابی تطابق سررسید منابع و مصارف</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صورت سود و زیان رسمی بانک (۱۴۰۰ تا ۱۴۰۴)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درآمد دریافتی با نرخ قراردادی و بازبینی برآورد سودآوری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رسمی شعبه به شهر و استان و درجه‌ی عملکردی شعب</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شعبه در گزارش محرمانه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سری تسهیلات پرداختی و اقساط ماهانه‌ی کل بانک</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جریان‌های تسهیلات با نمونه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 و ۸</w:t>
            </w:r>
          </w:p>
        </w:tc>
      </w:tr>
    </w:tbl>
    <w:p>
      <w:pPr>
        <w:spacing w:after="200"/>
      </w:pPr>
    </w:p>
    <w:p>
      <w:pPr>
        <w:pBdr>
          <w:bottom w:val="single" w:color="BBBBBB" w:sz="6"/>
        </w:pBdr>
        <w:spacing w:after="100" w:before="100"/>
      </w:pPr>
    </w:p>
    <w:p>
      <w:pPr>
        <w:pStyle w:val="Heading2"/>
        <w:keepNext/>
        <w:bidi/>
        <w:spacing w:after="160" w:before="300"/>
        <w:jc w:val="left"/>
      </w:pPr>
      <w:bookmarkStart w:name="_Toc86" w:id="86"/>
      <w:r>
        <w:rPr>
          <w:rFonts w:ascii="Tahoma" w:cs="Tahoma" w:eastAsia="Tahoma" w:hAnsi="Tahoma"/>
          <w:b/>
          <w:bCs/>
          <w:color w:val="1F4E79"/>
          <w:sz w:val="28"/>
          <w:szCs w:val="28"/>
          <w:rtl/>
        </w:rPr>
        <w:t xml:space="preserve">۹.۵ پرسش‌های فنی از بانک</w:t>
      </w:r>
      <w:bookmarkEnd w:id="86"/>
    </w:p>
    <w:p>
      <w:pPr>
        <w:bidi/>
        <w:spacing w:after="160" w:line="312"/>
        <w:jc w:val="left"/>
      </w:pPr>
      <w:r>
        <w:rPr>
          <w:rFonts w:ascii="Tahoma" w:cs="Tahoma" w:eastAsia="Tahoma" w:hAnsi="Tahoma"/>
          <w:sz w:val="21"/>
          <w:szCs w:val="21"/>
          <w:rtl/>
        </w:rPr>
        <w:t xml:space="preserve">موارد زیر پرسش‌هایی درباره‌ی ساختار داده‌اند و پاسخ بانک دقت تفسیر را افزایش می‌دهد. در پایان هر مورد روشن شده است که تحلیل‌های گزارش تا چه اندازه به آن وابسته‌اند.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تعریف ستون میانگین مانده‌ی سپرده</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روش محاسبه‌ی دقیق این ستون، به‌ویژه در ماه افتتاح حساب.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ماهیت مبلغ کارمزد:</w:t>
      </w:r>
      <w:r>
        <w:rPr>
          <w:rFonts w:ascii="Tahoma" w:cs="Tahoma" w:eastAsia="Tahoma" w:hAnsi="Tahoma"/>
          <w:sz w:val="21"/>
          <w:szCs w:val="21"/>
          <w:rtl/>
        </w:rPr>
        <w:t xml:space="preserve"> مبلغ هر کد کارمزد مبلغ همان ماه است یا مقدار تجمعی. از درآمد کارمزد در برآورد حاشیه استفاده نشده است (بخش ۸.۵).</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تفکیک انواع سپرده از ۱۱/۱۴۰۴:</w:t>
      </w:r>
      <w:r>
        <w:rPr>
          <w:rFonts w:ascii="Tahoma" w:cs="Tahoma" w:eastAsia="Tahoma" w:hAnsi="Tahoma"/>
          <w:sz w:val="21"/>
          <w:szCs w:val="21"/>
          <w:rtl/>
        </w:rPr>
        <w:t xml:space="preserve"> در فایل رسمی ماهانه‌ی بانک، از ۱۱/۱۴۰۴ به بعد جمع انواع سپرده با ستون «مانده‌ی منابع ریالی» برابر نیست. در تحلیل ترکیب منابع فقط ماه‌هایی به کار رفته که این تطابق در آن‌ها برقرار است (تا ۱۰/۱۴۰۴).</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شعبه‌ی مستقل مرکزی (کد ۳۱۳):</w:t>
      </w:r>
      <w:r>
        <w:rPr>
          <w:rFonts w:ascii="Tahoma" w:cs="Tahoma" w:eastAsia="Tahoma" w:hAnsi="Tahoma"/>
          <w:sz w:val="21"/>
          <w:szCs w:val="21"/>
          <w:rtl/>
        </w:rP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تعریف اعتبارات اسنادی:</w:t>
      </w:r>
      <w:r>
        <w:rPr>
          <w:rFonts w:ascii="Tahoma" w:cs="Tahoma" w:eastAsia="Tahoma" w:hAnsi="Tahoma"/>
          <w:sz w:val="21"/>
          <w:szCs w:val="21"/>
          <w:rtl/>
        </w:rP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درآمد سود تسهیلات در حساب‌های بانک:</w:t>
      </w:r>
      <w:r>
        <w:rPr>
          <w:rFonts w:ascii="Tahoma" w:cs="Tahoma" w:eastAsia="Tahoma" w:hAnsi="Tahoma"/>
          <w:sz w:val="21"/>
          <w:szCs w:val="21"/>
          <w:rtl/>
        </w:rPr>
        <w:t xml:space="preserve"> مبلغ سود شناسایی‌شده‌ی سالانه، برای مقایسه با نرخ قراردادی (۱۷.۰۸ درصد) و بازده دریافتی (۸.۸ تا ۱۳.۲ درصد). این مورد با صورت سود و زیان رسمی (جدول ۹-۲) پاسخ داده می‌شود.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سرشکن‌شدن سود شعب</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روش تخصیص سود پرداختی در جدول مرجع بانک. برآورد هزینه‌ی تأمین مالی (فصل ۸) بر همین جدول مبتنی است و جدول سود پرداختی نمونه در برآورد به کار نرفته است.</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b/>
          <w:bCs/>
          <w:sz w:val="21"/>
          <w:szCs w:val="21"/>
          <w:rtl/>
        </w:rPr>
        <w:t xml:space="preserve">مبنای طبقات مانده‌ی سپرده در فایل توزیع مشتریان:</w:t>
      </w:r>
      <w:r>
        <w:rPr>
          <w:rFonts w:ascii="Tahoma" w:cs="Tahoma" w:eastAsia="Tahoma" w:hAnsi="Tahoma"/>
          <w:sz w:val="21"/>
          <w:szCs w:val="21"/>
          <w:rtl/>
        </w:rPr>
        <w:t xml:space="preserve"> تعریف مانده‌ی مشتری در این فایل،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b/>
          <w:bCs/>
          <w:sz w:val="21"/>
          <w:szCs w:val="21"/>
          <w:rtl/>
        </w:rPr>
        <w:t xml:space="preserve">مبلغ‌های </w:t>
      </w:r>
      <w:r>
        <w:rPr>
          <w:rFonts w:ascii="Consolas" w:cs="Consolas" w:eastAsia="Consolas" w:hAnsi="Consolas"/>
          <w:b/>
          <w:bCs/>
          <w:sz w:val="18"/>
          <w:szCs w:val="18"/>
          <w:rtl w:val="false"/>
        </w:rPr>
        <w:t xml:space="preserve">amount_eq</w:t>
      </w:r>
      <w:r>
        <w:rPr>
          <w:rFonts w:ascii="Tahoma" w:cs="Tahoma" w:eastAsia="Tahoma" w:hAnsi="Tahoma"/>
          <w:sz w:val="21"/>
          <w:szCs w:val="21"/>
          <w:rtl/>
        </w:rPr>
        <w:t xml:space="preserve"> در جدول خلاصه‌ی ماهانه‌ی مشتری: مجموع تراکنش‌ها یا خالص مانده. از این ستون در تحلیل‌های اصلی استفاده نشده است.</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b/>
          <w:bCs/>
          <w:sz w:val="21"/>
          <w:szCs w:val="21"/>
          <w:rtl/>
        </w:rPr>
        <w:t xml:space="preserve">حساب‌های «نزد سایر بانک‌ها»</w:t>
      </w:r>
      <w:r>
        <w:rPr>
          <w:rFonts w:ascii="Tahoma" w:cs="Tahoma" w:eastAsia="Tahoma" w:hAnsi="Tahoma"/>
          <w:sz w:val="21"/>
          <w:szCs w:val="21"/>
          <w:rtl/>
        </w:rPr>
        <w:t xml:space="preserve"> (۱,۱۰۰ حساب): دارایی بانک‌اند یا بدهی. حجم آن‌ها بر نتایج اثر محسوسی ندارد.</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b/>
          <w:bCs/>
          <w:sz w:val="21"/>
          <w:szCs w:val="21"/>
          <w:rtl/>
        </w:rPr>
        <w:t xml:space="preserve">شناسه‌ی داخلی شعب:</w:t>
      </w:r>
      <w:r>
        <w:rPr>
          <w:rFonts w:ascii="Tahoma" w:cs="Tahoma" w:eastAsia="Tahoma" w:hAnsi="Tahoma"/>
          <w:sz w:val="21"/>
          <w:szCs w:val="21"/>
          <w:rtl/>
        </w:rPr>
        <w:t xml:space="preserve"> برای هشت شناسه‌ی داخلی که در جدول فهرست شعب با دو کد شعبه‌ی متفاوت ثبت شده‌اند، شناسه‌ی صحیح هر شعبه اعلام شود. شعب در تحلیل‌ها با کد شناسایی شده‌اند و این مورد بر ارقام اثر ندارد.</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b/>
          <w:bCs/>
          <w:sz w:val="21"/>
          <w:szCs w:val="21"/>
          <w:rtl/>
        </w:rPr>
        <w:t xml:space="preserve">جابه‌جایی طبقات مطالبات در دی تا بهمن ۱۴۰۴:</w:t>
      </w:r>
      <w:r>
        <w:rPr>
          <w:rFonts w:ascii="Tahoma" w:cs="Tahoma" w:eastAsia="Tahoma" w:hAnsi="Tahoma"/>
          <w:sz w:val="21"/>
          <w:szCs w:val="21"/>
          <w:rtl/>
        </w:rPr>
        <w:t xml:space="preserve"> در این فاصله بخشی از مانده‌ی مشکوک‌الوصول به طبقه‌ی معوق منتقل شده و مجموع مطالبات غیرجاری ثابت مانده است (بخش ۶.۲.۳). علت این تغییر طبقه‌بندی اعلام شود. تحلیل‌های گزارش بر مجموع مطالبات غیرجاری متکی‌اند و به آن وابسته نیستند.</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b/>
          <w:bCs/>
          <w:sz w:val="21"/>
          <w:szCs w:val="21"/>
          <w:rtl/>
        </w:rPr>
        <w:t xml:space="preserve">وضعیت </w:t>
      </w:r>
      <w:r>
        <w:rPr>
          <w:rFonts w:ascii="Consolas" w:cs="Consolas" w:eastAsia="Consolas" w:hAnsi="Consolas"/>
          <w:b/>
          <w:bCs/>
          <w:sz w:val="18"/>
          <w:szCs w:val="18"/>
          <w:rtl w:val="false"/>
        </w:rPr>
        <w:t xml:space="preserve">X</w:t>
      </w:r>
      <w:r>
        <w:rPr>
          <w:rFonts w:ascii="Tahoma" w:cs="Tahoma" w:eastAsia="Tahoma" w:hAnsi="Tahoma"/>
          <w:b/>
          <w:bCs/>
          <w:sz w:val="21"/>
          <w:szCs w:val="21"/>
          <w:rtl/>
        </w:rPr>
        <w:t xml:space="preserve"> در ماتریس انتقال:</w:t>
      </w:r>
      <w:r>
        <w:rPr>
          <w:rFonts w:ascii="Tahoma" w:cs="Tahoma" w:eastAsia="Tahoma" w:hAnsi="Tahoma"/>
          <w:sz w:val="21"/>
          <w:szCs w:val="21"/>
          <w:rtl/>
        </w:rPr>
        <w:t xml:space="preserve"> برای ۷۲۳,۰۲۵ قرارداد با این شناسه، معادل‌بودن آن با قرارداد تسویه‌شده یا فاقد مانده تأیید شود (بخش ۶.۸). این وضعیت از محاسبه‌ی نرخ‌های انتقال کنار گذاشته شده است.</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b/>
          <w:bCs/>
          <w:sz w:val="21"/>
          <w:szCs w:val="21"/>
          <w:rtl/>
        </w:rPr>
        <w:t xml:space="preserve">نوع ۸۴۸,۵۵۳ حساب سپرده:</w:t>
      </w:r>
      <w:r>
        <w:rPr>
          <w:rFonts w:ascii="Tahoma" w:cs="Tahoma" w:eastAsia="Tahoma" w:hAnsi="Tahoma"/>
          <w:sz w:val="21"/>
          <w:szCs w:val="21"/>
          <w:rtl/>
        </w:rPr>
        <w:t xml:space="preserve"> نوع این حساب‌ها (۴۰.۳ درصد حساب‌ها و ۱۱.۸ درصد مانده‌ی نمونه) در جدول اطلاعات حساب ثبت نشده است (بخش ۴.۳.۲). ترکیب هزینه‌ای منابع در فصل ۸ بر آمار رسمی مبتنی است و به این مورد وابسته نیست.</w:t>
      </w:r>
    </w:p>
    <w:p>
      <w:pPr>
        <w:bidi/>
        <w:spacing w:after="120" w:line="300"/>
        <w:ind w:start="300"/>
        <w:jc w:val="left"/>
      </w:pPr>
      <w:r>
        <w:rPr>
          <w:rFonts w:ascii="Tahoma" w:cs="Tahoma" w:eastAsia="Tahoma" w:hAnsi="Tahoma"/>
          <w:sz w:val="21"/>
          <w:szCs w:val="21"/>
          <w:rtl/>
        </w:rPr>
        <w:t xml:space="preserve">۱۵. </w:t>
      </w:r>
      <w:r>
        <w:rPr>
          <w:rFonts w:ascii="Tahoma" w:cs="Tahoma" w:eastAsia="Tahoma" w:hAnsi="Tahoma"/>
          <w:b/>
          <w:bCs/>
          <w:sz w:val="21"/>
          <w:szCs w:val="21"/>
          <w:rtl/>
        </w:rPr>
        <w:t xml:space="preserve">علت نبود رکورد قرارداد برای ۶۳۷,۹۷۵ قرارداد:</w:t>
      </w:r>
      <w:r>
        <w:rPr>
          <w:rFonts w:ascii="Tahoma" w:cs="Tahoma" w:eastAsia="Tahoma" w:hAnsi="Tahoma"/>
          <w:sz w:val="21"/>
          <w:szCs w:val="21"/>
          <w:rtl/>
        </w:rPr>
        <w:t xml:space="preserve"> این قراردادها ۲۲.۴ درصد مانده‌ی تسهیلات را دارند و نسبت غیرجاری آن‌ها ۲۱.۰۴ درصد است (بخش ۶.۳). مشخص شود قراردادهای قدیمی یا آرشیوشده از جدول قرارداد خارج شده‌اند یا علت دیگری دارد.</w:t>
      </w:r>
    </w:p>
    <w:p>
      <w:pPr>
        <w:bidi/>
        <w:spacing w:after="120" w:line="300"/>
        <w:ind w:start="300"/>
        <w:jc w:val="left"/>
      </w:pPr>
      <w:r>
        <w:rPr>
          <w:rFonts w:ascii="Tahoma" w:cs="Tahoma" w:eastAsia="Tahoma" w:hAnsi="Tahoma"/>
          <w:sz w:val="21"/>
          <w:szCs w:val="21"/>
          <w:rtl/>
        </w:rPr>
        <w:t xml:space="preserve">۱۶. </w:t>
      </w:r>
      <w:r>
        <w:rPr>
          <w:rFonts w:ascii="Tahoma" w:cs="Tahoma" w:eastAsia="Tahoma" w:hAnsi="Tahoma"/>
          <w:b/>
          <w:bCs/>
          <w:sz w:val="21"/>
          <w:szCs w:val="21"/>
          <w:rtl/>
        </w:rPr>
        <w:t xml:space="preserve">شناسه‌ی گیرنده‌ی اصلی:</w:t>
      </w:r>
      <w:r>
        <w:rPr>
          <w:rFonts w:ascii="Tahoma" w:cs="Tahoma" w:eastAsia="Tahoma" w:hAnsi="Tahoma"/>
          <w:sz w:val="21"/>
          <w:szCs w:val="21"/>
          <w:rtl/>
        </w:rPr>
        <w:t xml:space="preserve"> در ۱۲/۱۴۰۴ حدود ۳۷۳ هزار شناسه‌ی گیرنده‌ی اصلی در جدول قراردادها مانده‌ی مثبت دارند. فهرست گیرندگان تسهیلات (</w:t>
      </w:r>
      <w:r>
        <w:rPr>
          <w:rFonts w:ascii="Consolas" w:cs="Consolas" w:eastAsia="Consolas" w:hAnsi="Consolas"/>
          <w:b w:val="false"/>
          <w:bCs w:val="false"/>
          <w:sz w:val="18"/>
          <w:szCs w:val="18"/>
          <w:rtl w:val="false"/>
        </w:rPr>
        <w:t xml:space="preserve">Loan_Grant_Customer</w:t>
      </w:r>
      <w:r>
        <w:rPr>
          <w:rFonts w:ascii="Tahoma" w:cs="Tahoma" w:eastAsia="Tahoma" w:hAnsi="Tahoma"/>
          <w:sz w:val="21"/>
          <w:szCs w:val="21"/>
          <w:rtl/>
        </w:rPr>
        <w:t xml:space="preserve">) ۲۴۹,۷۰۸ شناسه دارد و فقط ۲۰۹,۴۲۸ نفر از آن ۳۷۳ هزار نفر در آن هستند (۷۰.۸ درصد مانده‌ی قابل‌انتساب). دلیل غیبت بیش از ۱۶۳ هزار دارنده‌ی مانده در فهرست گیرندگان اعلام شود. شمارش مشتریان تسهیلاتی در فصل ۳ بر فهرست گیرندگان و تحلیل تمرکز در فصل‌های ۴ و ۶ بر گیرنده‌ی اصلی هر قرارداد استوار است.</w:t>
      </w:r>
    </w:p>
    <w:p>
      <w:pPr>
        <w:bidi/>
        <w:spacing w:after="120" w:line="300"/>
        <w:ind w:start="300"/>
        <w:jc w:val="left"/>
      </w:pPr>
      <w:r>
        <w:rPr>
          <w:rFonts w:ascii="Tahoma" w:cs="Tahoma" w:eastAsia="Tahoma" w:hAnsi="Tahoma"/>
          <w:sz w:val="21"/>
          <w:szCs w:val="21"/>
          <w:rtl/>
        </w:rPr>
        <w:t xml:space="preserve">۱۷. </w:t>
      </w:r>
      <w:r>
        <w:rPr>
          <w:rFonts w:ascii="Tahoma" w:cs="Tahoma" w:eastAsia="Tahoma" w:hAnsi="Tahoma"/>
          <w:b/>
          <w:bCs/>
          <w:sz w:val="21"/>
          <w:szCs w:val="21"/>
          <w:rtl/>
        </w:rPr>
        <w:t xml:space="preserve">شمار مشتریان طبقه‌ی بیش از ۲۰ میلیارد تومان:</w:t>
      </w:r>
      <w:r>
        <w:rPr>
          <w:rFonts w:ascii="Tahoma" w:cs="Tahoma" w:eastAsia="Tahoma" w:hAnsi="Tahoma"/>
          <w:sz w:val="21"/>
          <w:szCs w:val="21"/>
          <w:rtl/>
        </w:rPr>
        <w:t xml:space="preserve"> در نمونه ۴۰۱ و در فایل توزیع مشتریان ۲۶۲ نفر است؛ تعریف مانده‌ی مشتری و مقطع طبقه‌بندی فایل توزیع اعلام شود (بخش ۲.۴.۲).</w:t>
      </w:r>
    </w:p>
    <w:p>
      <w:pPr>
        <w:bidi/>
        <w:spacing w:after="120" w:line="300"/>
        <w:ind w:start="300"/>
        <w:jc w:val="left"/>
      </w:pPr>
      <w:r>
        <w:rPr>
          <w:rFonts w:ascii="Tahoma" w:cs="Tahoma" w:eastAsia="Tahoma" w:hAnsi="Tahoma"/>
          <w:sz w:val="21"/>
          <w:szCs w:val="21"/>
          <w:rtl/>
        </w:rPr>
        <w:t xml:space="preserve">۱۸. </w:t>
      </w:r>
      <w:r>
        <w:rPr>
          <w:rFonts w:ascii="Tahoma" w:cs="Tahoma" w:eastAsia="Tahoma" w:hAnsi="Tahoma"/>
          <w:b/>
          <w:bCs/>
          <w:sz w:val="21"/>
          <w:szCs w:val="21"/>
          <w:rtl/>
        </w:rPr>
        <w:t xml:space="preserve">آمار رسمی ۱۲/۱۴۰۰ و ۱۱/۱۴۰۱:</w:t>
      </w:r>
      <w:r>
        <w:rPr>
          <w:rFonts w:ascii="Tahoma" w:cs="Tahoma" w:eastAsia="Tahoma" w:hAnsi="Tahoma"/>
          <w:sz w:val="21"/>
          <w:szCs w:val="21"/>
          <w:rtl/>
        </w:rPr>
        <w:t xml:space="preserve"> تفکیک انواع سپرده و مطالبات غیرجاری این دو ماه در فایل رسمی ثبت نشده است؛ تکمیل آن امکان مقایسه‌ی ۶۰ ماهه را فراهم می‌کند (بخش ۲.۳).</w:t>
      </w:r>
    </w:p>
    <w:p>
      <w:pPr>
        <w:pBdr>
          <w:bottom w:val="single" w:color="BBBBBB" w:sz="6"/>
        </w:pBdr>
        <w:spacing w:after="100" w:before="100"/>
      </w:pPr>
    </w:p>
    <w:p>
      <w:pPr>
        <w:pStyle w:val="Heading2"/>
        <w:keepNext/>
        <w:bidi/>
        <w:spacing w:after="160" w:before="300"/>
        <w:jc w:val="left"/>
      </w:pPr>
      <w:bookmarkStart w:name="_Toc87" w:id="87"/>
      <w:r>
        <w:rPr>
          <w:rFonts w:ascii="Tahoma" w:cs="Tahoma" w:eastAsia="Tahoma" w:hAnsi="Tahoma"/>
          <w:b/>
          <w:bCs/>
          <w:color w:val="1F4E79"/>
          <w:sz w:val="28"/>
          <w:szCs w:val="28"/>
          <w:rtl/>
        </w:rPr>
        <w:t xml:space="preserve">۹.۶ درخواست از بانک</w:t>
      </w:r>
      <w:bookmarkEnd w:id="87"/>
    </w:p>
    <w:p>
      <w:pPr>
        <w:bidi/>
        <w:spacing w:after="160" w:line="312"/>
        <w:jc w:val="left"/>
      </w:pPr>
      <w:r>
        <w:rPr>
          <w:rFonts w:ascii="Tahoma" w:cs="Tahoma" w:eastAsia="Tahoma" w:hAnsi="Tahoma"/>
          <w:sz w:val="21"/>
          <w:szCs w:val="21"/>
          <w:rtl/>
        </w:rPr>
        <w:t xml:space="preserve">با تحویل این گزارش، از بانک درخواست می‌شود: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گزارش فاز ۱ را بررسی و تأیید کند، یا نظرات اصلاحی خود را اعلام نماید.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داده‌های اولویت ۱ و ۲ (جدول ۹-۲) را در اختیار تیم پروژه قرار دهد و برای هماهنگی دریافت داده، نماینده‌ای معرفی کند.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به پرسش‌های فنی بخش ۹.۵، دست‌کم برای موارد ۱، ۴، ۵، ۱۵ و ۱۶، پاسخ دهد.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در خصوص قالب گزارش محرمانه‌ی عملکرد شعب (فقط با کد شعبه) و گیرندگان آن اعلام نظر کند.</w:t>
      </w:r>
    </w:p>
    <w:p>
      <w:pPr>
        <w:bidi/>
        <w:spacing w:after="160" w:line="312"/>
        <w:jc w:val="left"/>
      </w:pPr>
      <w:r>
        <w:rPr>
          <w:rFonts w:ascii="Tahoma" w:cs="Tahoma" w:eastAsia="Tahoma" w:hAnsi="Tahoma"/>
          <w:sz w:val="21"/>
          <w:szCs w:val="21"/>
          <w:rtl/>
        </w:rPr>
        <w:t xml:space="preserve">پس از تأیید گزارش و دریافت داده‌های اولویت ۱،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0cb3c5c015da4b1793cc71c9221f748fd58a70e3.png"/><Relationship Id="rId13" Type="http://schemas.openxmlformats.org/officeDocument/2006/relationships/image" Target="media/230a3d2af19f3b8497ecbcf30c7d4be8e57de409.png"/><Relationship Id="rId14" Type="http://schemas.openxmlformats.org/officeDocument/2006/relationships/image" Target="media/c1a984d635d5a53714b5fa9c11a8ddf4b84fe9cf.png"/><Relationship Id="rId15" Type="http://schemas.openxmlformats.org/officeDocument/2006/relationships/image" Target="media/3f77d094ac3abfe7dbdc40291dd6f85955a86007.png"/><Relationship Id="rId16" Type="http://schemas.openxmlformats.org/officeDocument/2006/relationships/image" Target="media/f0c8870c28881e5a08c331f567a3ec9846cb8611.png"/><Relationship Id="rId17" Type="http://schemas.openxmlformats.org/officeDocument/2006/relationships/image" Target="media/55c123817342c557c6e789783f121a25406e79b3.png"/><Relationship Id="rId18" Type="http://schemas.openxmlformats.org/officeDocument/2006/relationships/image" Target="media/5801ee65ea88e681d25b427859315dcb81c245f8.png"/><Relationship Id="rId19" Type="http://schemas.openxmlformats.org/officeDocument/2006/relationships/image" Target="media/904ce1ab5f0a0b005e590e10141bea75a8b5f80d.png"/><Relationship Id="rId20" Type="http://schemas.openxmlformats.org/officeDocument/2006/relationships/image" Target="media/15fa58d5a5db9b9b204598af5a90148fbe5d23c2.png"/><Relationship Id="rId21" Type="http://schemas.openxmlformats.org/officeDocument/2006/relationships/image" Target="media/c74cc800e3c288b444e2e9b021d241efd6bae78d.png"/><Relationship Id="rId22" Type="http://schemas.openxmlformats.org/officeDocument/2006/relationships/image" Target="media/0ff8466e004713bb521f2e1c9f56417815bb81e7.png"/><Relationship Id="rId23" Type="http://schemas.openxmlformats.org/officeDocument/2006/relationships/image" Target="media/8dc8312697d0d99aef11bcb7753d26f70bbdf9ad.png"/><Relationship Id="rId24" Type="http://schemas.openxmlformats.org/officeDocument/2006/relationships/image" Target="media/638292c1653c230f584f140750bca2d6dff4ef1e.png"/><Relationship Id="rId25" Type="http://schemas.openxmlformats.org/officeDocument/2006/relationships/image" Target="media/5eaaa08c7c0f0975639aa66a688c0fea282fd1e6.png"/><Relationship Id="rId26" Type="http://schemas.openxmlformats.org/officeDocument/2006/relationships/image" Target="media/b9c83d9d72adeb7a8e2394ff0168aedb71e5dc8f.png"/><Relationship Id="rId27" Type="http://schemas.openxmlformats.org/officeDocument/2006/relationships/image" Target="media/2d8702fcb7d37420d91830179046becc2739287d.png"/><Relationship Id="rId28" Type="http://schemas.openxmlformats.org/officeDocument/2006/relationships/image" Target="media/5ca0104b67cc1db3a7c2184d6e7ae4de6f9f8d96.png"/><Relationship Id="rId29" Type="http://schemas.openxmlformats.org/officeDocument/2006/relationships/image" Target="media/9cbc96ca8c2295206d216f06ad8c3db5725b9900.png"/><Relationship Id="rId30" Type="http://schemas.openxmlformats.org/officeDocument/2006/relationships/image" Target="media/96f2c6b04ef2040c1fa4775a6c44b22278cd6d8f.png"/><Relationship Id="rId31" Type="http://schemas.openxmlformats.org/officeDocument/2006/relationships/image" Target="media/efd180f71fb708974a64619bb0860c24dc18aac7.png"/><Relationship Id="rId32" Type="http://schemas.openxmlformats.org/officeDocument/2006/relationships/image" Target="media/3edc8ceb3b475134f3bb4434b42e890a786ffb35.png"/><Relationship Id="rId33" Type="http://schemas.openxmlformats.org/officeDocument/2006/relationships/image" Target="media/4094c543753452389e7e6144cd37a3cc809d63c4.png"/><Relationship Id="rId34" Type="http://schemas.openxmlformats.org/officeDocument/2006/relationships/image" Target="media/8a37ba9f659ae1bdc98bc04bbfc5f0be90dd535c.png"/><Relationship Id="rId35" Type="http://schemas.openxmlformats.org/officeDocument/2006/relationships/image" Target="media/90fa3ebd48e0bc293485862ce25c343fd05cd743.png"/><Relationship Id="rId36" Type="http://schemas.openxmlformats.org/officeDocument/2006/relationships/image" Target="media/c07351a23985c7c2b6a602b357bdb9be3cd2ff69.png"/><Relationship Id="rId37" Type="http://schemas.openxmlformats.org/officeDocument/2006/relationships/image" Target="media/c7a714e13478c20aefd1c15c442e36454cbcf299.png"/><Relationship Id="rId38" Type="http://schemas.openxmlformats.org/officeDocument/2006/relationships/image" Target="media/d73af7f1810d9f1d4bb1fb46db13ad2d9684ad32.png"/><Relationship Id="rId39" Type="http://schemas.openxmlformats.org/officeDocument/2006/relationships/image" Target="media/ec8997f40cebb5bcf972888a080e225f8068f75c.png"/><Relationship Id="rId40" Type="http://schemas.openxmlformats.org/officeDocument/2006/relationships/image" Target="media/ab5e4b94b45fa4250eb35b1ace495ab799b8d049.png"/><Relationship Id="rId41" Type="http://schemas.openxmlformats.org/officeDocument/2006/relationships/image" Target="media/b13162c69b0397156e4c3777bfc7bba29454b854.png"/><Relationship Id="rId42" Type="http://schemas.openxmlformats.org/officeDocument/2006/relationships/image" Target="media/70c9b1d891ead5cfde6e4ed8a571539b22dd43f6.png"/><Relationship Id="rId43" Type="http://schemas.openxmlformats.org/officeDocument/2006/relationships/image" Target="media/a58652b4b2d060754241730607599c7719c7e083.png"/><Relationship Id="rId44" Type="http://schemas.openxmlformats.org/officeDocument/2006/relationships/image" Target="media/d8190da86feab5c44e9ee94c3d39aab3d1ee7ecc.png"/><Relationship Id="rId45" Type="http://schemas.openxmlformats.org/officeDocument/2006/relationships/image" Target="media/a84ab6d3b695525b3556b13e819fc6ef65e1a30e.png"/><Relationship Id="rId46" Type="http://schemas.openxmlformats.org/officeDocument/2006/relationships/image" Target="media/05ec3d36d25a712b3bbacc41e24c5a8b16e41ac4.png"/><Relationship Id="rId47" Type="http://schemas.openxmlformats.org/officeDocument/2006/relationships/image" Target="media/330e59a87809a9bc55f643acd7cb774b5b3c263f.png"/><Relationship Id="rId48" Type="http://schemas.openxmlformats.org/officeDocument/2006/relationships/image" Target="media/8f1b1eebc99da8bef1a6b329664bc6e356efbaa5.png"/><Relationship Id="rId49" Type="http://schemas.openxmlformats.org/officeDocument/2006/relationships/image" Target="media/71945311c70075f00d6b561e36bdbd011f0fac9d.png"/><Relationship Id="rId50" Type="http://schemas.openxmlformats.org/officeDocument/2006/relationships/image" Target="media/6dabd29f766201ba8a73c9c005d9f72e0fe4b570.png"/><Relationship Id="rId51" Type="http://schemas.openxmlformats.org/officeDocument/2006/relationships/image" Target="media/a79bd041a19f68a519262970cbecac51bf0237a3.png"/><Relationship Id="rId52" Type="http://schemas.openxmlformats.org/officeDocument/2006/relationships/image" Target="media/c2ef0632f1902fd559e8b9f88ec14a2736acbaa2.png"/><Relationship Id="rId53" Type="http://schemas.openxmlformats.org/officeDocument/2006/relationships/image" Target="media/78b7584a60f0edb63f7ace8196bc2d292f60ffeb.png"/><Relationship Id="rId54" Type="http://schemas.openxmlformats.org/officeDocument/2006/relationships/image" Target="media/e2abdde3a0a73b66256909f0fabbf9fd8678f622.png"/><Relationship Id="rId55" Type="http://schemas.openxmlformats.org/officeDocument/2006/relationships/image" Target="media/c69f7d9e0abeaf2fb1dfb84b4ac619704f5804e1.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2026-10-09T12:49:39.443Z</dcterms:created>
  <dcterms:modified xsi:type="dcterms:W3CDTF">2026-10-09T12:49:39.444Z</dcterms:modified>
</cp:coreProperties>
</file>

<file path=docProps/custom.xml><?xml version="1.0" encoding="utf-8"?>
<Properties xmlns="http://schemas.openxmlformats.org/officeDocument/2006/custom-properties" xmlns:vt="http://schemas.openxmlformats.org/officeDocument/2006/docPropsVTypes"/>
</file>