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40" w:before="1200"/>
        <w:jc w:val="center"/>
      </w:pPr>
      <w:r>
        <w:rPr>
          <w:rFonts w:ascii="B Titr" w:cs="B Titr" w:eastAsia="B Titr" w:hAnsi="B Titr"/>
          <w:b w:val="false"/>
          <w:bCs w:val="false"/>
          <w:color w:val="1F4E79"/>
          <w:sz w:val="52"/>
          <w:szCs w:val="52"/>
          <w:rtl/>
        </w:rPr>
        <w:t xml:space="preserve">گزارش نهایی فاز ۱</w:t>
      </w:r>
    </w:p>
    <w:p>
      <w:pPr>
        <w:bidi/>
        <w:spacing w:after="400"/>
        <w:jc w:val="center"/>
      </w:pPr>
      <w:r>
        <w:rPr>
          <w:rFonts w:ascii="B Nazanin" w:cs="B Nazanin" w:eastAsia="B Nazanin" w:hAnsi="B Nazanin"/>
          <w:color w:val="404040"/>
          <w:sz w:val="30"/>
          <w:szCs w:val="30"/>
          <w:rtl/>
        </w:rPr>
        <w:t xml:space="preserve">تحلیل رفتار مشتریان بانک توسعه تعاون: گزارش وضعیت موجود و شناخت بازار</w:t>
      </w:r>
    </w:p>
    <w:p>
      <w:pPr>
        <w:pBdr>
          <w:bottom w:val="single" w:color="BBBBBB" w:sz="6"/>
        </w:pBdr>
        <w:spacing w:after="100" w:before="100"/>
      </w:pPr>
    </w:p>
    <w:p>
      <w:pPr>
        <w:bidi/>
        <w:spacing w:after="160" w:line="312"/>
        <w:jc w:val="left"/>
      </w:pPr>
      <w:r>
        <w:rPr>
          <w:rFonts w:ascii="Cambria" w:cs="B Nazanin" w:eastAsia="B Nazanin" w:hAnsi="Cambria"/>
          <w:b/>
          <w:bCs/>
          <w:color w:val="000000"/>
          <w:sz w:val="22"/>
          <w:szCs w:val="26"/>
          <w:rtl/>
        </w:rPr>
        <w:t xml:space="preserve">مشخصات سند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728"/>
        <w:gridCol w:w="5622"/>
      </w:tblGrid>
      <w:tr>
        <w:trPr>
          <w:cantSplit/>
          <w:tblHeader/>
        </w:trPr>
        <w:tc>
          <w:tcPr>
            <w:tcW w:type="dxa" w:w="37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
            </w:r>
          </w:p>
        </w:tc>
        <w:tc>
          <w:tcPr>
            <w:tcW w:type="dxa" w:w="56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عنوان</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گزارش وضعیت موجود و شناخت بازار (Market Overview)، فاز ۱</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منبع داده</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تحلیلی استخراج‌شده توسط بانک (پایگاه‌داده‌ی </w:t>
            </w:r>
            <w:r>
              <w:rPr>
                <w:rFonts w:ascii="Cambria" w:cs="B Nazanin" w:eastAsia="B Nazanin" w:hAnsi="Cambria"/>
                <w:b w:val="false"/>
                <w:bCs w:val="false"/>
                <w:color w:val="000000"/>
                <w:sz w:val="22"/>
                <w:szCs w:val="22"/>
              </w:rPr>
              <w:t xml:space="preserve">Alzahra_Final_DB</w:t>
            </w:r>
            <w:r>
              <w:rPr>
                <w:rFonts w:ascii="B Nazanin" w:cs="B Nazanin" w:eastAsia="B Nazanin" w:hAnsi="B Nazanin"/>
                <w:b w:val="false"/>
                <w:bCs w:val="false"/>
                <w:color w:val="000000"/>
                <w:sz w:val="22"/>
                <w:szCs w:val="22"/>
                <w:rtl/>
              </w:rPr>
              <w:t xml:space="preserve">، ۱۴ جدول) و آمار ماهانه‌ی رسمی بانک در سطح استان و شعبه</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بازه‌ی تحلیل</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 تا ۱۲/۱۴۰۴ (۶۰ ماه)</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آخرین مقطع</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واحد پولی</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هزار میلیارد تومان (همت)</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تاریخ تدوین</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مهر ۱۴۰۵</w:t>
            </w:r>
          </w:p>
        </w:tc>
      </w:tr>
      <w:tr>
        <w:trPr>
          <w:cantSplit/>
        </w:trPr>
        <w:tc>
          <w:tcPr>
            <w:tcW w:type="dxa" w:w="37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وضعیت</w:t>
            </w:r>
          </w:p>
        </w:tc>
        <w:tc>
          <w:tcPr>
            <w:tcW w:type="dxa" w:w="5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نسخه‌ی ششم، جهت بررسی کارفرما</w:t>
            </w:r>
          </w:p>
        </w:tc>
      </w:tr>
    </w:tbl>
    <w:p>
      <w:pPr>
        <w:spacing w:after="200"/>
      </w:pPr>
    </w:p>
    <w:p>
      <w:pPr>
        <w:pBdr>
          <w:bottom w:val="single" w:color="BBBBBB" w:sz="6"/>
        </w:pBdr>
        <w:spacing w:after="100" w:before="100"/>
      </w:pPr>
    </w:p>
    <w:p>
      <w:pPr>
        <w:bidi/>
        <w:spacing w:after="160" w:line="312"/>
        <w:jc w:val="left"/>
      </w:pPr>
      <w:r>
        <w:rPr>
          <w:rFonts w:ascii="Cambria" w:cs="B Nazanin" w:eastAsia="B Nazanin" w:hAnsi="Cambria"/>
          <w:b/>
          <w:bCs/>
          <w:color w:val="000000"/>
          <w:sz w:val="22"/>
          <w:szCs w:val="26"/>
          <w:rtl/>
        </w:rPr>
        <w:t xml:space="preserve">راهنمای مطالعه</w:t>
      </w:r>
    </w:p>
    <w:p>
      <w:pPr>
        <w:bidi/>
        <w:spacing w:after="160" w:line="312"/>
        <w:jc w:val="left"/>
      </w:pPr>
      <w:r>
        <w:rPr>
          <w:rFonts w:ascii="Cambria" w:cs="B Nazanin" w:eastAsia="B Nazanin" w:hAnsi="Cambria"/>
          <w:color w:val="000000"/>
          <w:sz w:val="22"/>
          <w:szCs w:val="26"/>
          <w:rtl/>
        </w:rPr>
        <w:t xml:space="preserve">این گزارش تصویری تحلیلی از وضعیت بانک توسعه تعاون ارائه می‌کند و برای مدیران و کارشناسانی تدوین شده است که با ساختار پایگاه‌داده‌ی بانک آشنایی ندارند. خلاصه‌ی مدیریتی نتایج اصلی را در یک نگاه نشان می‌دهد. فصل ۱ و ۲ روش اجرای پروژه، داده‌های در دسترس و میزان پوشش نمونه را توضیح می‌دهند. فصل‌های ۳ تا ۸ به تحلیل مشتریان، سپرده، تسهیلات، کیفیت دارایی، جغرافیا و سودآوری می‌پردازند و فصل ۹ یافته‌ها، پیشنهادها، مسیر پیش رو و پرسش‌ها از بانک را جمع‌بندی می‌کند.</w:t>
      </w:r>
    </w:p>
    <w:p>
      <w:pPr>
        <w:bidi/>
        <w:spacing w:after="160" w:line="312"/>
        <w:jc w:val="left"/>
      </w:pPr>
      <w:r>
        <w:rPr>
          <w:rFonts w:ascii="Cambria" w:cs="B Nazanin" w:eastAsia="B Nazanin" w:hAnsi="Cambria"/>
          <w:color w:val="000000"/>
          <w:sz w:val="22"/>
          <w:szCs w:val="26"/>
          <w:rtl/>
        </w:rPr>
        <w:t xml:space="preserve">ارقام مطلق این گزارش از نمونه‌ی تحلیلی به دست آمده‌اند و فصل ۲ میزان پوشش آن را نسبت به کل بانک نشان می‌دهد؛ نسبت مطالبات غیرجاری و ساختار استانی نمونه با آمار رسمی بانک هم‌خوانی دارند. هر رقم به یکی از مبناهای جدول تطبیق (بخش ۱.۶) ارجاع دارد. جدول‌ها و نمودارها در هر فصل جداگانه شماره‌گذاری شده‌اند (نمودار ۲-۱ نخستین نمودار فصل ۲ است) و جدول‌های همه‌ی فصل‌ها در فایل اکسل «پیوست الف» نیز در دسترس است.</w:t>
      </w:r>
    </w:p>
    <w:p>
      <w:pPr>
        <w:pBdr>
          <w:bottom w:val="single" w:color="BBBBBB" w:sz="6"/>
        </w:pBdr>
        <w:spacing w:after="100" w:before="100"/>
      </w:pPr>
    </w:p>
    <w:p>
      <w:pPr>
        <w:bidi/>
        <w:spacing w:after="160" w:line="312"/>
        <w:jc w:val="left"/>
      </w:pPr>
      <w:r>
        <w:rPr>
          <w:rFonts w:ascii="Cambria" w:cs="B Nazanin" w:eastAsia="B Nazanin" w:hAnsi="Cambria"/>
          <w:b/>
          <w:bCs/>
          <w:color w:val="000000"/>
          <w:sz w:val="22"/>
          <w:szCs w:val="26"/>
          <w:rtl/>
        </w:rPr>
        <w:t xml:space="preserve">فهرست فصل‌ها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79"/>
        <w:gridCol w:w="5771"/>
      </w:tblGrid>
      <w:tr>
        <w:trPr>
          <w:cantSplit/>
          <w:tblHeader/>
        </w:trPr>
        <w:tc>
          <w:tcPr>
            <w:tcW w:type="dxa" w:w="35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فصل</w:t>
            </w:r>
          </w:p>
        </w:tc>
        <w:tc>
          <w:tcPr>
            <w:tcW w:type="dxa" w:w="57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عنوان</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بدون شماره</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خلاصه‌ی مدیریتی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مقدمه و روش‌شناسی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داده‌های در دسترس و پوشش نمونه</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جمعیت، رابطه و ماندگاری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بازار سپرده</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بازار تسهیلات</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کیفیت دارایی، ریسک اعتباری و تمرکز</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شبکه‌ی شعب و توزیع جغرافیایی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برآورد سودآوری</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جمع‌بندی، پیشنهادها و مسیر پیش رو</w:t>
            </w:r>
          </w:p>
        </w:tc>
      </w:tr>
      <w:tr>
        <w:trPr>
          <w:cantSplit/>
        </w:trPr>
        <w:tc>
          <w:tcPr>
            <w:tcW w:type="dxa" w:w="35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پیوست الف</w:t>
            </w:r>
          </w:p>
        </w:tc>
        <w:tc>
          <w:tcPr>
            <w:tcW w:type="dxa" w:w="57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جدول‌های گزارش (فایل اکسل)</w:t>
            </w:r>
          </w:p>
        </w:tc>
      </w:tr>
    </w:tbl>
    <w:p>
      <w:pPr>
        <w:spacing w:after="200"/>
      </w:pPr>
    </w:p>
    <w:p>
      <w:pPr>
        <w:pBdr>
          <w:bottom w:val="single" w:color="BBBBBB" w:sz="6"/>
        </w:pBdr>
        <w:spacing w:after="100" w:before="100"/>
      </w:pPr>
    </w:p>
    <w:p>
      <w:pPr>
        <w:pageBreakBefore/>
        <w:bidi/>
        <w:spacing w:after="300"/>
        <w:jc w:val="left"/>
      </w:pPr>
      <w:r>
        <w:rPr>
          <w:rFonts w:ascii="B Nazanin" w:cs="B Nazanin" w:eastAsia="B Nazanin" w:hAnsi="B Nazanin"/>
          <w:b/>
          <w:bCs/>
          <w:color w:val="1F4E79"/>
          <w:sz w:val="32"/>
          <w:szCs w:val="32"/>
          <w:rtl/>
        </w:rPr>
        <w:t xml:space="preserve">فهرست مطالب</w:t>
      </w:r>
    </w:p>
    <w:sdt>
      <w:sdtPr>
        <w:alias w:val="فهرست مطالب"/>
      </w:sdtPr>
      <w:sdtContent>
        <w:p>
          <w:pPr>
            <w:pStyle w:val="TOC1"/>
            <w:tabs>
              <w:tab w:val="right" w:pos="9638" w:leader="dot"/>
            </w:tabs>
          </w:pPr>
          <w:r>
            <w:fldChar w:fldCharType="begin" w:dirty="true"/>
            <w:instrText xml:space="preserve">TOC \h \o "1-2"</w:instrText>
            <w:fldChar w:fldCharType="separate"/>
          </w:r>
          <w:hyperlink w:history="1" w:anchor="_Toc1">
            <w:r>
              <w:t xml:space="preserve">خلاصه‌ی مدیریتی</w:t>
            </w:r>
            <w:r>
              <w:tab/>
            </w:r>
            <w:r>
              <w:fldChar w:fldCharType="begin" w:dirty="true"/>
              <w:instrText xml:space="preserve">PAGEREF _Toc1 \h</w:instrText>
              <w:fldChar w:fldCharType="separate"/>
              <w:fldChar w:fldCharType="end"/>
            </w:r>
          </w:hyperlink>
        </w:p>
        <w:p>
          <w:pPr>
            <w:pStyle w:val="TOC2"/>
            <w:tabs>
              <w:tab w:val="right" w:pos="9638" w:leader="dot"/>
            </w:tabs>
            <w:ind w:left="220"/>
          </w:pPr>
          <w:hyperlink w:history="1" w:anchor="_Toc2">
            <w:r>
              <w:t xml:space="preserve">پوشش نمونه نسبت به کل بانک</w:t>
            </w:r>
            <w:r>
              <w:tab/>
            </w:r>
            <w:r>
              <w:fldChar w:fldCharType="begin" w:dirty="true"/>
              <w:instrText xml:space="preserve">PAGEREF _Toc2 \h</w:instrText>
              <w:fldChar w:fldCharType="separate"/>
              <w:fldChar w:fldCharType="end"/>
            </w:r>
          </w:hyperlink>
        </w:p>
        <w:p>
          <w:pPr>
            <w:pStyle w:val="TOC2"/>
            <w:tabs>
              <w:tab w:val="right" w:pos="9638" w:leader="dot"/>
            </w:tabs>
            <w:ind w:left="220"/>
          </w:pPr>
          <w:hyperlink w:history="1" w:anchor="_Toc3">
            <w:r>
              <w:t xml:space="preserve">شاخص‌های کلیدی (۱۲/۱۴۰۴)</w:t>
            </w:r>
            <w:r>
              <w:tab/>
            </w:r>
            <w:r>
              <w:fldChar w:fldCharType="begin" w:dirty="true"/>
              <w:instrText xml:space="preserve">PAGEREF _Toc3 \h</w:instrText>
              <w:fldChar w:fldCharType="separate"/>
              <w:fldChar w:fldCharType="end"/>
            </w:r>
          </w:hyperlink>
        </w:p>
        <w:p>
          <w:pPr>
            <w:pStyle w:val="TOC2"/>
            <w:tabs>
              <w:tab w:val="right" w:pos="9638" w:leader="dot"/>
            </w:tabs>
            <w:ind w:left="220"/>
          </w:pPr>
          <w:hyperlink w:history="1" w:anchor="_Toc4">
            <w:r>
              <w:t xml:space="preserve">یافته‌های برجسته</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مسیر پیش رو</w:t>
            </w:r>
            <w:r>
              <w:tab/>
            </w:r>
            <w:r>
              <w:fldChar w:fldCharType="begin" w:dirty="true"/>
              <w:instrText xml:space="preserve">PAGEREF _Toc5 \h</w:instrText>
              <w:fldChar w:fldCharType="separate"/>
              <w:fldChar w:fldCharType="end"/>
            </w:r>
          </w:hyperlink>
        </w:p>
        <w:p>
          <w:pPr>
            <w:pStyle w:val="TOC1"/>
            <w:tabs>
              <w:tab w:val="right" w:pos="9638" w:leader="dot"/>
            </w:tabs>
          </w:pPr>
          <w:hyperlink w:history="1" w:anchor="_Toc6">
            <w:r>
              <w:t xml:space="preserve">فصل ۱: مقدمه و روش‌شناسی</w:t>
            </w:r>
            <w:r>
              <w:tab/>
            </w:r>
            <w:r>
              <w:fldChar w:fldCharType="begin" w:dirty="true"/>
              <w:instrText xml:space="preserve">PAGEREF _Toc6 \h</w:instrText>
              <w:fldChar w:fldCharType="separate"/>
              <w:fldChar w:fldCharType="end"/>
            </w:r>
          </w:hyperlink>
        </w:p>
        <w:p>
          <w:pPr>
            <w:pStyle w:val="TOC2"/>
            <w:tabs>
              <w:tab w:val="right" w:pos="9638" w:leader="dot"/>
            </w:tabs>
            <w:ind w:left="220"/>
          </w:pPr>
          <w:hyperlink w:history="1" w:anchor="_Toc7">
            <w:r>
              <w:t xml:space="preserve">۱.۱ هدف و دامنه‌ی گزارش</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۱.۲ طراحی نمونه‌ی تحلیلی</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۱.۳ رویکرد تحلیل</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۱.۴ زنجیره‌ی پردازش داده</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۱.۵ قواعد یکپارچه‌سازی داده</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۱.۶ جدول تطبیق: مرجع واحد ارقام گزارش</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۱.۷ قراردادهای نمایش و واحدها</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۱.۸ واژه‌نامه</w:t>
            </w:r>
            <w:r>
              <w:tab/>
            </w:r>
            <w:r>
              <w:fldChar w:fldCharType="begin" w:dirty="true"/>
              <w:instrText xml:space="preserve">PAGEREF _Toc14 \h</w:instrText>
              <w:fldChar w:fldCharType="separate"/>
              <w:fldChar w:fldCharType="end"/>
            </w:r>
          </w:hyperlink>
        </w:p>
        <w:p>
          <w:pPr>
            <w:pStyle w:val="TOC1"/>
            <w:tabs>
              <w:tab w:val="right" w:pos="9638" w:leader="dot"/>
            </w:tabs>
          </w:pPr>
          <w:hyperlink w:history="1" w:anchor="_Toc15">
            <w:r>
              <w:t xml:space="preserve">فصل ۲: داده‌های در دسترس و پوشش نمونه</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۲.۱ هدف فصل</w:t>
            </w:r>
            <w:r>
              <w:tab/>
            </w:r>
            <w:r>
              <w:fldChar w:fldCharType="begin" w:dirty="true"/>
              <w:instrText xml:space="preserve">PAGEREF _Toc16 \h</w:instrText>
              <w:fldChar w:fldCharType="separate"/>
              <w:fldChar w:fldCharType="end"/>
            </w:r>
          </w:hyperlink>
        </w:p>
        <w:p>
          <w:pPr>
            <w:pStyle w:val="TOC2"/>
            <w:tabs>
              <w:tab w:val="right" w:pos="9638" w:leader="dot"/>
            </w:tabs>
            <w:ind w:left="220"/>
          </w:pPr>
          <w:hyperlink w:history="1" w:anchor="_Toc17">
            <w:r>
              <w:t xml:space="preserve">۲.۲ منابع داده</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۲.۳ بازه‌ی زمانی تحلیل</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۲.۴ پوشش نمونه نسبت به کل بانک</w:t>
            </w:r>
            <w:r>
              <w:tab/>
            </w:r>
            <w:r>
              <w:fldChar w:fldCharType="begin" w:dirty="true"/>
              <w:instrText xml:space="preserve">PAGEREF _Toc19 \h</w:instrText>
              <w:fldChar w:fldCharType="separate"/>
              <w:fldChar w:fldCharType="end"/>
            </w:r>
          </w:hyperlink>
        </w:p>
        <w:p>
          <w:pPr>
            <w:pStyle w:val="TOC2"/>
            <w:tabs>
              <w:tab w:val="right" w:pos="9638" w:leader="dot"/>
            </w:tabs>
            <w:ind w:left="220"/>
          </w:pPr>
          <w:hyperlink w:history="1" w:anchor="_Toc20">
            <w:r>
              <w:t xml:space="preserve">۲.۵ تکمیل تحلیل‌ها در فاز بعد</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۲.۶ حدود تعمیم شاخص‌ها</w:t>
            </w:r>
            <w:r>
              <w:tab/>
            </w:r>
            <w:r>
              <w:fldChar w:fldCharType="begin" w:dirty="true"/>
              <w:instrText xml:space="preserve">PAGEREF _Toc21 \h</w:instrText>
              <w:fldChar w:fldCharType="separate"/>
              <w:fldChar w:fldCharType="end"/>
            </w:r>
          </w:hyperlink>
        </w:p>
        <w:p>
          <w:pPr>
            <w:pStyle w:val="TOC1"/>
            <w:tabs>
              <w:tab w:val="right" w:pos="9638" w:leader="dot"/>
            </w:tabs>
          </w:pPr>
          <w:hyperlink w:history="1" w:anchor="_Toc22">
            <w:r>
              <w:t xml:space="preserve">فصل ۳: مشتریان (جمعیت، رابطه و ماندگاری)</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۳.۱ هدف و دامنه‌ی فصل</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۳.۲ جمعیت مشتریان</w:t>
            </w:r>
            <w:r>
              <w:tab/>
            </w:r>
            <w:r>
              <w:fldChar w:fldCharType="begin" w:dirty="true"/>
              <w:instrText xml:space="preserve">PAGEREF _Toc24 \h</w:instrText>
              <w:fldChar w:fldCharType="separate"/>
              <w:fldChar w:fldCharType="end"/>
            </w:r>
          </w:hyperlink>
        </w:p>
        <w:p>
          <w:pPr>
            <w:pStyle w:val="TOC2"/>
            <w:tabs>
              <w:tab w:val="right" w:pos="9638" w:leader="dot"/>
            </w:tabs>
            <w:ind w:left="220"/>
          </w:pPr>
          <w:hyperlink w:history="1" w:anchor="_Toc25">
            <w:r>
              <w:t xml:space="preserve">۳.۳ همپوشانی سپرده و تسهیلات</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۳.۴ فعال‌بودن مشتریان</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۳.۵ ماندگاری کوهورت‌های افتتاح حساب</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۳.۶ نرخ ریزش سالانه</w:t>
            </w:r>
            <w:r>
              <w:tab/>
            </w:r>
            <w:r>
              <w:fldChar w:fldCharType="begin" w:dirty="true"/>
              <w:instrText xml:space="preserve">PAGEREF _Toc28 \h</w:instrText>
              <w:fldChar w:fldCharType="separate"/>
              <w:fldChar w:fldCharType="end"/>
            </w:r>
          </w:hyperlink>
        </w:p>
        <w:p>
          <w:pPr>
            <w:pStyle w:val="TOC2"/>
            <w:tabs>
              <w:tab w:val="right" w:pos="9638" w:leader="dot"/>
            </w:tabs>
            <w:ind w:left="220"/>
          </w:pPr>
          <w:hyperlink w:history="1" w:anchor="_Toc29">
            <w:r>
              <w:t xml:space="preserve">۳.۷ جمع‌بندی فصل</w:t>
            </w:r>
            <w:r>
              <w:tab/>
            </w:r>
            <w:r>
              <w:fldChar w:fldCharType="begin" w:dirty="true"/>
              <w:instrText xml:space="preserve">PAGEREF _Toc29 \h</w:instrText>
              <w:fldChar w:fldCharType="separate"/>
              <w:fldChar w:fldCharType="end"/>
            </w:r>
          </w:hyperlink>
        </w:p>
        <w:p>
          <w:pPr>
            <w:pStyle w:val="TOC1"/>
            <w:tabs>
              <w:tab w:val="right" w:pos="9638" w:leader="dot"/>
            </w:tabs>
          </w:pPr>
          <w:hyperlink w:history="1" w:anchor="_Toc30">
            <w:r>
              <w:t xml:space="preserve">فصل ۴: بازار سپرده</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۴.۱ هدف و مبنای فصل</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۴.۲ روند مانده و رشد منابع</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۴.۳ ترکیب پرتفوی سپرده</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۴.۴ پلکان مانده و تمرکز منابع</w:t>
            </w:r>
            <w:r>
              <w:tab/>
            </w:r>
            <w:r>
              <w:fldChar w:fldCharType="begin" w:dirty="true"/>
              <w:instrText xml:space="preserve">PAGEREF _Toc34 \h</w:instrText>
              <w:fldChar w:fldCharType="separate"/>
              <w:fldChar w:fldCharType="end"/>
            </w:r>
          </w:hyperlink>
        </w:p>
        <w:p>
          <w:pPr>
            <w:pStyle w:val="TOC2"/>
            <w:tabs>
              <w:tab w:val="right" w:pos="9638" w:leader="dot"/>
            </w:tabs>
            <w:ind w:left="220"/>
          </w:pPr>
          <w:hyperlink w:history="1" w:anchor="_Toc35">
            <w:r>
              <w:t xml:space="preserve">۴.۵ پایداری منابع</w:t>
            </w:r>
            <w:r>
              <w:tab/>
            </w:r>
            <w:r>
              <w:fldChar w:fldCharType="begin" w:dirty="true"/>
              <w:instrText xml:space="preserve">PAGEREF _Toc35 \h</w:instrText>
              <w:fldChar w:fldCharType="separate"/>
              <w:fldChar w:fldCharType="end"/>
            </w:r>
          </w:hyperlink>
        </w:p>
        <w:p>
          <w:pPr>
            <w:pStyle w:val="TOC2"/>
            <w:tabs>
              <w:tab w:val="right" w:pos="9638" w:leader="dot"/>
            </w:tabs>
            <w:ind w:left="220"/>
          </w:pPr>
          <w:hyperlink w:history="1" w:anchor="_Toc36">
            <w:r>
              <w:t xml:space="preserve">۴.۶ تعریف مانده و حساب‌های نزد سایر بانک‌ها</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۴.۷ جمع‌بندی فصل</w:t>
            </w:r>
            <w:r>
              <w:tab/>
            </w:r>
            <w:r>
              <w:fldChar w:fldCharType="begin" w:dirty="true"/>
              <w:instrText xml:space="preserve">PAGEREF _Toc37 \h</w:instrText>
              <w:fldChar w:fldCharType="separate"/>
              <w:fldChar w:fldCharType="end"/>
            </w:r>
          </w:hyperlink>
        </w:p>
        <w:p>
          <w:pPr>
            <w:pStyle w:val="TOC1"/>
            <w:tabs>
              <w:tab w:val="right" w:pos="9638" w:leader="dot"/>
            </w:tabs>
          </w:pPr>
          <w:hyperlink w:history="1" w:anchor="_Toc38">
            <w:r>
              <w:t xml:space="preserve">فصل ۵: بازار تسهیلات</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۵.۱ هدف و مبنای فصل</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۵.۲ روند مانده و رشد پرتفوی</w:t>
            </w:r>
            <w:r>
              <w:tab/>
            </w:r>
            <w:r>
              <w:fldChar w:fldCharType="begin" w:dirty="true"/>
              <w:instrText xml:space="preserve">PAGEREF _Toc40 \h</w:instrText>
              <w:fldChar w:fldCharType="separate"/>
              <w:fldChar w:fldCharType="end"/>
            </w:r>
          </w:hyperlink>
        </w:p>
        <w:p>
          <w:pPr>
            <w:pStyle w:val="TOC2"/>
            <w:tabs>
              <w:tab w:val="right" w:pos="9638" w:leader="dot"/>
            </w:tabs>
            <w:ind w:left="220"/>
          </w:pPr>
          <w:hyperlink w:history="1" w:anchor="_Toc41">
            <w:r>
              <w:t xml:space="preserve">۵.۳ نسبت تسهیلات به منابع</w:t>
            </w:r>
            <w:r>
              <w:tab/>
            </w:r>
            <w:r>
              <w:fldChar w:fldCharType="begin" w:dirty="true"/>
              <w:instrText xml:space="preserve">PAGEREF _Toc41 \h</w:instrText>
              <w:fldChar w:fldCharType="separate"/>
              <w:fldChar w:fldCharType="end"/>
            </w:r>
          </w:hyperlink>
        </w:p>
        <w:p>
          <w:pPr>
            <w:pStyle w:val="TOC2"/>
            <w:tabs>
              <w:tab w:val="right" w:pos="9638" w:leader="dot"/>
            </w:tabs>
            <w:ind w:left="220"/>
          </w:pPr>
          <w:hyperlink w:history="1" w:anchor="_Toc42">
            <w:r>
              <w:t xml:space="preserve">۵.۴ ترکیب محصولی پرتفوی</w:t>
            </w:r>
            <w:r>
              <w:tab/>
            </w:r>
            <w:r>
              <w:fldChar w:fldCharType="begin" w:dirty="true"/>
              <w:instrText xml:space="preserve">PAGEREF _Toc42 \h</w:instrText>
              <w:fldChar w:fldCharType="separate"/>
              <w:fldChar w:fldCharType="end"/>
            </w:r>
          </w:hyperlink>
        </w:p>
        <w:p>
          <w:pPr>
            <w:pStyle w:val="TOC2"/>
            <w:tabs>
              <w:tab w:val="right" w:pos="9638" w:leader="dot"/>
            </w:tabs>
            <w:ind w:left="220"/>
          </w:pPr>
          <w:hyperlink w:history="1" w:anchor="_Toc43">
            <w:r>
              <w:t xml:space="preserve">۵.۵ ترکیب بخش اقتصادی</w:t>
            </w:r>
            <w:r>
              <w:tab/>
            </w:r>
            <w:r>
              <w:fldChar w:fldCharType="begin" w:dirty="true"/>
              <w:instrText xml:space="preserve">PAGEREF _Toc43 \h</w:instrText>
              <w:fldChar w:fldCharType="separate"/>
              <w:fldChar w:fldCharType="end"/>
            </w:r>
          </w:hyperlink>
        </w:p>
        <w:p>
          <w:pPr>
            <w:pStyle w:val="TOC2"/>
            <w:tabs>
              <w:tab w:val="right" w:pos="9638" w:leader="dot"/>
            </w:tabs>
            <w:ind w:left="220"/>
          </w:pPr>
          <w:hyperlink w:history="1" w:anchor="_Toc44">
            <w:r>
              <w:t xml:space="preserve">۵.۶ توزیع اندازه‌ی تسهیلات</w:t>
            </w:r>
            <w:r>
              <w:tab/>
            </w:r>
            <w:r>
              <w:fldChar w:fldCharType="begin" w:dirty="true"/>
              <w:instrText xml:space="preserve">PAGEREF _Toc44 \h</w:instrText>
              <w:fldChar w:fldCharType="separate"/>
              <w:fldChar w:fldCharType="end"/>
            </w:r>
          </w:hyperlink>
        </w:p>
        <w:p>
          <w:pPr>
            <w:pStyle w:val="TOC2"/>
            <w:tabs>
              <w:tab w:val="right" w:pos="9638" w:leader="dot"/>
            </w:tabs>
            <w:ind w:left="220"/>
          </w:pPr>
          <w:hyperlink w:history="1" w:anchor="_Toc45">
            <w:r>
              <w:t xml:space="preserve">۵.۷ پروفایل سررسید</w:t>
            </w:r>
            <w:r>
              <w:tab/>
            </w:r>
            <w:r>
              <w:fldChar w:fldCharType="begin" w:dirty="true"/>
              <w:instrText xml:space="preserve">PAGEREF _Toc45 \h</w:instrText>
              <w:fldChar w:fldCharType="separate"/>
              <w:fldChar w:fldCharType="end"/>
            </w:r>
          </w:hyperlink>
        </w:p>
        <w:p>
          <w:pPr>
            <w:pStyle w:val="TOC2"/>
            <w:tabs>
              <w:tab w:val="right" w:pos="9638" w:leader="dot"/>
            </w:tabs>
            <w:ind w:left="220"/>
          </w:pPr>
          <w:hyperlink w:history="1" w:anchor="_Toc46">
            <w:r>
              <w:t xml:space="preserve">۵.۸ نرخ سود مؤثر قراردادی</w:t>
            </w:r>
            <w:r>
              <w:tab/>
            </w:r>
            <w:r>
              <w:fldChar w:fldCharType="begin" w:dirty="true"/>
              <w:instrText xml:space="preserve">PAGEREF _Toc46 \h</w:instrText>
              <w:fldChar w:fldCharType="separate"/>
              <w:fldChar w:fldCharType="end"/>
            </w:r>
          </w:hyperlink>
        </w:p>
        <w:p>
          <w:pPr>
            <w:pStyle w:val="TOC2"/>
            <w:tabs>
              <w:tab w:val="right" w:pos="9638" w:leader="dot"/>
            </w:tabs>
            <w:ind w:left="220"/>
          </w:pPr>
          <w:hyperlink w:history="1" w:anchor="_Toc47">
            <w:r>
              <w:t xml:space="preserve">۵.۹ پوشش وثیقه</w:t>
            </w:r>
            <w:r>
              <w:tab/>
            </w:r>
            <w:r>
              <w:fldChar w:fldCharType="begin" w:dirty="true"/>
              <w:instrText xml:space="preserve">PAGEREF _Toc47 \h</w:instrText>
              <w:fldChar w:fldCharType="separate"/>
              <w:fldChar w:fldCharType="end"/>
            </w:r>
          </w:hyperlink>
        </w:p>
        <w:p>
          <w:pPr>
            <w:pStyle w:val="TOC2"/>
            <w:tabs>
              <w:tab w:val="right" w:pos="9638" w:leader="dot"/>
            </w:tabs>
            <w:ind w:left="220"/>
          </w:pPr>
          <w:hyperlink w:history="1" w:anchor="_Toc48">
            <w:r>
              <w:t xml:space="preserve">۵.۱۰ جمع‌بندی فصل</w:t>
            </w:r>
            <w:r>
              <w:tab/>
            </w:r>
            <w:r>
              <w:fldChar w:fldCharType="begin" w:dirty="true"/>
              <w:instrText xml:space="preserve">PAGEREF _Toc48 \h</w:instrText>
              <w:fldChar w:fldCharType="separate"/>
              <w:fldChar w:fldCharType="end"/>
            </w:r>
          </w:hyperlink>
        </w:p>
        <w:p>
          <w:pPr>
            <w:pStyle w:val="TOC1"/>
            <w:tabs>
              <w:tab w:val="right" w:pos="9638" w:leader="dot"/>
            </w:tabs>
          </w:pPr>
          <w:hyperlink w:history="1" w:anchor="_Toc49">
            <w:r>
              <w:t xml:space="preserve">فصل ۶: کیفیت دارایی، ریسک اعتباری و تمرکز</w:t>
            </w:r>
            <w:r>
              <w:tab/>
            </w:r>
            <w:r>
              <w:fldChar w:fldCharType="begin" w:dirty="true"/>
              <w:instrText xml:space="preserve">PAGEREF _Toc49 \h</w:instrText>
              <w:fldChar w:fldCharType="separate"/>
              <w:fldChar w:fldCharType="end"/>
            </w:r>
          </w:hyperlink>
        </w:p>
        <w:p>
          <w:pPr>
            <w:pStyle w:val="TOC2"/>
            <w:tabs>
              <w:tab w:val="right" w:pos="9638" w:leader="dot"/>
            </w:tabs>
            <w:ind w:left="220"/>
          </w:pPr>
          <w:hyperlink w:history="1" w:anchor="_Toc50">
            <w:r>
              <w:t xml:space="preserve">۶.۱ هدف و ساختار فصل</w:t>
            </w:r>
            <w:r>
              <w:tab/>
            </w:r>
            <w:r>
              <w:fldChar w:fldCharType="begin" w:dirty="true"/>
              <w:instrText xml:space="preserve">PAGEREF _Toc50 \h</w:instrText>
              <w:fldChar w:fldCharType="separate"/>
              <w:fldChar w:fldCharType="end"/>
            </w:r>
          </w:hyperlink>
        </w:p>
        <w:p>
          <w:pPr>
            <w:pStyle w:val="TOC2"/>
            <w:tabs>
              <w:tab w:val="right" w:pos="9638" w:leader="dot"/>
            </w:tabs>
            <w:ind w:left="220"/>
          </w:pPr>
          <w:hyperlink w:history="1" w:anchor="_Toc51">
            <w:r>
              <w:t xml:space="preserve">۶.۲ روند طبقه‌بندی مطالبات</w:t>
            </w:r>
            <w:r>
              <w:tab/>
            </w:r>
            <w:r>
              <w:fldChar w:fldCharType="begin" w:dirty="true"/>
              <w:instrText xml:space="preserve">PAGEREF _Toc51 \h</w:instrText>
              <w:fldChar w:fldCharType="separate"/>
              <w:fldChar w:fldCharType="end"/>
            </w:r>
          </w:hyperlink>
        </w:p>
        <w:p>
          <w:pPr>
            <w:pStyle w:val="TOC2"/>
            <w:tabs>
              <w:tab w:val="right" w:pos="9638" w:leader="dot"/>
            </w:tabs>
            <w:ind w:left="220"/>
          </w:pPr>
          <w:hyperlink w:history="1" w:anchor="_Toc52">
            <w:r>
              <w:t xml:space="preserve">۶.۳ تجزیه‌ی مطالبات غیرجاری بر مبنای پوشش داده</w:t>
            </w:r>
            <w:r>
              <w:tab/>
            </w:r>
            <w:r>
              <w:fldChar w:fldCharType="begin" w:dirty="true"/>
              <w:instrText xml:space="preserve">PAGEREF _Toc52 \h</w:instrText>
              <w:fldChar w:fldCharType="separate"/>
              <w:fldChar w:fldCharType="end"/>
            </w:r>
          </w:hyperlink>
        </w:p>
        <w:p>
          <w:pPr>
            <w:pStyle w:val="TOC2"/>
            <w:tabs>
              <w:tab w:val="right" w:pos="9638" w:leader="dot"/>
            </w:tabs>
            <w:ind w:left="220"/>
          </w:pPr>
          <w:hyperlink w:history="1" w:anchor="_Toc53">
            <w:r>
              <w:t xml:space="preserve">۶.۴ اعتبارات اسنادی</w:t>
            </w:r>
            <w:r>
              <w:tab/>
            </w:r>
            <w:r>
              <w:fldChar w:fldCharType="begin" w:dirty="true"/>
              <w:instrText xml:space="preserve">PAGEREF _Toc53 \h</w:instrText>
              <w:fldChar w:fldCharType="separate"/>
              <w:fldChar w:fldCharType="end"/>
            </w:r>
          </w:hyperlink>
        </w:p>
        <w:p>
          <w:pPr>
            <w:pStyle w:val="TOC2"/>
            <w:tabs>
              <w:tab w:val="right" w:pos="9638" w:leader="dot"/>
            </w:tabs>
            <w:ind w:left="220"/>
          </w:pPr>
          <w:hyperlink w:history="1" w:anchor="_Toc54">
            <w:r>
              <w:t xml:space="preserve">۶.۵ کیفیت دارایی بر حسب اندازه</w:t>
            </w:r>
            <w:r>
              <w:tab/>
            </w:r>
            <w:r>
              <w:fldChar w:fldCharType="begin" w:dirty="true"/>
              <w:instrText xml:space="preserve">PAGEREF _Toc54 \h</w:instrText>
              <w:fldChar w:fldCharType="separate"/>
              <w:fldChar w:fldCharType="end"/>
            </w:r>
          </w:hyperlink>
        </w:p>
        <w:p>
          <w:pPr>
            <w:pStyle w:val="TOC2"/>
            <w:tabs>
              <w:tab w:val="right" w:pos="9638" w:leader="dot"/>
            </w:tabs>
            <w:ind w:left="220"/>
          </w:pPr>
          <w:hyperlink w:history="1" w:anchor="_Toc55">
            <w:r>
              <w:t xml:space="preserve">۶.۶ کیفیت دارایی بر حسب نسل اعطا</w:t>
            </w:r>
            <w:r>
              <w:tab/>
            </w:r>
            <w:r>
              <w:fldChar w:fldCharType="begin" w:dirty="true"/>
              <w:instrText xml:space="preserve">PAGEREF _Toc55 \h</w:instrText>
              <w:fldChar w:fldCharType="separate"/>
              <w:fldChar w:fldCharType="end"/>
            </w:r>
          </w:hyperlink>
        </w:p>
        <w:p>
          <w:pPr>
            <w:pStyle w:val="TOC2"/>
            <w:tabs>
              <w:tab w:val="right" w:pos="9638" w:leader="dot"/>
            </w:tabs>
            <w:ind w:left="220"/>
          </w:pPr>
          <w:hyperlink w:history="1" w:anchor="_Toc56">
            <w:r>
              <w:t xml:space="preserve">۶.۷ تعداد طرف‌های قرارداد و ریسک</w:t>
            </w:r>
            <w:r>
              <w:tab/>
            </w:r>
            <w:r>
              <w:fldChar w:fldCharType="begin" w:dirty="true"/>
              <w:instrText xml:space="preserve">PAGEREF _Toc56 \h</w:instrText>
              <w:fldChar w:fldCharType="separate"/>
              <w:fldChar w:fldCharType="end"/>
            </w:r>
          </w:hyperlink>
        </w:p>
        <w:p>
          <w:pPr>
            <w:pStyle w:val="TOC2"/>
            <w:tabs>
              <w:tab w:val="right" w:pos="9638" w:leader="dot"/>
            </w:tabs>
            <w:ind w:left="220"/>
          </w:pPr>
          <w:hyperlink w:history="1" w:anchor="_Toc57">
            <w:r>
              <w:t xml:space="preserve">۶.۸ ماتریس انتقال وضعیت</w:t>
            </w:r>
            <w:r>
              <w:tab/>
            </w:r>
            <w:r>
              <w:fldChar w:fldCharType="begin" w:dirty="true"/>
              <w:instrText xml:space="preserve">PAGEREF _Toc57 \h</w:instrText>
              <w:fldChar w:fldCharType="separate"/>
              <w:fldChar w:fldCharType="end"/>
            </w:r>
          </w:hyperlink>
        </w:p>
        <w:p>
          <w:pPr>
            <w:pStyle w:val="TOC2"/>
            <w:tabs>
              <w:tab w:val="right" w:pos="9638" w:leader="dot"/>
            </w:tabs>
            <w:ind w:left="220"/>
          </w:pPr>
          <w:hyperlink w:history="1" w:anchor="_Toc58">
            <w:r>
              <w:t xml:space="preserve">۶.۹ الگوی دیرکرد اقساط</w:t>
            </w:r>
            <w:r>
              <w:tab/>
            </w:r>
            <w:r>
              <w:fldChar w:fldCharType="begin" w:dirty="true"/>
              <w:instrText xml:space="preserve">PAGEREF _Toc58 \h</w:instrText>
              <w:fldChar w:fldCharType="separate"/>
              <w:fldChar w:fldCharType="end"/>
            </w:r>
          </w:hyperlink>
        </w:p>
        <w:p>
          <w:pPr>
            <w:pStyle w:val="TOC2"/>
            <w:tabs>
              <w:tab w:val="right" w:pos="9638" w:leader="dot"/>
            </w:tabs>
            <w:ind w:left="220"/>
          </w:pPr>
          <w:hyperlink w:history="1" w:anchor="_Toc59">
            <w:r>
              <w:t xml:space="preserve">۶.۱۰ تمرکز تک‌نامی</w:t>
            </w:r>
            <w:r>
              <w:tab/>
            </w:r>
            <w:r>
              <w:fldChar w:fldCharType="begin" w:dirty="true"/>
              <w:instrText xml:space="preserve">PAGEREF _Toc59 \h</w:instrText>
              <w:fldChar w:fldCharType="separate"/>
              <w:fldChar w:fldCharType="end"/>
            </w:r>
          </w:hyperlink>
        </w:p>
        <w:p>
          <w:pPr>
            <w:pStyle w:val="TOC2"/>
            <w:tabs>
              <w:tab w:val="right" w:pos="9638" w:leader="dot"/>
            </w:tabs>
            <w:ind w:left="220"/>
          </w:pPr>
          <w:hyperlink w:history="1" w:anchor="_Toc60">
            <w:r>
              <w:t xml:space="preserve">۶.۱۱ نیمرخ ریسک بانک</w:t>
            </w:r>
            <w:r>
              <w:tab/>
            </w:r>
            <w:r>
              <w:fldChar w:fldCharType="begin" w:dirty="true"/>
              <w:instrText xml:space="preserve">PAGEREF _Toc60 \h</w:instrText>
              <w:fldChar w:fldCharType="separate"/>
              <w:fldChar w:fldCharType="end"/>
            </w:r>
          </w:hyperlink>
        </w:p>
        <w:p>
          <w:pPr>
            <w:pStyle w:val="TOC2"/>
            <w:tabs>
              <w:tab w:val="right" w:pos="9638" w:leader="dot"/>
            </w:tabs>
            <w:ind w:left="220"/>
          </w:pPr>
          <w:hyperlink w:history="1" w:anchor="_Toc61">
            <w:r>
              <w:t xml:space="preserve">۶.۱۲ جمع‌بندی فصل</w:t>
            </w:r>
            <w:r>
              <w:tab/>
            </w:r>
            <w:r>
              <w:fldChar w:fldCharType="begin" w:dirty="true"/>
              <w:instrText xml:space="preserve">PAGEREF _Toc61 \h</w:instrText>
              <w:fldChar w:fldCharType="separate"/>
              <w:fldChar w:fldCharType="end"/>
            </w:r>
          </w:hyperlink>
        </w:p>
        <w:p>
          <w:pPr>
            <w:pStyle w:val="TOC1"/>
            <w:tabs>
              <w:tab w:val="right" w:pos="9638" w:leader="dot"/>
            </w:tabs>
          </w:pPr>
          <w:hyperlink w:history="1" w:anchor="_Toc62">
            <w:r>
              <w:t xml:space="preserve">فصل ۷: شبکه‌ی شعب و توزیع جغرافیایی</w:t>
            </w:r>
            <w:r>
              <w:tab/>
            </w:r>
            <w:r>
              <w:fldChar w:fldCharType="begin" w:dirty="true"/>
              <w:instrText xml:space="preserve">PAGEREF _Toc62 \h</w:instrText>
              <w:fldChar w:fldCharType="separate"/>
              <w:fldChar w:fldCharType="end"/>
            </w:r>
          </w:hyperlink>
        </w:p>
        <w:p>
          <w:pPr>
            <w:pStyle w:val="TOC2"/>
            <w:tabs>
              <w:tab w:val="right" w:pos="9638" w:leader="dot"/>
            </w:tabs>
            <w:ind w:left="220"/>
          </w:pPr>
          <w:hyperlink w:history="1" w:anchor="_Toc63">
            <w:r>
              <w:t xml:space="preserve">۷.۰ هدف و دامنه‌ی فصل</w:t>
            </w:r>
            <w:r>
              <w:tab/>
            </w:r>
            <w:r>
              <w:fldChar w:fldCharType="begin" w:dirty="true"/>
              <w:instrText xml:space="preserve">PAGEREF _Toc63 \h</w:instrText>
              <w:fldChar w:fldCharType="separate"/>
              <w:fldChar w:fldCharType="end"/>
            </w:r>
          </w:hyperlink>
        </w:p>
        <w:p>
          <w:pPr>
            <w:pStyle w:val="TOC2"/>
            <w:tabs>
              <w:tab w:val="right" w:pos="9638" w:leader="dot"/>
            </w:tabs>
            <w:ind w:left="220"/>
          </w:pPr>
          <w:hyperlink w:history="1" w:anchor="_Toc64">
            <w:r>
              <w:t xml:space="preserve">۷.۱ ساختار استانی منابع و مصارف</w:t>
            </w:r>
            <w:r>
              <w:tab/>
            </w:r>
            <w:r>
              <w:fldChar w:fldCharType="begin" w:dirty="true"/>
              <w:instrText xml:space="preserve">PAGEREF _Toc64 \h</w:instrText>
              <w:fldChar w:fldCharType="separate"/>
              <w:fldChar w:fldCharType="end"/>
            </w:r>
          </w:hyperlink>
        </w:p>
        <w:p>
          <w:pPr>
            <w:pStyle w:val="TOC2"/>
            <w:tabs>
              <w:tab w:val="right" w:pos="9638" w:leader="dot"/>
            </w:tabs>
            <w:ind w:left="220"/>
          </w:pPr>
          <w:hyperlink w:history="1" w:anchor="_Toc65">
            <w:r>
              <w:t xml:space="preserve">۷.۲ توازن منابع و مصارف استان‌ها</w:t>
            </w:r>
            <w:r>
              <w:tab/>
            </w:r>
            <w:r>
              <w:fldChar w:fldCharType="begin" w:dirty="true"/>
              <w:instrText xml:space="preserve">PAGEREF _Toc65 \h</w:instrText>
              <w:fldChar w:fldCharType="separate"/>
              <w:fldChar w:fldCharType="end"/>
            </w:r>
          </w:hyperlink>
        </w:p>
        <w:p>
          <w:pPr>
            <w:pStyle w:val="TOC2"/>
            <w:tabs>
              <w:tab w:val="right" w:pos="9638" w:leader="dot"/>
            </w:tabs>
            <w:ind w:left="220"/>
          </w:pPr>
          <w:hyperlink w:history="1" w:anchor="_Toc66">
            <w:r>
              <w:t xml:space="preserve">۷.۳ کیفیت دارایی در استان‌ها</w:t>
            </w:r>
            <w:r>
              <w:tab/>
            </w:r>
            <w:r>
              <w:fldChar w:fldCharType="begin" w:dirty="true"/>
              <w:instrText xml:space="preserve">PAGEREF _Toc66 \h</w:instrText>
              <w:fldChar w:fldCharType="separate"/>
              <w:fldChar w:fldCharType="end"/>
            </w:r>
          </w:hyperlink>
        </w:p>
        <w:p>
          <w:pPr>
            <w:pStyle w:val="TOC2"/>
            <w:tabs>
              <w:tab w:val="right" w:pos="9638" w:leader="dot"/>
            </w:tabs>
            <w:ind w:left="220"/>
          </w:pPr>
          <w:hyperlink w:history="1" w:anchor="_Toc67">
            <w:r>
              <w:t xml:space="preserve">۷.۴ روند رشد استانی در ۶۰ ماه</w:t>
            </w:r>
            <w:r>
              <w:tab/>
            </w:r>
            <w:r>
              <w:fldChar w:fldCharType="begin" w:dirty="true"/>
              <w:instrText xml:space="preserve">PAGEREF _Toc67 \h</w:instrText>
              <w:fldChar w:fldCharType="separate"/>
              <w:fldChar w:fldCharType="end"/>
            </w:r>
          </w:hyperlink>
        </w:p>
        <w:p>
          <w:pPr>
            <w:pStyle w:val="TOC2"/>
            <w:tabs>
              <w:tab w:val="right" w:pos="9638" w:leader="dot"/>
            </w:tabs>
            <w:ind w:left="220"/>
          </w:pPr>
          <w:hyperlink w:history="1" w:anchor="_Toc68">
            <w:r>
              <w:t xml:space="preserve">۷.۵ ترکیب منابع در استان‌ها</w:t>
            </w:r>
            <w:r>
              <w:tab/>
            </w:r>
            <w:r>
              <w:fldChar w:fldCharType="begin" w:dirty="true"/>
              <w:instrText xml:space="preserve">PAGEREF _Toc68 \h</w:instrText>
              <w:fldChar w:fldCharType="separate"/>
              <w:fldChar w:fldCharType="end"/>
            </w:r>
          </w:hyperlink>
        </w:p>
        <w:p>
          <w:pPr>
            <w:pStyle w:val="TOC2"/>
            <w:tabs>
              <w:tab w:val="right" w:pos="9638" w:leader="dot"/>
            </w:tabs>
            <w:ind w:left="220"/>
          </w:pPr>
          <w:hyperlink w:history="1" w:anchor="_Toc69">
            <w:r>
              <w:t xml:space="preserve">۷.۶ ساختار شبکه‌ی شعب</w:t>
            </w:r>
            <w:r>
              <w:tab/>
            </w:r>
            <w:r>
              <w:fldChar w:fldCharType="begin" w:dirty="true"/>
              <w:instrText xml:space="preserve">PAGEREF _Toc69 \h</w:instrText>
              <w:fldChar w:fldCharType="separate"/>
              <w:fldChar w:fldCharType="end"/>
            </w:r>
          </w:hyperlink>
        </w:p>
        <w:p>
          <w:pPr>
            <w:pStyle w:val="TOC2"/>
            <w:tabs>
              <w:tab w:val="right" w:pos="9638" w:leader="dot"/>
            </w:tabs>
            <w:ind w:left="220"/>
          </w:pPr>
          <w:hyperlink w:history="1" w:anchor="_Toc70">
            <w:r>
              <w:t xml:space="preserve">۷.۷ هم‌خوانی الگوی استانی نمونه با بانک</w:t>
            </w:r>
            <w:r>
              <w:tab/>
            </w:r>
            <w:r>
              <w:fldChar w:fldCharType="begin" w:dirty="true"/>
              <w:instrText xml:space="preserve">PAGEREF _Toc70 \h</w:instrText>
              <w:fldChar w:fldCharType="separate"/>
              <w:fldChar w:fldCharType="end"/>
            </w:r>
          </w:hyperlink>
        </w:p>
        <w:p>
          <w:pPr>
            <w:pStyle w:val="TOC2"/>
            <w:tabs>
              <w:tab w:val="right" w:pos="9638" w:leader="dot"/>
            </w:tabs>
            <w:ind w:left="220"/>
          </w:pPr>
          <w:hyperlink w:history="1" w:anchor="_Toc71">
            <w:r>
              <w:t xml:space="preserve">۷.۸ پراکندگی جغرافیایی مشتریان</w:t>
            </w:r>
            <w:r>
              <w:tab/>
            </w:r>
            <w:r>
              <w:fldChar w:fldCharType="begin" w:dirty="true"/>
              <w:instrText xml:space="preserve">PAGEREF _Toc71 \h</w:instrText>
              <w:fldChar w:fldCharType="separate"/>
              <w:fldChar w:fldCharType="end"/>
            </w:r>
          </w:hyperlink>
        </w:p>
        <w:p>
          <w:pPr>
            <w:pStyle w:val="TOC2"/>
            <w:tabs>
              <w:tab w:val="right" w:pos="9638" w:leader="dot"/>
            </w:tabs>
            <w:ind w:left="220"/>
          </w:pPr>
          <w:hyperlink w:history="1" w:anchor="_Toc72">
            <w:r>
              <w:t xml:space="preserve">۷.۹ جمع‌بندی فصل</w:t>
            </w:r>
            <w:r>
              <w:tab/>
            </w:r>
            <w:r>
              <w:fldChar w:fldCharType="begin" w:dirty="true"/>
              <w:instrText xml:space="preserve">PAGEREF _Toc72 \h</w:instrText>
              <w:fldChar w:fldCharType="separate"/>
              <w:fldChar w:fldCharType="end"/>
            </w:r>
          </w:hyperlink>
        </w:p>
        <w:p>
          <w:pPr>
            <w:pStyle w:val="TOC1"/>
            <w:tabs>
              <w:tab w:val="right" w:pos="9638" w:leader="dot"/>
            </w:tabs>
          </w:pPr>
          <w:hyperlink w:history="1" w:anchor="_Toc73">
            <w:r>
              <w:t xml:space="preserve">فصل ۸: برآورد سودآوری</w:t>
            </w:r>
            <w:r>
              <w:tab/>
            </w:r>
            <w:r>
              <w:fldChar w:fldCharType="begin" w:dirty="true"/>
              <w:instrText xml:space="preserve">PAGEREF _Toc73 \h</w:instrText>
              <w:fldChar w:fldCharType="separate"/>
              <w:fldChar w:fldCharType="end"/>
            </w:r>
          </w:hyperlink>
        </w:p>
        <w:p>
          <w:pPr>
            <w:pStyle w:val="TOC2"/>
            <w:tabs>
              <w:tab w:val="right" w:pos="9638" w:leader="dot"/>
            </w:tabs>
            <w:ind w:left="220"/>
          </w:pPr>
          <w:hyperlink w:history="1" w:anchor="_Toc74">
            <w:r>
              <w:t xml:space="preserve">۸.۱ هدف، مبنا و دامنه</w:t>
            </w:r>
            <w:r>
              <w:tab/>
            </w:r>
            <w:r>
              <w:fldChar w:fldCharType="begin" w:dirty="true"/>
              <w:instrText xml:space="preserve">PAGEREF _Toc74 \h</w:instrText>
              <w:fldChar w:fldCharType="separate"/>
              <w:fldChar w:fldCharType="end"/>
            </w:r>
          </w:hyperlink>
        </w:p>
        <w:p>
          <w:pPr>
            <w:pStyle w:val="TOC2"/>
            <w:tabs>
              <w:tab w:val="right" w:pos="9638" w:leader="dot"/>
            </w:tabs>
            <w:ind w:left="220"/>
          </w:pPr>
          <w:hyperlink w:history="1" w:anchor="_Toc75">
            <w:r>
              <w:t xml:space="preserve">۸.۲ هزینه‌ی تأمین مالی بانک</w:t>
            </w:r>
            <w:r>
              <w:tab/>
            </w:r>
            <w:r>
              <w:fldChar w:fldCharType="begin" w:dirty="true"/>
              <w:instrText xml:space="preserve">PAGEREF _Toc75 \h</w:instrText>
              <w:fldChar w:fldCharType="separate"/>
              <w:fldChar w:fldCharType="end"/>
            </w:r>
          </w:hyperlink>
        </w:p>
        <w:p>
          <w:pPr>
            <w:pStyle w:val="TOC2"/>
            <w:tabs>
              <w:tab w:val="right" w:pos="9638" w:leader="dot"/>
            </w:tabs>
            <w:ind w:left="220"/>
          </w:pPr>
          <w:hyperlink w:history="1" w:anchor="_Toc76">
            <w:r>
              <w:t xml:space="preserve">۸.۳ ترکیب منابع و ساختار هزینه</w:t>
            </w:r>
            <w:r>
              <w:tab/>
            </w:r>
            <w:r>
              <w:fldChar w:fldCharType="begin" w:dirty="true"/>
              <w:instrText xml:space="preserve">PAGEREF _Toc76 \h</w:instrText>
              <w:fldChar w:fldCharType="separate"/>
              <w:fldChar w:fldCharType="end"/>
            </w:r>
          </w:hyperlink>
        </w:p>
        <w:p>
          <w:pPr>
            <w:pStyle w:val="TOC2"/>
            <w:tabs>
              <w:tab w:val="right" w:pos="9638" w:leader="dot"/>
            </w:tabs>
            <w:ind w:left="220"/>
          </w:pPr>
          <w:hyperlink w:history="1" w:anchor="_Toc77">
            <w:r>
              <w:t xml:space="preserve">۸.۴ بازده تسهیلات</w:t>
            </w:r>
            <w:r>
              <w:tab/>
            </w:r>
            <w:r>
              <w:fldChar w:fldCharType="begin" w:dirty="true"/>
              <w:instrText xml:space="preserve">PAGEREF _Toc77 \h</w:instrText>
              <w:fldChar w:fldCharType="separate"/>
              <w:fldChar w:fldCharType="end"/>
            </w:r>
          </w:hyperlink>
        </w:p>
        <w:p>
          <w:pPr>
            <w:pStyle w:val="TOC2"/>
            <w:tabs>
              <w:tab w:val="right" w:pos="9638" w:leader="dot"/>
            </w:tabs>
            <w:ind w:left="220"/>
          </w:pPr>
          <w:hyperlink w:history="1" w:anchor="_Toc78">
            <w:r>
              <w:t xml:space="preserve">۸.۵ حاشیه‌ی ناخالص مالی</w:t>
            </w:r>
            <w:r>
              <w:tab/>
            </w:r>
            <w:r>
              <w:fldChar w:fldCharType="begin" w:dirty="true"/>
              <w:instrText xml:space="preserve">PAGEREF _Toc78 \h</w:instrText>
              <w:fldChar w:fldCharType="separate"/>
              <w:fldChar w:fldCharType="end"/>
            </w:r>
          </w:hyperlink>
        </w:p>
        <w:p>
          <w:pPr>
            <w:pStyle w:val="TOC2"/>
            <w:tabs>
              <w:tab w:val="right" w:pos="9638" w:leader="dot"/>
            </w:tabs>
            <w:ind w:left="220"/>
          </w:pPr>
          <w:hyperlink w:history="1" w:anchor="_Toc79">
            <w:r>
              <w:t xml:space="preserve">۸.۶ ساختار درآمد</w:t>
            </w:r>
            <w:r>
              <w:tab/>
            </w:r>
            <w:r>
              <w:fldChar w:fldCharType="begin" w:dirty="true"/>
              <w:instrText xml:space="preserve">PAGEREF _Toc79 \h</w:instrText>
              <w:fldChar w:fldCharType="separate"/>
              <w:fldChar w:fldCharType="end"/>
            </w:r>
          </w:hyperlink>
        </w:p>
        <w:p>
          <w:pPr>
            <w:pStyle w:val="TOC2"/>
            <w:tabs>
              <w:tab w:val="right" w:pos="9638" w:leader="dot"/>
            </w:tabs>
            <w:ind w:left="220"/>
          </w:pPr>
          <w:hyperlink w:history="1" w:anchor="_Toc80">
            <w:r>
              <w:t xml:space="preserve">۸.۷ جمع‌بندی و محدودیت‌ها</w:t>
            </w:r>
            <w:r>
              <w:tab/>
            </w:r>
            <w:r>
              <w:fldChar w:fldCharType="begin" w:dirty="true"/>
              <w:instrText xml:space="preserve">PAGEREF _Toc80 \h</w:instrText>
              <w:fldChar w:fldCharType="separate"/>
              <w:fldChar w:fldCharType="end"/>
            </w:r>
          </w:hyperlink>
        </w:p>
        <w:p>
          <w:pPr>
            <w:pStyle w:val="TOC1"/>
            <w:tabs>
              <w:tab w:val="right" w:pos="9638" w:leader="dot"/>
            </w:tabs>
          </w:pPr>
          <w:hyperlink w:history="1" w:anchor="_Toc81">
            <w:r>
              <w:t xml:space="preserve">فصل ۹: جمع‌بندی، پیشنهادها و مسیر پیش رو</w:t>
            </w:r>
            <w:r>
              <w:tab/>
            </w:r>
            <w:r>
              <w:fldChar w:fldCharType="begin" w:dirty="true"/>
              <w:instrText xml:space="preserve">PAGEREF _Toc81 \h</w:instrText>
              <w:fldChar w:fldCharType="separate"/>
              <w:fldChar w:fldCharType="end"/>
            </w:r>
          </w:hyperlink>
        </w:p>
        <w:p>
          <w:pPr>
            <w:pStyle w:val="TOC2"/>
            <w:tabs>
              <w:tab w:val="right" w:pos="9638" w:leader="dot"/>
            </w:tabs>
            <w:ind w:left="220"/>
          </w:pPr>
          <w:hyperlink w:history="1" w:anchor="_Toc82">
            <w:r>
              <w:t xml:space="preserve">۹.۱ جمع‌بندی یافته‌های فاز ۱</w:t>
            </w:r>
            <w:r>
              <w:tab/>
            </w:r>
            <w:r>
              <w:fldChar w:fldCharType="begin" w:dirty="true"/>
              <w:instrText xml:space="preserve">PAGEREF _Toc82 \h</w:instrText>
              <w:fldChar w:fldCharType="separate"/>
              <w:fldChar w:fldCharType="end"/>
            </w:r>
          </w:hyperlink>
        </w:p>
        <w:p>
          <w:pPr>
            <w:pStyle w:val="TOC2"/>
            <w:tabs>
              <w:tab w:val="right" w:pos="9638" w:leader="dot"/>
            </w:tabs>
            <w:ind w:left="220"/>
          </w:pPr>
          <w:hyperlink w:history="1" w:anchor="_Toc83">
            <w:r>
              <w:t xml:space="preserve">۹.۲ پیشنهادهای اولیه برای مدیریت</w:t>
            </w:r>
            <w:r>
              <w:tab/>
            </w:r>
            <w:r>
              <w:fldChar w:fldCharType="begin" w:dirty="true"/>
              <w:instrText xml:space="preserve">PAGEREF _Toc83 \h</w:instrText>
              <w:fldChar w:fldCharType="separate"/>
              <w:fldChar w:fldCharType="end"/>
            </w:r>
          </w:hyperlink>
        </w:p>
        <w:p>
          <w:pPr>
            <w:pStyle w:val="TOC2"/>
            <w:tabs>
              <w:tab w:val="right" w:pos="9638" w:leader="dot"/>
            </w:tabs>
            <w:ind w:left="220"/>
          </w:pPr>
          <w:hyperlink w:history="1" w:anchor="_Toc84">
            <w:r>
              <w:t xml:space="preserve">۹.۳ مسیر پیش رو: فازهای ۲ تا ۵</w:t>
            </w:r>
            <w:r>
              <w:tab/>
            </w:r>
            <w:r>
              <w:fldChar w:fldCharType="begin" w:dirty="true"/>
              <w:instrText xml:space="preserve">PAGEREF _Toc84 \h</w:instrText>
              <w:fldChar w:fldCharType="separate"/>
              <w:fldChar w:fldCharType="end"/>
            </w:r>
          </w:hyperlink>
        </w:p>
        <w:p>
          <w:pPr>
            <w:pStyle w:val="TOC2"/>
            <w:tabs>
              <w:tab w:val="right" w:pos="9638" w:leader="dot"/>
            </w:tabs>
            <w:ind w:left="220"/>
          </w:pPr>
          <w:hyperlink w:history="1" w:anchor="_Toc85">
            <w:r>
              <w:t xml:space="preserve">۹.۴ داده‌های درخواستی از بانک</w:t>
            </w:r>
            <w:r>
              <w:tab/>
            </w:r>
            <w:r>
              <w:fldChar w:fldCharType="begin" w:dirty="true"/>
              <w:instrText xml:space="preserve">PAGEREF _Toc85 \h</w:instrText>
              <w:fldChar w:fldCharType="separate"/>
              <w:fldChar w:fldCharType="end"/>
            </w:r>
          </w:hyperlink>
        </w:p>
        <w:p>
          <w:pPr>
            <w:pStyle w:val="TOC2"/>
            <w:tabs>
              <w:tab w:val="right" w:pos="9638" w:leader="dot"/>
            </w:tabs>
            <w:ind w:left="220"/>
          </w:pPr>
          <w:hyperlink w:history="1" w:anchor="_Toc86">
            <w:r>
              <w:t xml:space="preserve">۹.۵ پرسش‌های فنی از بانک</w:t>
            </w:r>
            <w:r>
              <w:tab/>
            </w:r>
            <w:r>
              <w:fldChar w:fldCharType="begin" w:dirty="true"/>
              <w:instrText xml:space="preserve">PAGEREF _Toc86 \h</w:instrText>
              <w:fldChar w:fldCharType="separate"/>
              <w:fldChar w:fldCharType="end"/>
            </w:r>
          </w:hyperlink>
        </w:p>
        <w:p>
          <w:pPr>
            <w:pStyle w:val="TOC2"/>
            <w:tabs>
              <w:tab w:val="right" w:pos="9638" w:leader="dot"/>
            </w:tabs>
            <w:ind w:left="220"/>
          </w:pPr>
          <w:hyperlink w:history="1" w:anchor="_Toc87">
            <w:r>
              <w:t xml:space="preserve">۹.۶ درخواست از بانک</w:t>
            </w:r>
            <w:r>
              <w:tab/>
            </w:r>
            <w:r>
              <w:fldChar w:fldCharType="begin" w:dirty="true"/>
              <w:instrText xml:space="preserve">PAGEREF _Toc87 \h</w:instrText>
              <w:fldChar w:fldCharType="separate"/>
              <w:fldChar w:fldCharType="end"/>
            </w:r>
          </w:hyperlink>
        </w:p>
        <w:p>
          <w:r>
            <w:fldChar w:fldCharType="end"/>
          </w:r>
        </w:p>
      </w:sdtContent>
    </w:sdt>
    <w:p>
      <w:pPr>
        <w:pStyle w:val="Heading1"/>
        <w:keepNext/>
        <w:pageBreakBefore/>
        <w:bidi/>
        <w:spacing w:after="160" w:before="0"/>
        <w:jc w:val="left"/>
      </w:pPr>
      <w:bookmarkStart w:name="_Toc1" w:id="1"/>
      <w:r>
        <w:rPr>
          <w:rFonts w:ascii="B Titr" w:cs="B Titr" w:eastAsia="B Titr" w:hAnsi="B Titr"/>
          <w:b w:val="false"/>
          <w:bCs w:val="false"/>
          <w:color w:val="1F4E79"/>
          <w:sz w:val="30"/>
          <w:szCs w:val="30"/>
          <w:rtl/>
        </w:rPr>
        <w:t xml:space="preserve">خلاصه‌ی مدیریتی</w:t>
      </w:r>
      <w:bookmarkEnd w:id="1"/>
    </w:p>
    <w:p>
      <w:pPr>
        <w:bidi/>
        <w:spacing w:after="160" w:line="312"/>
        <w:jc w:val="left"/>
      </w:pPr>
      <w:r>
        <w:rPr>
          <w:rFonts w:ascii="Cambria" w:cs="B Nazanin" w:eastAsia="B Nazanin" w:hAnsi="Cambria"/>
          <w:color w:val="000000"/>
          <w:sz w:val="22"/>
          <w:szCs w:val="26"/>
          <w:rtl/>
        </w:rPr>
        <w:t xml:space="preserve">این سند گزارش فاز نخست پروژه‌ی تحلیل رفتار مشتریان بانک توسعه تعاون است و تصویری از بازار سپرده و تسهیلات، ساختار مشتریان، کیفیت دارایی‌ها، پراکندگی جغرافیایی و سودآوری بانک را در بازه‌ی ۶۰ ماهه‌ی ۰۱/۱۴۰۰ تا ۱۲/۱۴۰۴ ارائه می‌کند. تحلیل‌ها بر نمونه‌ای استوارند که بانک بر اساس طراحی علمی «ابتدا پالایش، سپس نمونه‌گیری» استخراج کرده و ارقام آن در مقاطع قابل‌مقایسه با آمار رسمی ماهانه‌ی بانک مقایسه شده است.</w:t>
      </w:r>
    </w:p>
    <w:p>
      <w:pPr>
        <w:pStyle w:val="Heading2"/>
        <w:keepNext/>
        <w:bidi/>
        <w:spacing w:after="160" w:before="300"/>
        <w:jc w:val="left"/>
      </w:pPr>
      <w:bookmarkStart w:name="_Toc2" w:id="2"/>
      <w:r>
        <w:rPr>
          <w:rFonts w:ascii="B Titr" w:cs="B Titr" w:eastAsia="B Titr" w:hAnsi="B Titr"/>
          <w:b w:val="false"/>
          <w:bCs w:val="false"/>
          <w:color w:val="000000"/>
          <w:sz w:val="26"/>
          <w:szCs w:val="26"/>
          <w:rtl/>
        </w:rPr>
        <w:t xml:space="preserve">پوشش نمونه نسبت به کل بانک</w:t>
      </w:r>
      <w:bookmarkEnd w:id="2"/>
    </w:p>
    <w:p>
      <w:pPr>
        <w:bidi/>
        <w:spacing w:after="160" w:line="312"/>
        <w:jc w:val="left"/>
      </w:pPr>
      <w:r>
        <w:rPr>
          <w:rFonts w:ascii="Cambria" w:cs="B Nazanin" w:eastAsia="B Nazanin" w:hAnsi="Cambria"/>
          <w:color w:val="000000"/>
          <w:sz w:val="22"/>
          <w:szCs w:val="26"/>
          <w:rtl/>
        </w:rPr>
        <w:t xml:space="preserve">پوشش نمونه از کل بانک ویژگی تعیین‌کننده‌ی اعتبار این گزارش است و نتایج بررسی آن چنین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نمونه ۹.۵ درصد از سپرده‌گذاران و ۱۵.۸ درصد از گیرندگان تسهیلات بانک را شامل می‌شود، اما </w:t>
      </w:r>
      <w:r>
        <w:rPr>
          <w:rFonts w:ascii="Cambria" w:cs="B Nazanin" w:eastAsia="B Nazanin" w:hAnsi="Cambria"/>
          <w:b/>
          <w:bCs/>
          <w:color w:val="000000"/>
          <w:sz w:val="22"/>
          <w:szCs w:val="26"/>
          <w:rtl/>
        </w:rPr>
        <w:t xml:space="preserve">۶۳.۷ درصد از منابع ریالی و ۸۶.۵ درصد از مانده‌ی تسهیلات بانک</w:t>
      </w:r>
      <w:r>
        <w:rPr>
          <w:rFonts w:ascii="Cambria" w:cs="B Nazanin" w:eastAsia="B Nazanin" w:hAnsi="Cambria"/>
          <w:color w:val="000000"/>
          <w:sz w:val="22"/>
          <w:szCs w:val="26"/>
          <w:rtl/>
        </w:rPr>
        <w:t xml:space="preserve"> (۱۲/۱۴۰۴) را پوشش می‌دهد؛ زیرا نمونه‌گیری وزن بیشتری به مشتریان بزرگ داده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۹۴ تا ۹۹ درصد از گیرندگان تسهیلات بالای ۱ میلیارد تومان در نمونه حضور دارند.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نسبت مطالبات غیرجاری نمونه با آمار رسمی بانک در ۵۸ ماه قابل مقایسه همبستگی ۰.۹۶ دارد و میانگین قدرمطلق اختلاف آن‌ها ۰.۴۶ واحد درصد است؛ چون نمونه حدود ۹۵ درصد مطالبات غیرجاری را در بر دارد، این هم‌خوانی تا حد زیادی ساختاری است. دامنه‌ی تعمیم هر شاخص در جدول ۲-۶ آمده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نتایج سطح قرارداد (نوع عقد، سررسید، نرخ، وثیقه، نسل و تمرکز تک‌نامی) بر ۷۷.۶ درصد پرتفوی متکی‌اند؛ ۲۲.۴ درصد مانده، رکورد قرارداد ندارد و ۵۳.۸ درصد مطالبات غیرجاری را در بر دارد (نسبت ۲۱.۰ درصد در برابر ۵.۲ درصد).</w:t>
      </w:r>
    </w:p>
    <w:p>
      <w:pPr>
        <w:pStyle w:val="Heading2"/>
        <w:keepNext/>
        <w:bidi/>
        <w:spacing w:after="160" w:before="300"/>
        <w:jc w:val="left"/>
      </w:pPr>
      <w:bookmarkStart w:name="_Toc3" w:id="3"/>
      <w:r>
        <w:rPr>
          <w:rFonts w:ascii="B Titr" w:cs="B Titr" w:eastAsia="B Titr" w:hAnsi="B Titr"/>
          <w:b w:val="false"/>
          <w:bCs w:val="false"/>
          <w:color w:val="000000"/>
          <w:sz w:val="26"/>
          <w:szCs w:val="26"/>
          <w:rtl/>
        </w:rPr>
        <w:t xml:space="preserve">شاخص‌های کلیدی (۱۲/۱۴۰۴)</w:t>
      </w:r>
      <w:bookmarkEnd w:id="3"/>
    </w:p>
    <w:p>
      <w:pPr>
        <w:bidi/>
        <w:spacing w:after="160" w:line="312"/>
        <w:jc w:val="left"/>
      </w:pPr>
      <w:r>
        <w:rPr>
          <w:rFonts w:ascii="Cambria" w:cs="B Nazanin" w:eastAsia="B Nazanin" w:hAnsi="Cambria"/>
          <w:b/>
          <w:bCs/>
          <w:color w:val="000000"/>
          <w:sz w:val="22"/>
          <w:szCs w:val="26"/>
          <w:rtl/>
        </w:rPr>
        <w:t xml:space="preserve">جدول: شاخص‌های کلیدی نمونه و آمار رسمی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98"/>
        <w:gridCol w:w="3085"/>
        <w:gridCol w:w="2767"/>
      </w:tblGrid>
      <w:tr>
        <w:trPr>
          <w:cantSplit/>
          <w:tblHeader/>
        </w:trPr>
        <w:tc>
          <w:tcPr>
            <w:tcW w:type="dxa" w:w="34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شاخص</w:t>
            </w:r>
          </w:p>
        </w:tc>
        <w:tc>
          <w:tcPr>
            <w:tcW w:type="dxa" w:w="30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نمونه‌ی تحلیلی</w:t>
            </w:r>
          </w:p>
        </w:tc>
        <w:tc>
          <w:tcPr>
            <w:tcW w:type="dxa" w:w="27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 بانک (آمار رسمی)</w:t>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تسهیلات (همت)</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۱۲۸.۲</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۱۴۸.۲</w:t>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منابع ریالی (همت)</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۸۴.۸</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۱۳۳.۱</w:t>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مطالبات غیرجاری</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۸.۷۶٪</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۸.۰۰٪</w:t>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تسهیلات به منابع ریالی</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۱۵۱.۲٪ (اثر تفاوت پوشش)</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۱۱۱.۳٪</w:t>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رشد سالانه‌ی تسهیلات</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۴۴.۳٪</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۴۱.۹٪</w:t>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رشد سالانه‌ی منابع ریالی</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۳۲.۵٪</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۴۷.۲٪</w:t>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حاشیه‌ی ناخالص مالی ۱۴۰۴ بر مبنای نرخ قراردادی (سقف)</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 واحد درصد</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34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حاشیه‌ی ناخالص مالی ۱۴۰۴ بر مبنای درآمد دریافتی</w:t>
            </w:r>
          </w:p>
        </w:tc>
        <w:tc>
          <w:tcPr>
            <w:tcW w:type="dxa" w:w="3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منفی ۱.۷ تا ۲.۸ واحد درصد</w:t>
            </w:r>
          </w:p>
        </w:tc>
        <w:tc>
          <w:tcPr>
            <w:tcW w:type="dxa" w:w="27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bl>
    <w:p>
      <w:pPr>
        <w:spacing w:after="200"/>
      </w:pPr>
    </w:p>
    <w:p>
      <w:pPr>
        <w:bidi/>
        <w:spacing w:after="160" w:line="312"/>
        <w:jc w:val="left"/>
      </w:pPr>
      <w:r>
        <w:rPr>
          <w:rFonts w:ascii="Cambria" w:cs="B Nazanin" w:eastAsia="B Nazanin" w:hAnsi="Cambria"/>
          <w:color w:val="000000"/>
          <w:sz w:val="22"/>
          <w:szCs w:val="26"/>
          <w:rtl/>
        </w:rPr>
        <w:t xml:space="preserve">ارقام مطلق نمونه به دلیل تفاوت پوشش منابع (۶۳.۷ درصد) و تسهیلات (۸۶.۵ درصد) با ارقام رسمی تفاوت دارند؛ در سنجش سطح و سرعت رشد، آمار رسمی مبنای تصمیم است.</w:t>
      </w:r>
    </w:p>
    <w:p>
      <w:pPr>
        <w:pStyle w:val="Heading2"/>
        <w:keepNext/>
        <w:bidi/>
        <w:spacing w:after="160" w:before="300"/>
        <w:jc w:val="left"/>
      </w:pPr>
      <w:bookmarkStart w:name="_Toc4" w:id="4"/>
      <w:r>
        <w:rPr>
          <w:rFonts w:ascii="B Titr" w:cs="B Titr" w:eastAsia="B Titr" w:hAnsi="B Titr"/>
          <w:b w:val="false"/>
          <w:bCs w:val="false"/>
          <w:color w:val="000000"/>
          <w:sz w:val="26"/>
          <w:szCs w:val="26"/>
          <w:rtl/>
        </w:rPr>
        <w:t xml:space="preserve">یافته‌های برجسته</w:t>
      </w:r>
      <w:bookmarkEnd w:id="4"/>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کیفیت دارایی:</w:t>
      </w:r>
      <w:r>
        <w:rPr>
          <w:rFonts w:ascii="Cambria" w:cs="B Nazanin" w:eastAsia="B Nazanin" w:hAnsi="Cambria"/>
          <w:color w:val="000000"/>
          <w:sz w:val="22"/>
          <w:szCs w:val="26"/>
          <w:rtl/>
        </w:rPr>
        <w:t xml:space="preserve"> نسبت مطالبات غیرجاری در آمار رسمی بانک از ۳.۵ درصد در ۰۱/۱۴۰۳ به حدود ۸.۵ درصد در میانه‌ی ۱۴۰۴ رسیده و در ۱۲/۱۴۰۴ برابر ۸.۰ درصد است (۱۱/۱۴۰۳ برابر ۷.۳ و ۱۲/۱۴۰۳ برابر ۴.۶ درصد بود). از ۱۲/۱۴۰۳ تا ۱۲/۱۴۰۴ نسبت رسمی از ۴.۶ به ۸.۰ و نسبت نمونه از ۴.۹ به ۸.۸ درصد رسیده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نسبت تسهیلات به منابع:</w:t>
      </w:r>
      <w:r>
        <w:rPr>
          <w:rFonts w:ascii="Cambria" w:cs="B Nazanin" w:eastAsia="B Nazanin" w:hAnsi="Cambria"/>
          <w:color w:val="000000"/>
          <w:sz w:val="22"/>
          <w:szCs w:val="26"/>
          <w:rtl/>
        </w:rPr>
        <w:t xml:space="preserve"> بر اساس آمار رسمی بانک، نسبت تسهیلات به منابع ریالی در ۶۰ ماه میان ۱۰۵ و ۱۲۸ درصد (میانگین ۱۱۵.۸ درصد) قرار داشته و از ۱۰۷.۸ درصد در ۰۱/۱۴۰۰ به ۱۱۱.۳ درصد در ۱۲/۱۴۰۴ رسیده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ظرفیت فروش متقاطع:</w:t>
      </w:r>
      <w:r>
        <w:rPr>
          <w:rFonts w:ascii="Cambria" w:cs="B Nazanin" w:eastAsia="B Nazanin" w:hAnsi="Cambria"/>
          <w:color w:val="000000"/>
          <w:sz w:val="22"/>
          <w:szCs w:val="26"/>
          <w:rtl/>
        </w:rPr>
        <w:t xml:space="preserve"> در نمونه، ۶۴.۷ درصد مشتریان (۴۵۶,۸۳۵ نفر) در ۱۲/۱۴۰۴ مانده‌ی تسهیلات ندارند؛ ۴,۳۳۴ سپرده‌گذار بزرگ که گیرنده‌ی اصلی تسهیلات نیستند (۱,۹۴۶ نفر از آنان ضامن یا شریک قرارداد هستند) بیش از نیمی از مانده‌ی سپرده‌ی نمونه را در اختیار دارند. این سهم‌ها ویژگی نمونه‌اند.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جغرافیا:</w:t>
      </w:r>
      <w:r>
        <w:rPr>
          <w:rFonts w:ascii="Cambria" w:cs="B Nazanin" w:eastAsia="B Nazanin" w:hAnsi="Cambria"/>
          <w:color w:val="000000"/>
          <w:sz w:val="22"/>
          <w:szCs w:val="26"/>
          <w:rtl/>
        </w:rPr>
        <w:t xml:space="preserve"> چهار استان سمنان، هرمزگان، مرکزی و مازندران ۱۳.۲ درصد تسهیلات اما ۳۷.۹ درصد مطالبات غیرجاری بانک را دارند؛ ۲۶ استان بیش از منابع خود تسهیلات داده‌اند و تهران ۲۲.۵ درصد منابع بانک را در اختیار دارد.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سودآوری:</w:t>
      </w:r>
      <w:r>
        <w:rPr>
          <w:rFonts w:ascii="Cambria" w:cs="B Nazanin" w:eastAsia="B Nazanin" w:hAnsi="Cambria"/>
          <w:color w:val="000000"/>
          <w:sz w:val="22"/>
          <w:szCs w:val="26"/>
          <w:rtl/>
        </w:rPr>
        <w:t xml:space="preserve"> نرخ هزینه‌ی تأمین مالی از ۸.۲ درصد در ۱۴۰۰ به ۱۰.۵ درصد در ۱۴۰۴ رسیده است. نرخ قراردادی تسهیلات ۱۷.۰۸ درصد و بازده درآمد دریافتی ۸.۸ درصد (بر کل مانده‌ی نمونه) تا ۱۳.۲ درصد (بر قراردادهای دارای دفتر اقساط) است. حاشیه‌ی ناخالص مالی بر مبنای نرخ قراردادی ۶.۶ واحد درصد (سقف) و بر مبنای درآمد دریافتی بین منفی ۱.۷ و ۲.۸ واحد درصد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نسل ۱۴۰۴:</w:t>
      </w:r>
      <w:r>
        <w:rPr>
          <w:rFonts w:ascii="Cambria" w:cs="B Nazanin" w:eastAsia="B Nazanin" w:hAnsi="Cambria"/>
          <w:color w:val="000000"/>
          <w:sz w:val="22"/>
          <w:szCs w:val="26"/>
          <w:rtl/>
        </w:rPr>
        <w:t xml:space="preserve"> با ۵۹.۲ هزار میلیارد تومان مانده، بزرگ‌ترین نسل اعطا در داده‌ی قرارداد (از ۱۳۹۹) است و ۱۴۶,۸۶۴ قرارداد دارد (۳۱.۸ درصد از ۴۶۱,۶۱۹ قرارداد جدول ۶-۹)؛ چون هنوز نابالغ است، ریسک واقعی آن آشکار نشده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تمرکز:</w:t>
      </w:r>
      <w:r>
        <w:rPr>
          <w:rFonts w:ascii="Cambria" w:cs="B Nazanin" w:eastAsia="B Nazanin" w:hAnsi="Cambria"/>
          <w:color w:val="000000"/>
          <w:sz w:val="22"/>
          <w:szCs w:val="26"/>
          <w:rtl/>
        </w:rPr>
        <w:t xml:space="preserve"> در نمونه، بزرگ‌ترین مشتری تسهیلاتی ۴.۳ درصد پرتفوی نمونه (۳.۷ درصد مانده‌ی رسمی بانک) را دارد و یک درصد برتر سپرده‌گذاران ۷۸.۲ درصد مانده‌ی سپرده را در اختیار دارند.</w:t>
      </w:r>
    </w:p>
    <w:p>
      <w:pPr>
        <w:pStyle w:val="Heading2"/>
        <w:keepNext/>
        <w:bidi/>
        <w:spacing w:after="160" w:before="300"/>
        <w:jc w:val="left"/>
      </w:pPr>
      <w:bookmarkStart w:name="_Toc5" w:id="5"/>
      <w:r>
        <w:rPr>
          <w:rFonts w:ascii="B Titr" w:cs="B Titr" w:eastAsia="B Titr" w:hAnsi="B Titr"/>
          <w:b w:val="false"/>
          <w:bCs w:val="false"/>
          <w:color w:val="000000"/>
          <w:sz w:val="26"/>
          <w:szCs w:val="26"/>
          <w:rtl/>
        </w:rPr>
        <w:t xml:space="preserve">مسیر پیش رو</w:t>
      </w:r>
      <w:bookmarkEnd w:id="5"/>
    </w:p>
    <w:p>
      <w:pPr>
        <w:bidi/>
        <w:spacing w:after="160" w:line="312"/>
        <w:jc w:val="left"/>
      </w:pPr>
      <w:r>
        <w:rPr>
          <w:rFonts w:ascii="Cambria" w:cs="B Nazanin" w:eastAsia="B Nazanin" w:hAnsi="Cambria"/>
          <w:color w:val="000000"/>
          <w:sz w:val="22"/>
          <w:szCs w:val="26"/>
          <w:rtl/>
        </w:rPr>
        <w:t xml:space="preserve">فصل ۹ شش پیشنهاد اولیه برای مدیریت را ارائه می‌کند: هدف‌گذاری فروش متقاطع، پایش متمرکز مطالبات غیرجاری، تحقق حاشیه‌ی قراردادی، مدیریت هزینه‌ی منابع، تجهیز منابع در استان‌های کم‌منبع و تکمیل داده‌ها. دریافت جدول نگاشت مشتریان به مشخصات آنان (تفکیک حقیقی و حقوقی، سن، جنسیت، شغل و موقعیت جغرافیایی) و تکمیل اطلاعات قرارداد برای ۲۲.۴ درصد مانده‌ی تسهیلات، عمق تحلیل‌ها را در فاز ۲ و فازهای بعد افزایش می‌دهد (بخش‌های ۲.۵ و ۹.۴).</w:t>
      </w:r>
    </w:p>
    <w:p>
      <w:pPr>
        <w:pBdr>
          <w:bottom w:val="single" w:color="BBBBBB" w:sz="6"/>
        </w:pBdr>
        <w:spacing w:after="100" w:before="100"/>
      </w:pPr>
    </w:p>
    <w:p>
      <w:pPr>
        <w:pStyle w:val="Heading1"/>
        <w:keepNext/>
        <w:pageBreakBefore/>
        <w:bidi/>
        <w:spacing w:after="160" w:before="0"/>
        <w:jc w:val="left"/>
      </w:pPr>
      <w:bookmarkStart w:name="_Toc6" w:id="6"/>
      <w:r>
        <w:rPr>
          <w:rFonts w:ascii="B Titr" w:cs="B Titr" w:eastAsia="B Titr" w:hAnsi="B Titr"/>
          <w:b w:val="false"/>
          <w:bCs w:val="false"/>
          <w:color w:val="1F4E79"/>
          <w:sz w:val="30"/>
          <w:szCs w:val="30"/>
          <w:rtl/>
        </w:rPr>
        <w:t xml:space="preserve">فصل ۱: مقدمه و روش‌شناسی</w:t>
      </w:r>
      <w:bookmarkEnd w:id="6"/>
    </w:p>
    <w:p>
      <w:pPr>
        <w:pStyle w:val="Heading2"/>
        <w:keepNext/>
        <w:bidi/>
        <w:spacing w:after="160" w:before="300"/>
        <w:jc w:val="left"/>
      </w:pPr>
      <w:bookmarkStart w:name="_Toc7" w:id="7"/>
      <w:r>
        <w:rPr>
          <w:rFonts w:ascii="B Titr" w:cs="B Titr" w:eastAsia="B Titr" w:hAnsi="B Titr"/>
          <w:b w:val="false"/>
          <w:bCs w:val="false"/>
          <w:color w:val="000000"/>
          <w:sz w:val="26"/>
          <w:szCs w:val="26"/>
          <w:rtl/>
        </w:rPr>
        <w:t xml:space="preserve">۱.۱ هدف و دامنه‌ی گزارش</w:t>
      </w:r>
      <w:bookmarkEnd w:id="7"/>
    </w:p>
    <w:p>
      <w:pPr>
        <w:bidi/>
        <w:spacing w:after="160" w:line="312"/>
        <w:jc w:val="left"/>
      </w:pPr>
      <w:r>
        <w:rPr>
          <w:rFonts w:ascii="Cambria" w:cs="B Nazanin" w:eastAsia="B Nazanin" w:hAnsi="Cambria"/>
          <w:color w:val="000000"/>
          <w:sz w:val="22"/>
          <w:szCs w:val="26"/>
          <w:rtl/>
        </w:rPr>
        <w:t xml:space="preserve">پروژه‌ی تحلیل رفتار مشتریان بانک توسعه تعاون در پنج فاز پیش می‌رود: شناخت بازار و وضعیت موجود (فاز ۱)، خوشه‌بندی مشتریان (فاز ۲)، استخراج الگوهای رفتاری به تفکیک گروه‌های سودآور، کلان، خرد، جغرافیا و بخش اقتصادی (فاز ۳)، مدل‌های پیش‌بینی سود و زیان، نکول، ارزش طول عمر و گرایش مشتری (فاز ۴)، و تدوین یافته‌ها و راهکارهای سیاستی (فاز ۵). گزارش حاضر خروجی فاز نخست است.</w:t>
      </w:r>
    </w:p>
    <w:p>
      <w:pPr>
        <w:bidi/>
        <w:spacing w:after="160" w:line="312"/>
        <w:jc w:val="left"/>
      </w:pPr>
      <w:r>
        <w:rPr>
          <w:rFonts w:ascii="Cambria" w:cs="B Nazanin" w:eastAsia="B Nazanin" w:hAnsi="Cambria"/>
          <w:color w:val="000000"/>
          <w:sz w:val="22"/>
          <w:szCs w:val="26"/>
          <w:rtl/>
        </w:rPr>
        <w:t xml:space="preserve">هدف فاز ۱ ترسیم تصویری روشن از بازار سپرده و تسهیلات، ساختار مشتریان، کیفیت دارایی‌ها و پراکندگی جغرافیایی فعالیت بانک در بازه‌ی پنج‌ساله‌ی ۰۱/۱۴۰۰ تا ۱۲/۱۴۰۴ است؛ تصویری که هم برای تصمیم‌گیری مدیریتی کاربرد مستقیم دارد و هم زیربنای فازهای بعدی را فراهم می‌کند.</w:t>
      </w:r>
    </w:p>
    <w:p>
      <w:pPr>
        <w:bidi/>
        <w:spacing w:after="160" w:line="312"/>
        <w:jc w:val="left"/>
      </w:pPr>
      <w:r>
        <w:rPr>
          <w:rFonts w:ascii="Cambria" w:cs="B Nazanin" w:eastAsia="B Nazanin" w:hAnsi="Cambria"/>
          <w:color w:val="000000"/>
          <w:sz w:val="22"/>
          <w:szCs w:val="26"/>
          <w:rtl/>
        </w:rPr>
        <w:t xml:space="preserve">این فصل چارچوب اجرای پروژه را توضیح می‌دهد: چگونه نمونه‌ی تحلیلی طراحی شد (۱.۲)، تحلیل‌ها با چه رویکردی انجام شدند (۱.۳)، داده‌ها از چه مسیری به ارقام گزارش تبدیل شدند (۱.۴)، چه قواعدی ارقام را یکنواخت می‌کنند (۱.۵ و ۱.۶)، و گزارش از چه قراردادهای نمایشی پیروی می‌کند (۱.۷). فصل ۲ داده‌های در دسترس و پوشش نمونه را نسبت به کل بانک بررسی می‌کند و فصل‌های ۳ تا ۸ به تحلیل مشتریان، سپرده، تسهیلات، کیفیت دارایی، جغرافیا و سودآوری می‌پردازند. فصل ۹ جمع‌بندی و فهرست پرسش‌هایی است که پاسخ بانک به آن‌ها دقت فاز بعد را افزایش می‌دهد.</w:t>
      </w:r>
    </w:p>
    <w:p>
      <w:pPr>
        <w:pBdr>
          <w:bottom w:val="single" w:color="BBBBBB" w:sz="6"/>
        </w:pBdr>
        <w:spacing w:after="100" w:before="100"/>
      </w:pPr>
    </w:p>
    <w:p>
      <w:pPr>
        <w:pStyle w:val="Heading2"/>
        <w:keepNext/>
        <w:bidi/>
        <w:spacing w:after="160" w:before="300"/>
        <w:jc w:val="left"/>
      </w:pPr>
      <w:bookmarkStart w:name="_Toc8" w:id="8"/>
      <w:r>
        <w:rPr>
          <w:rFonts w:ascii="B Titr" w:cs="B Titr" w:eastAsia="B Titr" w:hAnsi="B Titr"/>
          <w:b w:val="false"/>
          <w:bCs w:val="false"/>
          <w:color w:val="000000"/>
          <w:sz w:val="26"/>
          <w:szCs w:val="26"/>
          <w:rtl/>
        </w:rPr>
        <w:t xml:space="preserve">۱.۲ طراحی نمونه‌ی تحلیلی</w:t>
      </w:r>
      <w:bookmarkEnd w:id="8"/>
    </w:p>
    <w:p>
      <w:pPr>
        <w:pStyle w:val="Heading3"/>
        <w:keepNext/>
        <w:bidi/>
        <w:spacing w:after="160" w:before="300"/>
        <w:jc w:val="left"/>
      </w:pPr>
      <w:r>
        <w:rPr>
          <w:rFonts w:ascii="B Titr" w:cs="B Titr" w:eastAsia="B Titr" w:hAnsi="B Titr"/>
          <w:b w:val="false"/>
          <w:bCs w:val="false"/>
          <w:color w:val="000000"/>
          <w:sz w:val="26"/>
          <w:szCs w:val="26"/>
          <w:rtl/>
        </w:rPr>
        <w:t xml:space="preserve">۱.۲.۱ راهبرد «ابتدا پالایش، سپس نمونه‌گیری»</w:t>
      </w:r>
    </w:p>
    <w:p>
      <w:pPr>
        <w:bidi/>
        <w:spacing w:after="160" w:line="312"/>
        <w:jc w:val="left"/>
      </w:pPr>
      <w:r>
        <w:rPr>
          <w:rFonts w:ascii="Cambria" w:cs="B Nazanin" w:eastAsia="B Nazanin" w:hAnsi="Cambria"/>
          <w:color w:val="000000"/>
          <w:sz w:val="22"/>
          <w:szCs w:val="26"/>
          <w:rtl/>
        </w:rPr>
        <w:t xml:space="preserve">بانک توسعه تعاون حدود ۷.۸ میلیون مشتری دارد و داده‌ی ماهانه‌ی آن‌ها در بازه‌ی پنج‌ساله حجمی بسیار زیاد پدید می‌آورد. به همین دلیل، تحلیل رفتار مشتریان بر پایه‌ی نمونه‌ای علمی انجام شد که مطابق «گزارش راهبرد نمونه‌گیری» طراحی و توسط بانک از پایگاه‌داده‌ی عملیاتی استخراج گردید.</w:t>
      </w:r>
    </w:p>
    <w:p>
      <w:pPr>
        <w:bidi/>
        <w:spacing w:after="160" w:line="312"/>
        <w:jc w:val="left"/>
      </w:pPr>
      <w:r>
        <w:rPr>
          <w:rFonts w:ascii="Cambria" w:cs="B Nazanin" w:eastAsia="B Nazanin" w:hAnsi="Cambria"/>
          <w:color w:val="000000"/>
          <w:sz w:val="22"/>
          <w:szCs w:val="26"/>
          <w:rtl/>
        </w:rPr>
        <w:t xml:space="preserve">راهبرد نمونه‌گیری دو مرحله دارد. در مرحله‌ی نخست، مشتریان فعال و دارای رابطه‌ی معنادار با بانک بر اساس سه معیار مدل RFM (تازگی، تکرار و ارزش پولی) به‌علاوه‌ی معیار قدمت شناسایی شدند تا نمونه از حساب‌های راکد و رکوردهای صرفاً ثبت‌نامی پاک بماند. در مرحله‌ی دوم، از جمعیت پالایش‌شده نمونه‌ی تصادفی طبقه‌بندی‌شده برداشته شد. نتیجه، نمونه‌ای است که سیگنال رفتاری قوی دارد و برای خوشه‌بندی، تحلیل رفتار و مدل‌سازی پیش‌بینی در فازهای بعد مناسب است.</w:t>
      </w:r>
    </w:p>
    <w:p>
      <w:pPr>
        <w:keepNext/>
        <w:bidi/>
        <w:spacing w:after="100" w:before="200"/>
        <w:jc w:val="left"/>
      </w:pPr>
      <w:r>
        <w:rPr>
          <w:rFonts w:ascii="B Nazanin" w:cs="B Nazanin" w:eastAsia="B Nazanin" w:hAnsi="B Nazanin"/>
          <w:b/>
          <w:bCs/>
          <w:color w:val="000000"/>
          <w:sz w:val="22"/>
          <w:szCs w:val="22"/>
          <w:rtl/>
        </w:rPr>
        <w:t xml:space="preserve">جدول ۱-۱: معیارهای پالایش مشتریان فعال</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67"/>
        <w:gridCol w:w="3391"/>
        <w:gridCol w:w="3392"/>
      </w:tblGrid>
      <w:tr>
        <w:trPr>
          <w:cantSplit/>
          <w:tblHeader/>
        </w:trPr>
        <w:tc>
          <w:tcPr>
            <w:tcW w:type="dxa" w:w="25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معیار</w:t>
            </w:r>
          </w:p>
        </w:tc>
        <w:tc>
          <w:tcPr>
            <w:tcW w:type="dxa" w:w="33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آستانه</w:t>
            </w:r>
          </w:p>
        </w:tc>
        <w:tc>
          <w:tcPr>
            <w:tcW w:type="dxa" w:w="33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هدف</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تازگی</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حداقل یک تراکنش در شش ماه اخیر</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حذف حساب‌های راکد</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تکرار</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حداقل یک ماه دارای تراکنش در کل دوره</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حذف حساب‌هایی که هرگز فعال نشده‌اند</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ارزش پولی (سپرده)</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حداقل ۵۰۰ هزار تومان در هر زمان از دوره</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حذف حساب‌های نمادین</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قدمت</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حداقل ۱۲ ماه از تاریخ افتتاح</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پایداری الگوی رفتاری</w:t>
            </w:r>
          </w:p>
        </w:tc>
      </w:tr>
      <w:tr>
        <w:trPr>
          <w:cantSplit/>
        </w:trPr>
        <w:tc>
          <w:tcPr>
            <w:tcW w:type="dxa" w:w="25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تسهیلات‌گیرندگان</w:t>
            </w:r>
          </w:p>
        </w:tc>
        <w:tc>
          <w:tcPr>
            <w:tcW w:type="dxa" w:w="33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داشتن مانده‌ی تسهیلات در سال ۱۴۰۴</w:t>
            </w:r>
          </w:p>
        </w:tc>
        <w:tc>
          <w:tcPr>
            <w:tcW w:type="dxa" w:w="33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رابطه‌ی مالی فعال از طریق اقساط ماهانه</w:t>
            </w:r>
          </w:p>
        </w:tc>
      </w:tr>
    </w:tbl>
    <w:p>
      <w:pPr>
        <w:spacing w:after="200"/>
      </w:pPr>
    </w:p>
    <w:p>
      <w:pPr>
        <w:bidi/>
        <w:spacing w:after="160" w:line="312"/>
        <w:jc w:val="left"/>
      </w:pPr>
      <w:r>
        <w:rPr>
          <w:rFonts w:ascii="Cambria" w:cs="B Nazanin" w:eastAsia="B Nazanin" w:hAnsi="Cambria"/>
          <w:color w:val="000000"/>
          <w:sz w:val="22"/>
          <w:szCs w:val="26"/>
          <w:rtl/>
        </w:rPr>
        <w:t xml:space="preserve">سپرده‌گذاران باید هر چهار معیار نخست را هم‌زمان احراز می‌کردند. برای تسهیلات‌گیرندگان، به‌دلیل پرداخت ماهانه‌ی اقساط، داشتن مانده‌ی تسهیلات در سال ۱۴۰۴ به‌تنهایی نشانه‌ی رابطه‌ی فعال تلقی شد.</w:t>
      </w:r>
    </w:p>
    <w:p>
      <w:pPr>
        <w:pStyle w:val="Heading3"/>
        <w:keepNext/>
        <w:bidi/>
        <w:spacing w:after="160" w:before="300"/>
        <w:jc w:val="left"/>
      </w:pPr>
      <w:r>
        <w:rPr>
          <w:rFonts w:ascii="B Titr" w:cs="B Titr" w:eastAsia="B Titr" w:hAnsi="B Titr"/>
          <w:b w:val="false"/>
          <w:bCs w:val="false"/>
          <w:color w:val="000000"/>
          <w:sz w:val="26"/>
          <w:szCs w:val="26"/>
          <w:rtl/>
        </w:rPr>
        <w:t xml:space="preserve">۱.۲.۲ جمعیت هدف و حجم نمونه</w:t>
      </w:r>
    </w:p>
    <w:p>
      <w:pPr>
        <w:bidi/>
        <w:spacing w:after="160" w:line="312"/>
        <w:jc w:val="left"/>
      </w:pPr>
      <w:r>
        <w:rPr>
          <w:rFonts w:ascii="Cambria" w:cs="B Nazanin" w:eastAsia="B Nazanin" w:hAnsi="Cambria"/>
          <w:color w:val="000000"/>
          <w:sz w:val="22"/>
          <w:szCs w:val="26"/>
          <w:rtl/>
        </w:rPr>
        <w:t xml:space="preserve">نمودار ۱-۱ مسیر کاهش جمعیت را از کل مشتریان بانک تا نمونه‌ی برنامه‌ریزی‌شده نشان می‌دهد. از میان حدود ۷.۴ میلیون مشتری دارای سپرده، حدود ۱.۷ میلیون مشتری (۲۲.۷ درصد) معیارهای فعال‌بودن را احراز کردند و از آن‌ها نمونه‌ای ۳۲۶,۶۸۲ نفری انتخاب شد. در سمت تسهیلات نیز از ۱,۵۸۳,۱۶۸ مشتری دارای مانده‌ی تسهیلات در ۱۴۰۴، نمونه‌ای ۲۸۴,۰۴۸ نفری تعیین شد.</w:t>
      </w:r>
    </w:p>
    <w:p>
      <w:pPr>
        <w:keepNext/>
        <w:spacing w:after="60" w:before="160"/>
        <w:jc w:val="center"/>
      </w:pPr>
      <w:r>
        <w:drawing>
          <wp:inline distT="0" distB="0" distL="0" distR="0">
            <wp:extent cx="57150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۱-۱: از کل مشتریان بانک تا نمونه‌ی برنامه‌ریزی‌شده</w:t>
      </w:r>
    </w:p>
    <w:p>
      <w:pPr>
        <w:bidi/>
        <w:spacing w:after="160" w:line="312"/>
        <w:jc w:val="left"/>
      </w:pPr>
      <w:r>
        <w:rPr>
          <w:rFonts w:ascii="Cambria" w:cs="B Nazanin" w:eastAsia="B Nazanin" w:hAnsi="Cambria"/>
          <w:color w:val="000000"/>
          <w:sz w:val="22"/>
          <w:szCs w:val="26"/>
          <w:rtl/>
        </w:rPr>
        <w:t xml:space="preserve">حجم نمونه‌ی مشتریان حقیقی بر پایه‌ی سه معیار تعیین شد: فرمول کوکران (اطمینان ۹۵ درصد و خطای مجاز ۲ درصد)، حداقل نیاز الگوریتم‌های یادگیری ماشین، و نسبت ۱۵ درصد جمعیت پالایش‌شده، با ضریب ۱.۱ برای جبران عدم‌پاسخ. معیار غالب نسبت ۱۵ درصد بود که حجم نهایی را به ۱۶.۵ درصد جمعیت پالایش‌شده رساند. مشتریان حقوقی، به‌دلیل تعداد محدود و اهمیت راهبردی بالا، به‌صورت سرشماری کامل در نمونه آمدند.</w:t>
      </w:r>
    </w:p>
    <w:p>
      <w:pPr>
        <w:keepNext/>
        <w:bidi/>
        <w:spacing w:after="100" w:before="200"/>
        <w:jc w:val="left"/>
      </w:pPr>
      <w:r>
        <w:rPr>
          <w:rFonts w:ascii="B Nazanin" w:cs="B Nazanin" w:eastAsia="B Nazanin" w:hAnsi="B Nazanin"/>
          <w:b/>
          <w:bCs/>
          <w:color w:val="000000"/>
          <w:sz w:val="22"/>
          <w:szCs w:val="22"/>
          <w:rtl/>
        </w:rPr>
        <w:t xml:space="preserve">جدول ۱-۲: جمعیت پالایش‌شده و حجم نمونه به تفکیک گروه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49"/>
        <w:gridCol w:w="2171"/>
        <w:gridCol w:w="2023"/>
        <w:gridCol w:w="2807"/>
      </w:tblGrid>
      <w:tr>
        <w:trPr>
          <w:cantSplit/>
          <w:tblHeader/>
        </w:trPr>
        <w:tc>
          <w:tcPr>
            <w:tcW w:type="dxa" w:w="23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گروه</w:t>
            </w:r>
          </w:p>
        </w:tc>
        <w:tc>
          <w:tcPr>
            <w:tcW w:type="dxa" w:w="21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جمعیت پس از پالایش</w:t>
            </w:r>
          </w:p>
        </w:tc>
        <w:tc>
          <w:tcPr>
            <w:tcW w:type="dxa" w:w="20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حجم نمونه</w:t>
            </w:r>
          </w:p>
        </w:tc>
        <w:tc>
          <w:tcPr>
            <w:tcW w:type="dxa" w:w="28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روش نمونه‌گیری</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حقیقی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۱,۶۲۵,۲۶۲</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۲۶۸,۱۶۹ (۱۶.۵٪)</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طبقه‌بندی‌شده بر اساس استان؛ سهم هر استان متناسب با سهم آن از سپرده‌های بانک</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حقوقی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۵۸,۵۱۳</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۵۸,۵۱۳ (۱۰۰٪)</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سرشماری کامل</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تسهیلات‌گیرندگان حقیقی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۱,۵۵۵,۸۳۳</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۲۵۶,۷۱۳ (۱۶.۵٪)</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طبقه‌بندی‌شده بر اساس طبقه‌ی مانده و سهم استانی از تسهیلات</w:t>
            </w:r>
          </w:p>
        </w:tc>
      </w:tr>
      <w:tr>
        <w:trPr>
          <w:cantSplit/>
        </w:trPr>
        <w:tc>
          <w:tcPr>
            <w:tcW w:type="dxa" w:w="23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تسهیلات‌گیرندگان حقوقی</w:t>
            </w:r>
          </w:p>
        </w:tc>
        <w:tc>
          <w:tcPr>
            <w:tcW w:type="dxa" w:w="21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۲۷,۳۳۵</w:t>
            </w:r>
          </w:p>
        </w:tc>
        <w:tc>
          <w:tcPr>
            <w:tcW w:type="dxa" w:w="20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۲۷,۳۳۵ (۱۰۰٪)</w:t>
            </w:r>
          </w:p>
        </w:tc>
        <w:tc>
          <w:tcPr>
            <w:tcW w:type="dxa" w:w="28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سرشماری کامل</w:t>
            </w:r>
          </w:p>
        </w:tc>
      </w:tr>
    </w:tbl>
    <w:p>
      <w:pPr>
        <w:spacing w:after="200"/>
      </w:pPr>
    </w:p>
    <w:p>
      <w:pPr>
        <w:bidi/>
        <w:spacing w:after="160" w:line="312"/>
        <w:jc w:val="left"/>
      </w:pPr>
      <w:r>
        <w:rPr>
          <w:rFonts w:ascii="Cambria" w:cs="B Nazanin" w:eastAsia="B Nazanin" w:hAnsi="Cambria"/>
          <w:color w:val="000000"/>
          <w:sz w:val="22"/>
          <w:szCs w:val="26"/>
          <w:rtl/>
        </w:rPr>
        <w:t xml:space="preserve">در نمونه‌گیری تسهیلات‌گیرندگان حقیقی، جمعیت به شش طبقه‌ی مانده تقسیم شد و در هر طبقه تخصیص متناسب با سهم استانی از تسهیلات بانک انجام گرفت. در نمونه‌ی تحویل‌شده‌ی بانک، دو طبقه‌ی بالای مانده (بیش از ۵ میلیارد تومان) تقریباً به‌صورت سرشماری درآمده‌اند (بخش ۲.۴.۲).</w:t>
      </w:r>
    </w:p>
    <w:p>
      <w:pPr>
        <w:keepNext/>
        <w:bidi/>
        <w:spacing w:after="100" w:before="200"/>
        <w:jc w:val="left"/>
      </w:pPr>
      <w:r>
        <w:rPr>
          <w:rFonts w:ascii="B Nazanin" w:cs="B Nazanin" w:eastAsia="B Nazanin" w:hAnsi="B Nazanin"/>
          <w:b/>
          <w:bCs/>
          <w:color w:val="000000"/>
          <w:sz w:val="22"/>
          <w:szCs w:val="22"/>
          <w:rtl/>
        </w:rPr>
        <w:t xml:space="preserve">جدول ۱-۳: تخصیص نمونه‌ی تسهیلات‌گیرندگان حقیقی به تفکیک طبقه‌ی مانده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64"/>
        <w:gridCol w:w="2548"/>
        <w:gridCol w:w="1887"/>
        <w:gridCol w:w="2251"/>
      </w:tblGrid>
      <w:tr>
        <w:trPr>
          <w:cantSplit/>
          <w:tblHeader/>
        </w:trPr>
        <w:tc>
          <w:tcPr>
            <w:tcW w:type="dxa" w:w="266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طبقه‌ی مانده‌ی تسهیلات</w:t>
            </w:r>
          </w:p>
        </w:tc>
        <w:tc>
          <w:tcPr>
            <w:tcW w:type="dxa" w:w="254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مشتری حقیقی در جمعیت</w:t>
            </w:r>
          </w:p>
        </w:tc>
        <w:tc>
          <w:tcPr>
            <w:tcW w:type="dxa" w:w="188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جمعیت</w:t>
            </w:r>
          </w:p>
        </w:tc>
        <w:tc>
          <w:tcPr>
            <w:tcW w:type="dxa" w:w="22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نمونه‌ی تخصیص‌یافته</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۵۰ میلیون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۱,۲۴۴,۵۸۲</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۸۰.۰٪</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۲۰۵,۳۵۶</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 تا ۲۰۰ میلیون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۲۲۴,۸۴۲</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۱۴.۵٪</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۳۷,۰۹۹</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۲۰۰ میلیون تا ۱ میلیارد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۸۰,۰۸۴</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۱۳,۲۱۴</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 تا ۵ میلیارد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۶,۰۶۰</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۱,۰۰۰</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 تا ۲۰ میلیارد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۲۴۲</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۰.۱٪</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۲۰ میلیارد تومان</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۰.۱٪</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w:t>
            </w:r>
          </w:p>
        </w:tc>
      </w:tr>
      <w:tr>
        <w:trPr>
          <w:cantSplit/>
        </w:trPr>
        <w:tc>
          <w:tcPr>
            <w:tcW w:type="dxa" w:w="26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25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۱,۵۵۵,۸۳۳</w:t>
            </w:r>
          </w:p>
        </w:tc>
        <w:tc>
          <w:tcPr>
            <w:tcW w:type="dxa" w:w="188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c>
          <w:tcPr>
            <w:tcW w:type="dxa" w:w="22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۲۵۶,۷۱۳</w:t>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۱.۲.۳ تطبیق نمونه‌ی برنامه‌ریزی‌شده با جمعیت تحلیلی</w:t>
      </w:r>
    </w:p>
    <w:p>
      <w:pPr>
        <w:bidi/>
        <w:spacing w:after="160" w:line="312"/>
        <w:jc w:val="left"/>
      </w:pPr>
      <w:r>
        <w:rPr>
          <w:rFonts w:ascii="Cambria" w:cs="B Nazanin" w:eastAsia="B Nazanin" w:hAnsi="Cambria"/>
          <w:color w:val="000000"/>
          <w:sz w:val="22"/>
          <w:szCs w:val="26"/>
          <w:rtl/>
        </w:rPr>
        <w:t xml:space="preserve">جمعیت تحلیلی از اجتماع دو بخش ساخته شده است: نمونه‌ی سپرده‌گذاران و همه‌ی طرف‌های قراردادهای تسهیلات (گیرنده‌ی اصلی، ضامن و شریک) که حساب سپرده دارند. از این رو تعداد سپرده‌گذاران تحلیلی از نمونه‌ی سپرده‌ی برنامه‌ریزی‌شده بیشتر است. جدول ۱-۴ هر جمعیت را با تعریف و تعدادش نشان می‌دهد.</w:t>
      </w:r>
    </w:p>
    <w:p>
      <w:pPr>
        <w:keepNext/>
        <w:bidi/>
        <w:spacing w:after="100" w:before="200"/>
        <w:jc w:val="left"/>
      </w:pPr>
      <w:r>
        <w:rPr>
          <w:rFonts w:ascii="B Nazanin" w:cs="B Nazanin" w:eastAsia="B Nazanin" w:hAnsi="B Nazanin"/>
          <w:b/>
          <w:bCs/>
          <w:color w:val="000000"/>
          <w:sz w:val="22"/>
          <w:szCs w:val="22"/>
          <w:rtl/>
        </w:rPr>
        <w:t xml:space="preserve">جدول ۱-۴: تطبیق جمعیت‌های طراحی و جمعیت تحلیلی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44"/>
        <w:gridCol w:w="3634"/>
        <w:gridCol w:w="2172"/>
      </w:tblGrid>
      <w:tr>
        <w:trPr>
          <w:cantSplit/>
          <w:tblHeader/>
        </w:trPr>
        <w:tc>
          <w:tcPr>
            <w:tcW w:type="dxa" w:w="354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جمعیت</w:t>
            </w:r>
          </w:p>
        </w:tc>
        <w:tc>
          <w:tcPr>
            <w:tcW w:type="dxa" w:w="363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تعریف</w:t>
            </w:r>
          </w:p>
        </w:tc>
        <w:tc>
          <w:tcPr>
            <w:tcW w:type="dxa" w:w="21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دارای سپرده در بانک</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فایل توزیع مشتریان، ۰۹/۱۴۰۴</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۷,۴۰۴,۲۴۰</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پالایش‌شده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احراز معیارهای فعال‌بودن</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۱,۶۸۳,۷۷۵</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سپرده، برنامه‌ریزی‌شده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طرح نمونه‌گیری</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۳۲۶,۶۸۲</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سپرده، تحویل‌شده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جدول فهرست سپرده‌گذاران نمونه</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۳۵۱,۶۶۳</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دارای مانده‌ی تسهیلات</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کل بانک، ۱۴۰۴</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۱,۵۸۳,۱۶۸</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تسهیلات، برنامه‌ریزی‌شده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طرح نمونه‌گیری</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۲۸۴,۰۴۸</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تسهیلات، تحویل‌شده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فهرست گیرندگان اصلی</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۲۴۹,۷۰۸</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تسهیلات، تحویل‌شده</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فهرست دارندگان مانده‌ی تسهیلات</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۲۷۳,۱۴۸</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همه‌ی طرف‌های قراردادهای تسهیلات</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گیرنده‌ی اصلی، ضامن و شریک، ۱۲/۱۴۰۴</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۵۱۸,۰۰۶</w:t>
            </w:r>
          </w:p>
        </w:tc>
      </w:tr>
      <w:tr>
        <w:trPr>
          <w:cantSplit/>
        </w:trPr>
        <w:tc>
          <w:tcPr>
            <w:tcW w:type="dxa" w:w="35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 جمعیت تحلیلی</w:t>
            </w:r>
          </w:p>
        </w:tc>
        <w:tc>
          <w:tcPr>
            <w:tcW w:type="dxa" w:w="36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اجتماع نمونه‌ی سپرده و طرف‌های قراردادها</w:t>
            </w:r>
          </w:p>
        </w:tc>
        <w:tc>
          <w:tcPr>
            <w:tcW w:type="dxa" w:w="21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۷۰۶,۵۰۹</w:t>
            </w:r>
          </w:p>
        </w:tc>
      </w:tr>
    </w:tbl>
    <w:p>
      <w:pPr>
        <w:spacing w:after="200"/>
      </w:pPr>
    </w:p>
    <w:p>
      <w:pPr>
        <w:bidi/>
        <w:spacing w:after="160" w:line="312"/>
        <w:jc w:val="left"/>
      </w:pPr>
      <w:r>
        <w:rPr>
          <w:rFonts w:ascii="Cambria" w:cs="B Nazanin" w:eastAsia="B Nazanin" w:hAnsi="Cambria"/>
          <w:color w:val="000000"/>
          <w:sz w:val="22"/>
          <w:szCs w:val="26"/>
          <w:rtl/>
        </w:rPr>
        <w:t xml:space="preserve">نمونه‌ی سپرده‌ی تحویل‌شده ۷.۶ درصد بیش از طرح است. از طرف‌های قراردادهای تسهیلات حدود ۱۶۳ هزار نفر در نمونه‌ی سپرده نیز حضور دارند و حدود ۳۵۵ هزار نفر فقط از مسیر قراردادهای تسهیلات وارد جمعیت تحلیلی شده‌اند. معیارهای فعال‌بودن (جدول ۱-۱) برای نمونه‌ی سپرده اعمال شده‌اند و برای این ضامن‌ها و شرکا اعمال نشده‌اند؛ پیامد آن در بخش ۳.۴ توضیح داده شده است.</w:t>
      </w:r>
    </w:p>
    <w:p>
      <w:pPr>
        <w:pStyle w:val="Heading3"/>
        <w:keepNext/>
        <w:bidi/>
        <w:spacing w:after="160" w:before="300"/>
        <w:jc w:val="left"/>
      </w:pPr>
      <w:r>
        <w:rPr>
          <w:rFonts w:ascii="B Titr" w:cs="B Titr" w:eastAsia="B Titr" w:hAnsi="B Titr"/>
          <w:b w:val="false"/>
          <w:bCs w:val="false"/>
          <w:color w:val="000000"/>
          <w:sz w:val="26"/>
          <w:szCs w:val="26"/>
          <w:rtl/>
        </w:rPr>
        <w:t xml:space="preserve">۱.۲.۴ پیامد طراحی برای مطالعه‌ی گزارش</w:t>
      </w:r>
    </w:p>
    <w:p>
      <w:pPr>
        <w:bidi/>
        <w:spacing w:after="160" w:line="312"/>
        <w:jc w:val="left"/>
      </w:pPr>
      <w:r>
        <w:rPr>
          <w:rFonts w:ascii="Cambria" w:cs="B Nazanin" w:eastAsia="B Nazanin" w:hAnsi="Cambria"/>
          <w:color w:val="000000"/>
          <w:sz w:val="22"/>
          <w:szCs w:val="26"/>
          <w:rtl/>
        </w:rPr>
        <w:t xml:space="preserve">برای خواندن درست ارقام باید به ویژگی‌های نمونه توجه کرد. نمونه از مشتریان فعال ساخته شده و رفتار مشتریانی را نشان می‌دهد که رابطه‌ی جاری و معنادار با بانک دارند؛ ماندگاری و ریزش درون جمعیت نمونه سنجیده می‌شود و برآوردی از ماندگاری کل بانک نیست. تخصیص نمونه به مشتریان بزرگ‌تر وزن بیشتری داده و سهم مبلغی نمونه را بسیار بیشتر از سهم تعدادی آن کرده است؛ فصل ۲ این پوشش را با آمار رسمی ماهانه‌ی بانک می‌سنجد. چون سهم استانی در تخصیص لحاظ شده، ساختار جغرافیایی نمونه با بانک سازگار است و تحلیل‌های استانی فصل ۷ امکان مقایسه با آمار رسمی را دارند.</w:t>
      </w:r>
    </w:p>
    <w:p>
      <w:pPr>
        <w:bidi/>
        <w:spacing w:after="160" w:line="312"/>
        <w:jc w:val="left"/>
      </w:pPr>
      <w:r>
        <w:rPr>
          <w:rFonts w:ascii="Cambria" w:cs="B Nazanin" w:eastAsia="B Nazanin" w:hAnsi="Cambria"/>
          <w:color w:val="000000"/>
          <w:sz w:val="22"/>
          <w:szCs w:val="26"/>
          <w:rtl/>
        </w:rPr>
        <w:t xml:space="preserve">بر همین اساس، ارقام مطلق این گزارش وضعیت نمونه‌ی تحلیلی را نشان می‌دهند و هرجا لازم بوده، آمار رسمی بانک نیز کنار آن‌ها آمده است. نسبت‌ها و ساختارها، مانند نسبت مطالبات غیرجاری یا ترکیب پرتفوی، با آمار رسمی هم‌خوانی بالایی دارند (فصل ۲).</w:t>
      </w:r>
    </w:p>
    <w:p>
      <w:pPr>
        <w:pBdr>
          <w:bottom w:val="single" w:color="BBBBBB" w:sz="6"/>
        </w:pBdr>
        <w:spacing w:after="100" w:before="100"/>
      </w:pPr>
    </w:p>
    <w:p>
      <w:pPr>
        <w:pStyle w:val="Heading2"/>
        <w:keepNext/>
        <w:bidi/>
        <w:spacing w:after="160" w:before="300"/>
        <w:jc w:val="left"/>
      </w:pPr>
      <w:bookmarkStart w:name="_Toc9" w:id="9"/>
      <w:r>
        <w:rPr>
          <w:rFonts w:ascii="B Titr" w:cs="B Titr" w:eastAsia="B Titr" w:hAnsi="B Titr"/>
          <w:b w:val="false"/>
          <w:bCs w:val="false"/>
          <w:color w:val="000000"/>
          <w:sz w:val="26"/>
          <w:szCs w:val="26"/>
          <w:rtl/>
        </w:rPr>
        <w:t xml:space="preserve">۱.۳ رویکرد تحلیل</w:t>
      </w:r>
      <w:bookmarkEnd w:id="9"/>
    </w:p>
    <w:p>
      <w:pPr>
        <w:bidi/>
        <w:spacing w:after="160" w:line="312"/>
        <w:jc w:val="left"/>
      </w:pPr>
      <w:r>
        <w:rPr>
          <w:rFonts w:ascii="Cambria" w:cs="B Nazanin" w:eastAsia="B Nazanin" w:hAnsi="Cambria"/>
          <w:color w:val="000000"/>
          <w:sz w:val="22"/>
          <w:szCs w:val="26"/>
          <w:rtl/>
        </w:rPr>
        <w:t xml:space="preserve">تحلیل‌های فاز ۱ در پنج محور سازمان یافته‌اند و هر محور یک فصل را تشکیل می‌دهد: ساختار و رفتار مشتریان (فصل ۳)، بازار سپرده (فصل ۴)، بازار تسهیلات (فصل ۵)، کیفیت دارایی و ریسک اعتباری (فصل ۶) و توزیع جغرافیایی و شبکه‌ی شعب (فصل ۷). فصل ۸ بر پایه‌ی این تحلیل‌ها برآوردی از سودآوری ارائه می‌کند.</w:t>
      </w:r>
    </w:p>
    <w:p>
      <w:pPr>
        <w:bidi/>
        <w:spacing w:after="160" w:line="312"/>
        <w:jc w:val="left"/>
      </w:pPr>
      <w:r>
        <w:rPr>
          <w:rFonts w:ascii="Cambria" w:cs="B Nazanin" w:eastAsia="B Nazanin" w:hAnsi="Cambria"/>
          <w:color w:val="000000"/>
          <w:sz w:val="22"/>
          <w:szCs w:val="26"/>
          <w:rtl/>
        </w:rPr>
        <w:t xml:space="preserve">در همه‌ی فصل‌ها ارقام نمونه با آمار رسمی ماهانه‌ی بانک در سطح استان و شعبه (۶۰ ماه) مقایسه می‌شوند تا اعتبار آن‌ها مستقل سنجیده شود، و هر رقم به یکی از مبناهای جدول تطبیق (بخش ۱.۶) ارجاع دارد تا روشن باشد از چه مجموعه‌ای به دست آمده است. هر فصل با نمودارهای تحلیلی آغاز می‌شود و جدول‌ها ارقام دقیق آن‌ها را می‌دهند.</w:t>
      </w:r>
    </w:p>
    <w:p>
      <w:pPr>
        <w:pBdr>
          <w:bottom w:val="single" w:color="BBBBBB" w:sz="6"/>
        </w:pBdr>
        <w:spacing w:after="100" w:before="100"/>
      </w:pPr>
    </w:p>
    <w:p>
      <w:pPr>
        <w:pStyle w:val="Heading2"/>
        <w:keepNext/>
        <w:bidi/>
        <w:spacing w:after="160" w:before="300"/>
        <w:jc w:val="left"/>
      </w:pPr>
      <w:bookmarkStart w:name="_Toc10" w:id="10"/>
      <w:r>
        <w:rPr>
          <w:rFonts w:ascii="B Titr" w:cs="B Titr" w:eastAsia="B Titr" w:hAnsi="B Titr"/>
          <w:b w:val="false"/>
          <w:bCs w:val="false"/>
          <w:color w:val="000000"/>
          <w:sz w:val="26"/>
          <w:szCs w:val="26"/>
          <w:rtl/>
        </w:rPr>
        <w:t xml:space="preserve">۱.۴ زنجیره‌ی پردازش داده</w:t>
      </w:r>
      <w:bookmarkEnd w:id="10"/>
    </w:p>
    <w:p>
      <w:pPr>
        <w:bidi/>
        <w:spacing w:after="160" w:line="312"/>
        <w:jc w:val="left"/>
      </w:pPr>
      <w:r>
        <w:rPr>
          <w:rFonts w:ascii="Cambria" w:cs="B Nazanin" w:eastAsia="B Nazanin" w:hAnsi="Cambria"/>
          <w:color w:val="000000"/>
          <w:sz w:val="22"/>
          <w:szCs w:val="26"/>
          <w:rtl/>
        </w:rPr>
        <w:t xml:space="preserve">ارقام گزارش از یک زنجیره‌ی چهارمرحله‌ای قابل بازتولید حاصل شده‌اند (نمودار ۱-۲). در مرحله‌ی نخست، چهارده جدول عملیاتی بانک بدون هیچ تغییری دریافت و نگهداری می‌شود. در مرحله‌ی دوم، دوازده نمای (View) SQL قواعد یکپارچه‌سازی را اعمال می‌کنند: حذف ردیف‌های تکراری، یکسان‌سازی قالب‌ها و اعمال کلید طبیعی هر جدول (بخش ۱.۵). در مرحله‌ی سوم، اسکریپت‌های تحلیلی جدول‌ها و نمودارهای هر فصل را تولید می‌کنند. در مرحله‌ی چهارم، خروجی‌ها در قالب این گزارش گرد می‌آیند. آمار رسمی ماهانه‌ی بانک نیز در مرحله‌ی تحلیل برای تطبیق ارقام به کار می‌رود.</w:t>
      </w:r>
    </w:p>
    <w:p>
      <w:pPr>
        <w:keepNext/>
        <w:spacing w:after="60" w:before="160"/>
        <w:jc w:val="center"/>
      </w:pPr>
      <w:r>
        <w:drawing>
          <wp:inline distT="0" distB="0" distL="0" distR="0">
            <wp:extent cx="5715000" cy="1809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097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۱-۲: زنجیره‌ی پردازش داده، از جدول‌های بانک تا ارقام گزارش</w:t>
      </w:r>
    </w:p>
    <w:p>
      <w:pPr>
        <w:bidi/>
        <w:spacing w:after="160" w:line="312"/>
        <w:jc w:val="left"/>
      </w:pPr>
      <w:r>
        <w:rPr>
          <w:rFonts w:ascii="Cambria" w:cs="B Nazanin" w:eastAsia="B Nazanin" w:hAnsi="Cambria"/>
          <w:color w:val="000000"/>
          <w:sz w:val="22"/>
          <w:szCs w:val="26"/>
          <w:rtl/>
        </w:rPr>
        <w:t xml:space="preserve">ارقام گزارش، از جمله شاخص‌های خلاصه‌ی مدیریتی، از خروجی اسکریپت‌های تحلیلی استخراج شده و پیش از تحویل با فایل‌های خروجی و با آمار رسمی بانک تطبیق داده شده‌اند.</w:t>
      </w:r>
    </w:p>
    <w:p>
      <w:pPr>
        <w:pBdr>
          <w:bottom w:val="single" w:color="BBBBBB" w:sz="6"/>
        </w:pBdr>
        <w:spacing w:after="100" w:before="100"/>
      </w:pPr>
    </w:p>
    <w:p>
      <w:pPr>
        <w:pStyle w:val="Heading2"/>
        <w:keepNext/>
        <w:bidi/>
        <w:spacing w:after="160" w:before="300"/>
        <w:jc w:val="left"/>
      </w:pPr>
      <w:bookmarkStart w:name="_Toc11" w:id="11"/>
      <w:r>
        <w:rPr>
          <w:rFonts w:ascii="B Titr" w:cs="B Titr" w:eastAsia="B Titr" w:hAnsi="B Titr"/>
          <w:b w:val="false"/>
          <w:bCs w:val="false"/>
          <w:color w:val="000000"/>
          <w:sz w:val="26"/>
          <w:szCs w:val="26"/>
          <w:rtl/>
        </w:rPr>
        <w:t xml:space="preserve">۱.۵ قواعد یکپارچه‌سازی داده</w:t>
      </w:r>
      <w:bookmarkEnd w:id="11"/>
    </w:p>
    <w:p>
      <w:pPr>
        <w:bidi/>
        <w:spacing w:after="160" w:line="312"/>
        <w:jc w:val="left"/>
      </w:pPr>
      <w:r>
        <w:rPr>
          <w:rFonts w:ascii="Cambria" w:cs="B Nazanin" w:eastAsia="B Nazanin" w:hAnsi="Cambria"/>
          <w:color w:val="000000"/>
          <w:sz w:val="22"/>
          <w:szCs w:val="26"/>
          <w:rtl/>
        </w:rPr>
        <w:t xml:space="preserve">جداول عملیاتی بانک برای ثبت تراکنش طراحی شده‌اند، نه برای گزارش‌گیری تجمیعی. به همین دلیل پیش از هر محاسبه، قواعدی اعمال شده است که یک‌بار شمرده‌شدن هر قرارداد، حساب و مشتری را تضمین می‌کند. مهم‌ترین قاعده درباره‌ی جدول مانده‌ی تسهیلات (</w:t>
      </w:r>
      <w:r>
        <w:rPr>
          <w:rFonts w:ascii="Cambria" w:cs="B Nazanin" w:eastAsia="B Nazanin" w:hAnsi="Cambria"/>
          <w:b w:val="false"/>
          <w:bCs w:val="false"/>
          <w:color w:val="000000"/>
          <w:sz w:val="22"/>
          <w:szCs w:val="26"/>
        </w:rPr>
        <w:t xml:space="preserve">Loan_Remain</w:t>
      </w:r>
      <w:r>
        <w:rPr>
          <w:rFonts w:ascii="Cambria" w:cs="B Nazanin" w:eastAsia="B Nazanin" w:hAnsi="Cambria"/>
          <w:color w:val="000000"/>
          <w:sz w:val="22"/>
          <w:szCs w:val="26"/>
          <w:rtl/>
        </w:rPr>
        <w:t xml:space="preserve">) است.</w:t>
      </w:r>
    </w:p>
    <w:p>
      <w:pPr>
        <w:bidi/>
        <w:spacing w:after="160" w:line="312"/>
        <w:jc w:val="left"/>
      </w:pPr>
      <w:r>
        <w:rPr>
          <w:rFonts w:ascii="Cambria" w:cs="B Nazanin" w:eastAsia="B Nazanin" w:hAnsi="Cambria"/>
          <w:color w:val="000000"/>
          <w:sz w:val="22"/>
          <w:szCs w:val="26"/>
          <w:rtl/>
        </w:rPr>
        <w:t xml:space="preserve">هر قرارداد تسهیلات ممکن است چند طرف داشته باشد (وام‌گیرنده، ضامن یا شریک). جدول مانده برای هر طرف یک ردیف کامل ثبت می‌کند و مانده‌ی قرارداد در همه‌ی این ردیف‌ها یکسان است. برای مثال، قراردادی با سیزده ضامن، مانده‌ی ۵.۲ میلیارد تومانی خود را در سیزده ردیف ثبت کرده است. از این رو کلید طبیعی جدول (شناسه‌ی قرارداد، شناسه‌ی مشتری، تاریخ) است و برای به‌دست‌آوردن مانده‌ی بانک، داده باید به سطح (قرارداد، ماه) یکپارچه شود.</w:t>
      </w:r>
    </w:p>
    <w:p>
      <w:pPr>
        <w:keepNext/>
        <w:bidi/>
        <w:spacing w:after="100" w:before="200"/>
        <w:jc w:val="left"/>
      </w:pPr>
      <w:r>
        <w:rPr>
          <w:rFonts w:ascii="B Nazanin" w:cs="B Nazanin" w:eastAsia="B Nazanin" w:hAnsi="B Nazanin"/>
          <w:b/>
          <w:bCs/>
          <w:color w:val="000000"/>
          <w:sz w:val="22"/>
          <w:szCs w:val="22"/>
          <w:rtl/>
        </w:rPr>
        <w:t xml:space="preserve">جدول ۱-۵: مانده‌ی کل تسهیلات پیش و پس از یکپارچه‌سازی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31"/>
        <w:gridCol w:w="4419"/>
      </w:tblGrid>
      <w:tr>
        <w:trPr>
          <w:cantSplit/>
          <w:tblHeader/>
        </w:trPr>
        <w:tc>
          <w:tcPr>
            <w:tcW w:type="dxa" w:w="49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روش محاسبه</w:t>
            </w:r>
          </w:p>
        </w:tc>
        <w:tc>
          <w:tcPr>
            <w:tcW w:type="dxa" w:w="441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r>
      <w:tr>
        <w:trPr>
          <w:cantSplit/>
        </w:trPr>
        <w:tc>
          <w:tcPr>
            <w:tcW w:type="dxa" w:w="49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جمع مستقیم ردیف‌های جدول (با تکرار مانده‌ی طرفین هر قرارداد)</w:t>
            </w:r>
          </w:p>
        </w:tc>
        <w:tc>
          <w:tcPr>
            <w:tcW w:type="dxa" w:w="44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۱۹۶.۱</w:t>
            </w:r>
          </w:p>
        </w:tc>
      </w:tr>
      <w:tr>
        <w:trPr>
          <w:cantSplit/>
        </w:trPr>
        <w:tc>
          <w:tcPr>
            <w:tcW w:type="dxa" w:w="49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پس از یکپارچه‌سازی در سطح (قرارداد، ماه)، مبنای گزارش</w:t>
            </w:r>
          </w:p>
        </w:tc>
        <w:tc>
          <w:tcPr>
            <w:tcW w:type="dxa" w:w="441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r>
    </w:tbl>
    <w:p>
      <w:pPr>
        <w:spacing w:after="200"/>
      </w:pPr>
    </w:p>
    <w:p>
      <w:pPr>
        <w:bidi/>
        <w:spacing w:after="160" w:line="312"/>
        <w:jc w:val="left"/>
      </w:pPr>
      <w:r>
        <w:rPr>
          <w:rFonts w:ascii="Cambria" w:cs="B Nazanin" w:eastAsia="B Nazanin" w:hAnsi="Cambria"/>
          <w:color w:val="000000"/>
          <w:sz w:val="22"/>
          <w:szCs w:val="26"/>
          <w:rtl/>
        </w:rPr>
        <w:t xml:space="preserve">نتیجه‌ی این قاعده یک مبنای واحد برای مانده‌ی تسهیلات است که طبقه‌بندی مطالبات، نسبت تسهیلات به سپرده، رشد سالانه و تحلیل‌های ریسک بر آن متکی‌اند. از آنجا که ستون شناسه‌ی مشتری در این جدول همه‌ی طرفین قرارداد را فهرست می‌کند، تحلیل‌های سطح مشتری در این گزارش بر پایه‌ی </w:t>
      </w:r>
      <w:r>
        <w:rPr>
          <w:rFonts w:ascii="Cambria" w:cs="B Nazanin" w:eastAsia="B Nazanin" w:hAnsi="Cambria"/>
          <w:b/>
          <w:bCs/>
          <w:color w:val="000000"/>
          <w:sz w:val="22"/>
          <w:szCs w:val="26"/>
          <w:rtl/>
        </w:rPr>
        <w:t xml:space="preserve">گیرنده‌ی اصلی تسهیلات</w:t>
      </w:r>
      <w:r>
        <w:rPr>
          <w:rFonts w:ascii="Cambria" w:cs="B Nazanin" w:eastAsia="B Nazanin" w:hAnsi="Cambria"/>
          <w:color w:val="000000"/>
          <w:sz w:val="22"/>
          <w:szCs w:val="26"/>
          <w:rtl/>
        </w:rPr>
        <w:t xml:space="preserve"> انجام شده‌اند و ضامن‌ها و شرکا در شمارش مشتریان وارد نشده‌اند.</w:t>
      </w:r>
    </w:p>
    <w:p>
      <w:pPr>
        <w:bidi/>
        <w:spacing w:after="160" w:line="312"/>
        <w:jc w:val="left"/>
      </w:pPr>
      <w:r>
        <w:rPr>
          <w:rFonts w:ascii="Cambria" w:cs="B Nazanin" w:eastAsia="B Nazanin" w:hAnsi="Cambria"/>
          <w:color w:val="000000"/>
          <w:sz w:val="22"/>
          <w:szCs w:val="26"/>
          <w:rtl/>
        </w:rPr>
        <w:t xml:space="preserve">برای سایر جداول نیز ردیف‌های تکراری ناشی از فرآیند استخراج شناسایی و پیش از تحلیل یکسان شد. </w:t>
      </w:r>
      <w:r>
        <w:rPr>
          <w:rFonts w:ascii="Cambria" w:cs="B Nazanin" w:eastAsia="B Nazanin" w:hAnsi="Cambria"/>
          <w:b/>
          <w:bCs/>
          <w:color w:val="000000"/>
          <w:sz w:val="22"/>
          <w:szCs w:val="26"/>
          <w:rtl/>
        </w:rPr>
        <w:t xml:space="preserve">جدول ۱-۶</w:t>
      </w:r>
      <w:r>
        <w:rPr>
          <w:rFonts w:ascii="Cambria" w:cs="B Nazanin" w:eastAsia="B Nazanin" w:hAnsi="Cambria"/>
          <w:color w:val="000000"/>
          <w:sz w:val="22"/>
          <w:szCs w:val="26"/>
          <w:rtl/>
        </w:rPr>
        <w:t xml:space="preserve"> قواعد اعمال‌شده را خلاصه می‌کند.</w:t>
      </w:r>
    </w:p>
    <w:p>
      <w:pPr>
        <w:keepNext/>
        <w:bidi/>
        <w:spacing w:after="100" w:before="200"/>
        <w:jc w:val="left"/>
      </w:pPr>
      <w:r>
        <w:rPr>
          <w:rFonts w:ascii="B Nazanin" w:cs="B Nazanin" w:eastAsia="B Nazanin" w:hAnsi="B Nazanin"/>
          <w:b/>
          <w:bCs/>
          <w:color w:val="000000"/>
          <w:sz w:val="22"/>
          <w:szCs w:val="22"/>
          <w:rtl/>
        </w:rPr>
        <w:t xml:space="preserve">جدول ۱-۶: قواعد یکپارچه‌سازی جداول اصلی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جدول</w:t>
            </w:r>
          </w:p>
        </w:tc>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قاعده‌ی یکپارچه‌سازی</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Loan_Remain</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یک ردیف به‌ازای هر (قرارداد، ماه)؛ مانده‌ی طرفین تکرار نمی‌شود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Loan_Contract_Info</w:t>
            </w:r>
            <w:r>
              <w:rPr>
                <w:rFonts w:ascii="B Nazanin" w:cs="B Nazanin" w:eastAsia="B Nazanin" w:hAnsi="B Nazanin"/>
                <w:b w:val="false"/>
                <w:bCs w:val="false"/>
                <w:color w:val="000000"/>
                <w:sz w:val="22"/>
                <w:szCs w:val="22"/>
                <w:rtl/>
              </w:rPr>
              <w:t xml:space="preserve">، </w:t>
            </w:r>
            <w:r>
              <w:rPr>
                <w:rFonts w:ascii="Cambria" w:cs="B Nazanin" w:eastAsia="B Nazanin" w:hAnsi="Cambria"/>
                <w:b w:val="false"/>
                <w:bCs w:val="false"/>
                <w:color w:val="000000"/>
                <w:sz w:val="22"/>
                <w:szCs w:val="22"/>
              </w:rPr>
              <w:t xml:space="preserve">LoanFileID_Brnach</w:t>
            </w:r>
            <w:r>
              <w:rPr>
                <w:rFonts w:ascii="B Nazanin" w:cs="B Nazanin" w:eastAsia="B Nazanin" w:hAnsi="B Nazanin"/>
                <w:b w:val="false"/>
                <w:bCs w:val="false"/>
                <w:color w:val="000000"/>
                <w:sz w:val="22"/>
                <w:szCs w:val="22"/>
                <w:rtl/>
              </w:rPr>
              <w:t xml:space="preserve">، </w:t>
            </w:r>
            <w:r>
              <w:rPr>
                <w:rFonts w:ascii="Cambria" w:cs="B Nazanin" w:eastAsia="B Nazanin" w:hAnsi="Cambria"/>
                <w:b w:val="false"/>
                <w:bCs w:val="false"/>
                <w:color w:val="000000"/>
                <w:sz w:val="22"/>
                <w:szCs w:val="22"/>
              </w:rPr>
              <w:t xml:space="preserve">Customer_Profile</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حذف ردیف‌های کاملاً یکسان ناشی از استخراج</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Deposit_Customer</w:t>
            </w:r>
            <w:r>
              <w:rPr>
                <w:rFonts w:ascii="B Nazanin" w:cs="B Nazanin" w:eastAsia="B Nazanin" w:hAnsi="B Nazanin"/>
                <w:b w:val="false"/>
                <w:bCs w:val="false"/>
                <w:color w:val="000000"/>
                <w:sz w:val="22"/>
                <w:szCs w:val="22"/>
                <w:rtl/>
              </w:rPr>
              <w:t xml:space="preserve">، </w:t>
            </w:r>
            <w:r>
              <w:rPr>
                <w:rFonts w:ascii="Cambria" w:cs="B Nazanin" w:eastAsia="B Nazanin" w:hAnsi="Cambria"/>
                <w:b w:val="false"/>
                <w:bCs w:val="false"/>
                <w:color w:val="000000"/>
                <w:sz w:val="22"/>
                <w:szCs w:val="22"/>
              </w:rPr>
              <w:t xml:space="preserve">Deposit_Monthly_Activity</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حذف ردیف‌های تکراری؛ حجم تکرار ناچیز است</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DepositIDInterest</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حذف ردیف‌های تکراری (حدود ۲۰ درصد ردیف‌ها) پیش از جمع‌بندی هزینه‌ی سود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Loan_Monthly_Activity</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دفتر اقساط است؛ جمع‌بندی روی تمام ردیف‌ها انجام می‌شود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Customer_Monthly_Activity</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گردش مشتری پس از حذف تکرار و کارمزد روی ردیف‌های خام محاسبه می‌شود</w:t>
            </w:r>
          </w:p>
        </w:tc>
      </w:tr>
    </w:tbl>
    <w:p>
      <w:pPr>
        <w:spacing w:after="200"/>
      </w:pPr>
    </w:p>
    <w:p>
      <w:pPr>
        <w:pBdr>
          <w:bottom w:val="single" w:color="BBBBBB" w:sz="6"/>
        </w:pBdr>
        <w:spacing w:after="100" w:before="100"/>
      </w:pPr>
    </w:p>
    <w:p>
      <w:pPr>
        <w:pStyle w:val="Heading2"/>
        <w:keepNext/>
        <w:bidi/>
        <w:spacing w:after="160" w:before="300"/>
        <w:jc w:val="left"/>
      </w:pPr>
      <w:bookmarkStart w:name="_Toc12" w:id="12"/>
      <w:r>
        <w:rPr>
          <w:rFonts w:ascii="B Titr" w:cs="B Titr" w:eastAsia="B Titr" w:hAnsi="B Titr"/>
          <w:b w:val="false"/>
          <w:bCs w:val="false"/>
          <w:color w:val="000000"/>
          <w:sz w:val="26"/>
          <w:szCs w:val="26"/>
          <w:rtl/>
        </w:rPr>
        <w:t xml:space="preserve">۱.۶ جدول تطبیق: مرجع واحد ارقام گزارش</w:t>
      </w:r>
      <w:bookmarkEnd w:id="12"/>
    </w:p>
    <w:p>
      <w:pPr>
        <w:bidi/>
        <w:spacing w:after="160" w:line="312"/>
        <w:jc w:val="left"/>
      </w:pPr>
      <w:r>
        <w:rPr>
          <w:rFonts w:ascii="Cambria" w:cs="B Nazanin" w:eastAsia="B Nazanin" w:hAnsi="Cambria"/>
          <w:color w:val="000000"/>
          <w:sz w:val="22"/>
          <w:szCs w:val="26"/>
          <w:rtl/>
        </w:rPr>
        <w:t xml:space="preserve">برای آن‌که هر رقم گزارش قابل ردیابی باشد، مجموعه‌هایی که ارقام بر آن‌ها استوارند با کد مشخص تعریف شده‌اند. در فصل‌های بعد، ارقام با همین کدها (مانند «مبنای الف») ارجاع داده می‌شوند.</w:t>
      </w:r>
    </w:p>
    <w:p>
      <w:pPr>
        <w:pStyle w:val="Heading3"/>
        <w:keepNext/>
        <w:bidi/>
        <w:spacing w:after="160" w:before="300"/>
        <w:jc w:val="left"/>
      </w:pPr>
      <w:r>
        <w:rPr>
          <w:rFonts w:ascii="B Titr" w:cs="B Titr" w:eastAsia="B Titr" w:hAnsi="B Titr"/>
          <w:b w:val="false"/>
          <w:bCs w:val="false"/>
          <w:color w:val="000000"/>
          <w:sz w:val="26"/>
          <w:szCs w:val="26"/>
          <w:rtl/>
        </w:rPr>
        <w:t xml:space="preserve">۱.۶.۱ مبناهای ارزشی</w:t>
      </w:r>
    </w:p>
    <w:p>
      <w:pPr>
        <w:bidi/>
        <w:spacing w:after="160" w:line="312"/>
        <w:jc w:val="left"/>
      </w:pPr>
      <w:r>
        <w:rPr>
          <w:rFonts w:ascii="Cambria" w:cs="B Nazanin" w:eastAsia="B Nazanin" w:hAnsi="Cambria"/>
          <w:color w:val="000000"/>
          <w:sz w:val="22"/>
          <w:szCs w:val="26"/>
          <w:rtl/>
        </w:rPr>
        <w:t xml:space="preserve">جدول ۱-۷ مبناهای مبلغی گزارش را در مقطع ۱۲/۱۴۰۴ فهرست می‌کند: کل مانده‌ی تسهیلات (مبنای الف) و تفکیک آن به بخشی که اطلاعات قرارداد دارد (الف-۱) و بخشی که ندارد (الف-۲)، مانده‌ی سپرده (ب) و مطالبات غیرجاری (پ) با تفکیک متناظر. ستون‌های «ریال» و «تومان» رقم یکسانی را در دو واحد نشان می‌دهند.</w:t>
      </w:r>
    </w:p>
    <w:p>
      <w:pPr>
        <w:keepNext/>
        <w:bidi/>
        <w:spacing w:after="100" w:before="200"/>
        <w:jc w:val="left"/>
      </w:pPr>
      <w:r>
        <w:rPr>
          <w:rFonts w:ascii="B Nazanin" w:cs="B Nazanin" w:eastAsia="B Nazanin" w:hAnsi="B Nazanin"/>
          <w:b/>
          <w:bCs/>
          <w:color w:val="000000"/>
          <w:sz w:val="22"/>
          <w:szCs w:val="22"/>
          <w:rtl/>
        </w:rPr>
        <w:t xml:space="preserve">جدول ۱-۷: مبناهای رسمی ارزشی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10"/>
        <w:gridCol w:w="1863"/>
        <w:gridCol w:w="1532"/>
        <w:gridCol w:w="1561"/>
        <w:gridCol w:w="1616"/>
        <w:gridCol w:w="1868"/>
      </w:tblGrid>
      <w:tr>
        <w:trPr>
          <w:cantSplit/>
          <w:tblHeader/>
        </w:trPr>
        <w:tc>
          <w:tcPr>
            <w:tcW w:type="dxa" w:w="9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کد</w:t>
            </w:r>
          </w:p>
        </w:tc>
        <w:tc>
          <w:tcPr>
            <w:tcW w:type="dxa" w:w="18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عنوان</w:t>
            </w:r>
          </w:p>
        </w:tc>
        <w:tc>
          <w:tcPr>
            <w:tcW w:type="dxa" w:w="15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مقدار (ریال)</w:t>
            </w:r>
          </w:p>
        </w:tc>
        <w:tc>
          <w:tcPr>
            <w:tcW w:type="dxa" w:w="15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هزار میلیارد ریال</w:t>
            </w:r>
          </w:p>
        </w:tc>
        <w:tc>
          <w:tcPr>
            <w:tcW w:type="dxa" w:w="16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هزار میلیارد تومان (همت)</w:t>
            </w:r>
          </w:p>
        </w:tc>
        <w:tc>
          <w:tcPr>
            <w:tcW w:type="dxa" w:w="186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تعریف</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الف</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کل تسهیلات</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۱,۲۸۱,۶۲۸,۱۱۹,۰۵۲,۷۳۴</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۱,۲۸۱.۶</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۱۲۸.۲</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Loan_Remain</w:t>
            </w:r>
            <w:r>
              <w:rPr>
                <w:rFonts w:ascii="B Nazanin" w:cs="B Nazanin" w:eastAsia="B Nazanin" w:hAnsi="B Nazanin"/>
                <w:b w:val="false"/>
                <w:bCs w:val="false"/>
                <w:color w:val="000000"/>
                <w:sz w:val="22"/>
                <w:szCs w:val="22"/>
                <w:rtl/>
              </w:rPr>
              <w:t xml:space="preserve"> پس از یکپارچه‌سازی در سطح (قرارداد، ماه)</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الف-۱</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 دارای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۹۹۴,۵۲۵,۹۴۳,۴۳۳,۹۵۰</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۹۹۴.۵ (۷۷.۶٪)</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۹۹.۵</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زیرمجموعه‌ی دارای رکورد قرارداد و نگاشت شعبه</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الف-۲</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 فاقد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۲۸۷,۱۰۲,۱۷۵,۶۱۸,۷۸۴</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۲۸۷.۱ (۲۲.۴٪)</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متمم الف-۱</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کل سپرده</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۸۴۷,۶۳۹,۶۳۶,۷۰۳,۲۶۲</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۸۴۷.۶</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۸۴.۸</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Deposit_Monthly_Activity</w:t>
            </w:r>
            <w:r>
              <w:rPr>
                <w:rFonts w:ascii="B Nazanin" w:cs="B Nazanin" w:eastAsia="B Nazanin" w:hAnsi="B Nazanin"/>
                <w:b w:val="false"/>
                <w:bCs w:val="false"/>
                <w:color w:val="000000"/>
                <w:sz w:val="22"/>
                <w:szCs w:val="22"/>
                <w:rtl/>
              </w:rPr>
              <w:t xml:space="preserve">، ستون میانگین مانده</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کل مطالبات غیرجاری</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۱۱۲,۲۴۳,۹۵۱,۱۷۹,۹۲۶</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۱۱۲.۲ (۸.۷۶٪ از الف)</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سررسیدگذشته + معوق + مشکوک‌الوصول</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پ-۱</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مطالبات غیرجاری بخش دارای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۵۱,۸۵۱,۷۹۹,۹۰۵,۶۱۸</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۵۱.۹ (۵.۲۱٪ از الف-۱)</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زیرمجموعه‌ی پ در الف-۱</w:t>
            </w:r>
          </w:p>
        </w:tc>
      </w:tr>
      <w:tr>
        <w:trPr>
          <w:cantSplit/>
        </w:trPr>
        <w:tc>
          <w:tcPr>
            <w:tcW w:type="dxa" w:w="9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پ-۲</w:t>
            </w:r>
          </w:p>
        </w:tc>
        <w:tc>
          <w:tcPr>
            <w:tcW w:type="dxa" w:w="18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مطالبات غیرجاری بخش فاقد اطلاعات قرارداد</w:t>
            </w:r>
          </w:p>
        </w:tc>
        <w:tc>
          <w:tcPr>
            <w:tcW w:type="dxa" w:w="15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۶۰,۳۹۲,۱۵۱,۲۷۴,۳۰۸</w:t>
            </w:r>
          </w:p>
        </w:tc>
        <w:tc>
          <w:tcPr>
            <w:tcW w:type="dxa" w:w="1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۶۰.۴ (۲۱.۰۴٪ از الف-۲)</w:t>
            </w:r>
          </w:p>
        </w:tc>
        <w:tc>
          <w:tcPr>
            <w:tcW w:type="dxa" w:w="16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w:t>
            </w:r>
          </w:p>
        </w:tc>
        <w:tc>
          <w:tcPr>
            <w:tcW w:type="dxa" w:w="186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متمم پ-۱</w:t>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۱.۶.۲ مبناهای تعدادی</w:t>
      </w:r>
    </w:p>
    <w:p>
      <w:pPr>
        <w:bidi/>
        <w:spacing w:after="160" w:line="312"/>
        <w:jc w:val="left"/>
      </w:pPr>
      <w:r>
        <w:rPr>
          <w:rFonts w:ascii="Cambria" w:cs="B Nazanin" w:eastAsia="B Nazanin" w:hAnsi="Cambria"/>
          <w:color w:val="000000"/>
          <w:sz w:val="22"/>
          <w:szCs w:val="26"/>
          <w:rtl/>
        </w:rPr>
        <w:t xml:space="preserve">جدول ۱-۸ مبناهای شمارشی را نشان می‌دهد: تعداد قراردادها، حساب‌ها و مشتریان. برای شمارش قراردادهای دارای مانده، مبنای ت-۰ (۵۹۰,۲۵۸ قرارداد با مانده‌ی مثبت) ملاک است. شمارش مشتریان تسهیلاتی در فصل ۳ بر پایه‌ی گیرنده‌ی اصلی (چ-۱) انجام شده است.</w:t>
      </w:r>
    </w:p>
    <w:p>
      <w:pPr>
        <w:keepNext/>
        <w:bidi/>
        <w:spacing w:after="100" w:before="200"/>
        <w:jc w:val="left"/>
      </w:pPr>
      <w:r>
        <w:rPr>
          <w:rFonts w:ascii="B Nazanin" w:cs="B Nazanin" w:eastAsia="B Nazanin" w:hAnsi="B Nazanin"/>
          <w:b/>
          <w:bCs/>
          <w:color w:val="000000"/>
          <w:sz w:val="22"/>
          <w:szCs w:val="22"/>
          <w:rtl/>
        </w:rPr>
        <w:t xml:space="preserve">جدول ۱-۸: مبناهای رسمی تعدادی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0"/>
        <w:gridCol w:w="2893"/>
        <w:gridCol w:w="2140"/>
        <w:gridCol w:w="2967"/>
      </w:tblGrid>
      <w:tr>
        <w:trPr>
          <w:cantSplit/>
          <w:tblHeader/>
        </w:trPr>
        <w:tc>
          <w:tcPr>
            <w:tcW w:type="dxa" w:w="13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کد</w:t>
            </w:r>
          </w:p>
        </w:tc>
        <w:tc>
          <w:tcPr>
            <w:tcW w:type="dxa" w:w="289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عنوان</w:t>
            </w:r>
          </w:p>
        </w:tc>
        <w:tc>
          <w:tcPr>
            <w:tcW w:type="dxa" w:w="214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w:t>
            </w:r>
          </w:p>
        </w:tc>
        <w:tc>
          <w:tcPr>
            <w:tcW w:type="dxa" w:w="29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تعریف</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قراردادهای دارای رکورد مانده</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۱,۳۲۲,۳۰۳</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حاضر در </w:t>
            </w:r>
            <w:r>
              <w:rPr>
                <w:rFonts w:ascii="Cambria" w:cs="B Nazanin" w:eastAsia="B Nazanin" w:hAnsi="Cambria"/>
                <w:b w:val="false"/>
                <w:bCs w:val="false"/>
                <w:color w:val="000000"/>
                <w:sz w:val="22"/>
                <w:szCs w:val="22"/>
              </w:rPr>
              <w:t xml:space="preserve">Loan_Remain</w:t>
            </w:r>
            <w:r>
              <w:rPr>
                <w:rFonts w:ascii="B Nazanin" w:cs="B Nazanin" w:eastAsia="B Nazanin" w:hAnsi="B Nazanin"/>
                <w:b w:val="false"/>
                <w:bCs w:val="false"/>
                <w:color w:val="000000"/>
                <w:sz w:val="22"/>
                <w:szCs w:val="22"/>
                <w:rtl/>
              </w:rPr>
              <w:t xml:space="preserve"> در ۱۲/۱۴۰۴</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ت-۰</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قراردادهای دارای مانده‌ی مثبت</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۵۹۰,۲۵۸</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زیرمجموعه‌ی ت با مانده‌ی بزرگ‌تر از صفر</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ت-۱</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قراردادهای دارای اطلاعات قرارداد</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۶۸۴,۳۲۸</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Loan_Contract_Info</w:t>
            </w:r>
            <w:r>
              <w:rPr>
                <w:rFonts w:ascii="B Nazanin" w:cs="B Nazanin" w:eastAsia="B Nazanin" w:hAnsi="B Nazanin"/>
                <w:b w:val="false"/>
                <w:bCs w:val="false"/>
                <w:color w:val="000000"/>
                <w:sz w:val="22"/>
                <w:szCs w:val="22"/>
                <w:rtl/>
              </w:rPr>
              <w:t xml:space="preserve"> و </w:t>
            </w:r>
            <w:r>
              <w:rPr>
                <w:rFonts w:ascii="Cambria" w:cs="B Nazanin" w:eastAsia="B Nazanin" w:hAnsi="Cambria"/>
                <w:b w:val="false"/>
                <w:bCs w:val="false"/>
                <w:color w:val="000000"/>
                <w:sz w:val="22"/>
                <w:szCs w:val="22"/>
              </w:rPr>
              <w:t xml:space="preserve">LoanFileID_Brnach</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ت-۲</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قراردادهای فاقد اطلاعات قرارداد</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۶۳۷,۹۷۵</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متمم ت-۱</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ث</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سپرده</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۱,۲۶۸,۲۶۶</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Deposit_Accoutnt_Info</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ث-۱</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حساب‌های دارای سود پرداختی</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۴۷۵,۲۳۰ (۳۷.۵٪)</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DepositIDInterest</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 سپرده‌گذار</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۷۰۶,۵۰۹</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دارنده‌ی حداقل یک حساب سپرده</w:t>
            </w:r>
          </w:p>
        </w:tc>
      </w:tr>
      <w:tr>
        <w:trPr>
          <w:cantSplit/>
        </w:trPr>
        <w:tc>
          <w:tcPr>
            <w:tcW w:type="dxa" w:w="13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چ-۱</w:t>
            </w:r>
          </w:p>
        </w:tc>
        <w:tc>
          <w:tcPr>
            <w:tcW w:type="dxa" w:w="289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تسهیلات‌گیرندگان (گیرنده‌ی اصلی)</w:t>
            </w:r>
          </w:p>
        </w:tc>
        <w:tc>
          <w:tcPr>
            <w:tcW w:type="dxa" w:w="21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۲۴۹,۷۰۸</w:t>
            </w:r>
          </w:p>
        </w:tc>
        <w:tc>
          <w:tcPr>
            <w:tcW w:type="dxa" w:w="29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Loan_Grant_Customer</w:t>
            </w:r>
          </w:p>
        </w:tc>
      </w:tr>
    </w:tbl>
    <w:p>
      <w:pPr>
        <w:spacing w:after="200"/>
      </w:pPr>
    </w:p>
    <w:p>
      <w:pPr>
        <w:bidi/>
        <w:spacing w:after="160" w:line="312"/>
        <w:jc w:val="left"/>
      </w:pPr>
      <w:r>
        <w:rPr>
          <w:rFonts w:ascii="Cambria" w:cs="B Nazanin" w:eastAsia="B Nazanin" w:hAnsi="Cambria"/>
          <w:color w:val="000000"/>
          <w:sz w:val="22"/>
          <w:szCs w:val="26"/>
          <w:rtl/>
        </w:rPr>
        <w:t xml:space="preserve">برای سنجش صحت محاسبات، سه رابطه‌ی زیر در هر بازتولید گزارش بررسی می‌شود:</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مجموع الف-۱ و الف-۲ برابر الف است: ۹۹.۵ + ۲۸.۷ = ۱۲۸.۲ هزار میلیارد تومان.</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color w:val="000000"/>
          <w:sz w:val="22"/>
          <w:szCs w:val="26"/>
          <w:rtl/>
        </w:rPr>
        <w:t xml:space="preserve">مجموع پ-۱ و پ-۲ برابر پ است: ۵.۲ + ۶.۰ = ۱۱.۲ هزار میلیارد تومان.</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color w:val="000000"/>
          <w:sz w:val="22"/>
          <w:szCs w:val="26"/>
          <w:rtl/>
        </w:rPr>
        <w:t xml:space="preserve">مجموع ت-۱ و ت-۲ برابر ت است: ۶۸۴,۳۲۸ + ۶۳۷,۹۷۵ = ۱,۳۲۲,۳۰۳ قرارداد.</w:t>
      </w:r>
    </w:p>
    <w:p>
      <w:pPr>
        <w:pStyle w:val="Heading3"/>
        <w:keepNext/>
        <w:bidi/>
        <w:spacing w:after="160" w:before="300"/>
        <w:jc w:val="left"/>
      </w:pPr>
      <w:r>
        <w:rPr>
          <w:rFonts w:ascii="B Titr" w:cs="B Titr" w:eastAsia="B Titr" w:hAnsi="B Titr"/>
          <w:b w:val="false"/>
          <w:bCs w:val="false"/>
          <w:color w:val="000000"/>
          <w:sz w:val="26"/>
          <w:szCs w:val="26"/>
          <w:rtl/>
        </w:rPr>
        <w:t xml:space="preserve">۱.۶.۳ نگاشت خروجی‌ها به مبناها</w:t>
      </w:r>
    </w:p>
    <w:p>
      <w:pPr>
        <w:bidi/>
        <w:spacing w:after="160" w:line="312"/>
        <w:jc w:val="left"/>
      </w:pPr>
      <w:r>
        <w:rPr>
          <w:rFonts w:ascii="Cambria" w:cs="B Nazanin" w:eastAsia="B Nazanin" w:hAnsi="Cambria"/>
          <w:color w:val="000000"/>
          <w:sz w:val="22"/>
          <w:szCs w:val="26"/>
          <w:rtl/>
        </w:rPr>
        <w:t xml:space="preserve">جدول ۱-۹ نشان می‌دهد هر گروه از خروجی‌های گزارش بر کدام مبنا استوار است. ارقام مبنای الف-۱ با ارقام مبنای الف </w:t>
      </w:r>
      <w:r>
        <w:rPr>
          <w:rFonts w:ascii="Cambria" w:cs="B Nazanin" w:eastAsia="B Nazanin" w:hAnsi="Cambria"/>
          <w:b/>
          <w:bCs/>
          <w:color w:val="000000"/>
          <w:sz w:val="22"/>
          <w:szCs w:val="26"/>
          <w:rtl/>
        </w:rPr>
        <w:t xml:space="preserve">جمع‌پذیر نیستند</w:t>
      </w:r>
      <w:r>
        <w:rPr>
          <w:rFonts w:ascii="Cambria" w:cs="B Nazanin" w:eastAsia="B Nazanin" w:hAnsi="Cambria"/>
          <w:color w:val="000000"/>
          <w:sz w:val="22"/>
          <w:szCs w:val="26"/>
          <w:rtl/>
        </w:rPr>
        <w:t xml:space="preserve"> و سهم‌های آن‌ها با یکدیگر قابل جابه‌جایی نیست. برای نمونه، نسبت مطالبات غیرجاری در بخش دارای اطلاعات قرارداد ۵.۲۱ درصد و در کل پرتفوی ۸.۷۶ درصد است؛ این تفاوت از اختلاف دو مبنا ناشی می‌شود و در بخش ۶.۳ به‌عنوان یکی از یافته‌های اصلی تحلیل شده است.</w:t>
      </w:r>
    </w:p>
    <w:p>
      <w:pPr>
        <w:keepNext/>
        <w:bidi/>
        <w:spacing w:after="100" w:before="200"/>
        <w:jc w:val="left"/>
      </w:pPr>
      <w:r>
        <w:rPr>
          <w:rFonts w:ascii="B Nazanin" w:cs="B Nazanin" w:eastAsia="B Nazanin" w:hAnsi="B Nazanin"/>
          <w:b/>
          <w:bCs/>
          <w:color w:val="000000"/>
          <w:sz w:val="22"/>
          <w:szCs w:val="22"/>
          <w:rtl/>
        </w:rPr>
        <w:t xml:space="preserve">جدول ۱-۹: نگاشت خروجی‌ها به مبنای محاسبه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4675"/>
      </w:tblGrid>
      <w:tr>
        <w:trPr>
          <w:cantSplit/>
          <w:tblHeader/>
        </w:trPr>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مبنا</w:t>
            </w:r>
          </w:p>
        </w:tc>
        <w:tc>
          <w:tcPr>
            <w:tcW w:type="dxa" w:w="4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خروجی‌های متکی بر آن</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الف</w:t>
            </w:r>
            <w:r>
              <w:rPr>
                <w:rFonts w:ascii="B Nazanin" w:cs="B Nazanin" w:eastAsia="B Nazanin" w:hAnsi="B Nazanin"/>
                <w:b w:val="false"/>
                <w:bCs w:val="false"/>
                <w:color w:val="000000"/>
                <w:sz w:val="22"/>
                <w:szCs w:val="22"/>
                <w:rtl/>
              </w:rPr>
              <w:t xml:space="preserve"> (کل ۱۲۸.۲)</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روند طبقه‌بندی مطالبات، تحلیل چندضامنی، نسبت تسهیلات به سپرده، رشد سالانه، اعتبارات اسنادی، تفکیک بخش اقتصادی، توزیع نوع تسهیلات، روند پوشش قرارداد</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الف-۱</w:t>
            </w:r>
            <w:r>
              <w:rPr>
                <w:rFonts w:ascii="B Nazanin" w:cs="B Nazanin" w:eastAsia="B Nazanin" w:hAnsi="B Nazanin"/>
                <w:b w:val="false"/>
                <w:bCs w:val="false"/>
                <w:color w:val="000000"/>
                <w:sz w:val="22"/>
                <w:szCs w:val="22"/>
                <w:rtl/>
              </w:rPr>
              <w:t xml:space="preserve"> (دارای اطلاعات قرارداد ۹۹.۵)</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مطالبات غیرجاری به تفکیک اندازه‌ی وام و اندازه‌ی شعبه، تحلیل نسل اعطا، توزیع استانی، رتبه‌بندی شعب، تمرکز تک‌نامی، پروفایل سررسید، پوشش وثیقه، نرخ سود مؤثر تسهیلات</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w:t>
            </w:r>
            <w:r>
              <w:rPr>
                <w:rFonts w:ascii="B Nazanin" w:cs="B Nazanin" w:eastAsia="B Nazanin" w:hAnsi="B Nazanin"/>
                <w:b w:val="false"/>
                <w:bCs w:val="false"/>
                <w:color w:val="000000"/>
                <w:sz w:val="22"/>
                <w:szCs w:val="22"/>
                <w:rtl/>
              </w:rPr>
              <w:t xml:space="preserve"> (سپرده ۸۴.۸)</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روند مانده، ترکیب پرتفوی، پلکان مانده، تمرکز و منحنی تمرکز، ماندگاری کوهورت، ریزش</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ث-۱</w:t>
            </w:r>
            <w:r>
              <w:rPr>
                <w:rFonts w:ascii="B Nazanin" w:cs="B Nazanin" w:eastAsia="B Nazanin" w:hAnsi="B Nazanin"/>
                <w:b w:val="false"/>
                <w:bCs w:val="false"/>
                <w:color w:val="000000"/>
                <w:sz w:val="22"/>
                <w:szCs w:val="22"/>
                <w:rtl/>
              </w:rPr>
              <w:t xml:space="preserve"> (حساب‌های دارای سود پرداختی)</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تحلیل حساسیت هزینه‌ی تأمین مالی (فصل ۸)</w:t>
            </w:r>
          </w:p>
        </w:tc>
      </w:tr>
      <w:tr>
        <w:trPr>
          <w:cantSplit/>
        </w:trPr>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ترکیبی</w:t>
            </w:r>
          </w:p>
        </w:tc>
        <w:tc>
          <w:tcPr>
            <w:tcW w:type="dxa" w:w="4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فروش متقاطع، برآورد سود و زیان</w:t>
            </w:r>
          </w:p>
        </w:tc>
      </w:tr>
    </w:tbl>
    <w:p>
      <w:pPr>
        <w:spacing w:after="200"/>
      </w:pPr>
    </w:p>
    <w:p>
      <w:pPr>
        <w:pBdr>
          <w:bottom w:val="single" w:color="BBBBBB" w:sz="6"/>
        </w:pBdr>
        <w:spacing w:after="100" w:before="100"/>
      </w:pPr>
    </w:p>
    <w:p>
      <w:pPr>
        <w:pStyle w:val="Heading2"/>
        <w:keepNext/>
        <w:bidi/>
        <w:spacing w:after="160" w:before="300"/>
        <w:jc w:val="left"/>
      </w:pPr>
      <w:bookmarkStart w:name="_Toc13" w:id="13"/>
      <w:r>
        <w:rPr>
          <w:rFonts w:ascii="B Titr" w:cs="B Titr" w:eastAsia="B Titr" w:hAnsi="B Titr"/>
          <w:b w:val="false"/>
          <w:bCs w:val="false"/>
          <w:color w:val="000000"/>
          <w:sz w:val="26"/>
          <w:szCs w:val="26"/>
          <w:rtl/>
        </w:rPr>
        <w:t xml:space="preserve">۱.۷ قراردادهای نمایش و واحدها</w:t>
      </w:r>
      <w:bookmarkEnd w:id="13"/>
    </w:p>
    <w:p>
      <w:pPr>
        <w:keepNext/>
        <w:bidi/>
        <w:spacing w:after="100" w:before="200"/>
        <w:jc w:val="left"/>
      </w:pPr>
      <w:r>
        <w:rPr>
          <w:rFonts w:ascii="B Nazanin" w:cs="B Nazanin" w:eastAsia="B Nazanin" w:hAnsi="B Nazanin"/>
          <w:b/>
          <w:bCs/>
          <w:color w:val="000000"/>
          <w:sz w:val="22"/>
          <w:szCs w:val="22"/>
          <w:rtl/>
        </w:rPr>
        <w:t xml:space="preserve">جدول ۱-۱۰: قراردادهای نمایش در سراسر گزارش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128"/>
        <w:gridCol w:w="5222"/>
      </w:tblGrid>
      <w:tr>
        <w:trPr>
          <w:cantSplit/>
          <w:tblHeader/>
        </w:trPr>
        <w:tc>
          <w:tcPr>
            <w:tcW w:type="dxa" w:w="412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موضوع</w:t>
            </w:r>
          </w:p>
        </w:tc>
        <w:tc>
          <w:tcPr>
            <w:tcW w:type="dxa" w:w="5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قاعده</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واحد اصلی</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هزار میلیارد تومان (همت)، در تمام متن و نمودارها</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تبدیل ریال به تومان</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هر ۱۰ ریال برابر ۱ تومان است؛ هزار میلیارد ریال تقسیم بر ۱۰ می‌شود هزار میلیارد تومان. ۱ همت = ۱,۰۰۰ میلیارد تومان = ۱۰,۰۰۰ میلیارد ریال</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تقویم</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شمسی؛ مقاطع به‌صورت ماه/سال (مثلاً ۰۱/۱۴۰۰) و بازه‌ها به‌صورت سال شمسی</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«آخرین ماه»</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در تمام موارد به معنای ۱۲/۱۴۰۴</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گردکردن</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مبالغ کلان معمولاً با یک رقم اعشار و نسبت‌ها با یک یا دو رقم اعشار (در جدول‌های مطالبات غیرجاری، یک رقم)؛ جمع ردیف‌ها ممکن است به‌دلیل گردکردن تا ۰.۱ با رقم جمع تفاوت داشته باشد؛ در جدول تطبیق رقم کامل</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شماره‌گذاری</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جدول‌ها و نمودارها در هر فصل به‌صورت مستقل شماره‌گذاری شده‌اند؛ نمودار ۲-۱ یعنی نخستین نمودار فصل ۲</w:t>
            </w:r>
          </w:p>
        </w:tc>
      </w:tr>
      <w:tr>
        <w:trPr>
          <w:cantSplit/>
        </w:trPr>
        <w:tc>
          <w:tcPr>
            <w:tcW w:type="dxa" w:w="412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محرمانگی</w:t>
            </w:r>
          </w:p>
        </w:tc>
        <w:tc>
          <w:tcPr>
            <w:tcW w:type="dxa" w:w="5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شناسه‌ی مشتریان در متن گزارش درج نمی‌شود و شعب فقط با کد معرفی می‌شوند</w:t>
            </w:r>
          </w:p>
        </w:tc>
      </w:tr>
    </w:tbl>
    <w:p>
      <w:pPr>
        <w:spacing w:after="200"/>
      </w:pPr>
    </w:p>
    <w:p>
      <w:pPr>
        <w:bidi/>
        <w:spacing w:after="160" w:line="312"/>
        <w:jc w:val="left"/>
      </w:pPr>
      <w:r>
        <w:rPr>
          <w:rFonts w:ascii="Cambria" w:cs="B Nazanin" w:eastAsia="B Nazanin" w:hAnsi="Cambria"/>
          <w:color w:val="000000"/>
          <w:sz w:val="22"/>
          <w:szCs w:val="26"/>
          <w:rtl/>
        </w:rPr>
        <w:t xml:space="preserve">برای نمونه، مانده‌ی کل تسهیلات در ۱۲/۱۴۰۴ برابر ۱,۲۸۱.۶ هزار میلیارد ریال است که پس از تقسیم بر ۱۰ به </w:t>
      </w:r>
      <w:r>
        <w:rPr>
          <w:rFonts w:ascii="Cambria" w:cs="B Nazanin" w:eastAsia="B Nazanin" w:hAnsi="Cambria"/>
          <w:b/>
          <w:bCs/>
          <w:color w:val="000000"/>
          <w:sz w:val="22"/>
          <w:szCs w:val="26"/>
          <w:rtl/>
        </w:rPr>
        <w:t xml:space="preserve">۱۲۸.۲ هزار میلیارد تومان</w:t>
      </w:r>
      <w:r>
        <w:rPr>
          <w:rFonts w:ascii="Cambria" w:cs="B Nazanin" w:eastAsia="B Nazanin" w:hAnsi="Cambria"/>
          <w:color w:val="000000"/>
          <w:sz w:val="22"/>
          <w:szCs w:val="26"/>
          <w:rtl/>
        </w:rPr>
        <w:t xml:space="preserve"> (۱۲۸.۲ همت) تبدیل می‌شود.</w:t>
      </w:r>
    </w:p>
    <w:p>
      <w:pPr>
        <w:pStyle w:val="Heading2"/>
        <w:keepNext/>
        <w:bidi/>
        <w:spacing w:after="160" w:before="300"/>
        <w:jc w:val="left"/>
      </w:pPr>
      <w:bookmarkStart w:name="_Toc14" w:id="14"/>
      <w:r>
        <w:rPr>
          <w:rFonts w:ascii="B Titr" w:cs="B Titr" w:eastAsia="B Titr" w:hAnsi="B Titr"/>
          <w:b w:val="false"/>
          <w:bCs w:val="false"/>
          <w:color w:val="000000"/>
          <w:sz w:val="26"/>
          <w:szCs w:val="26"/>
          <w:rtl/>
        </w:rPr>
        <w:t xml:space="preserve">۱.۸ واژه‌نامه</w:t>
      </w:r>
      <w:bookmarkEnd w:id="14"/>
    </w:p>
    <w:p>
      <w:pPr>
        <w:keepNext/>
        <w:bidi/>
        <w:spacing w:after="100" w:before="200"/>
        <w:jc w:val="left"/>
      </w:pPr>
      <w:r>
        <w:rPr>
          <w:rFonts w:ascii="B Nazanin" w:cs="B Nazanin" w:eastAsia="B Nazanin" w:hAnsi="B Nazanin"/>
          <w:b/>
          <w:bCs/>
          <w:color w:val="000000"/>
          <w:sz w:val="22"/>
          <w:szCs w:val="22"/>
          <w:rtl/>
        </w:rPr>
        <w:t xml:space="preserve">جدول ۱-۱۱: اصطلاحات پرکاربرد گزارش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262"/>
        <w:gridCol w:w="5088"/>
      </w:tblGrid>
      <w:tr>
        <w:trPr>
          <w:cantSplit/>
          <w:tblHeader/>
        </w:trPr>
        <w:tc>
          <w:tcPr>
            <w:tcW w:type="dxa" w:w="42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اصطلاح</w:t>
            </w:r>
          </w:p>
        </w:tc>
        <w:tc>
          <w:tcPr>
            <w:tcW w:type="dxa" w:w="50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معنا در این گزارش</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RFM</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 معیار تازگی (آخرین تراکنش)، تکرار (تعداد ماه‌های فعال) و ارزش پولی (مانده)؛ معیار قدمت در طراحی نمونه به آن‌ها افزوده شده است</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تحلیلی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مشتریانی که بانک از پایگاه عملیاتی استخراج کرده است (بخش ۱.۲.۳)</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پوشش</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سهم مبلغ یا تعداد نمونه از کل بانک (فصل ۲)</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گیرنده‌ی اصلی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 ثبت‌شده به‌عنوان گیرنده‌ی رسمی قرارداد تسهیلات؛ ضامن و شریک جدا هستند</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طرف قرارداد</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وام‌گیرنده، ضامن یا شریک یک قرارداد</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مبنای الف، الف-۱ و ...</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کدهای جدول تطبیق (بخش ۱.۶): کل پرتفوی، پرتفوی دارای رکورد قرارداد و غیره</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مطالبات غیرجاری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مجموع مانده‌ی طبقات سررسیدگذشته، معوق و مشکوک‌الوصول</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کوهورت</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گروه مشتریانی که نخستین حساب سپرده‌ی آن‌ها در یک سال افتتاح شده است</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پلکان مانده</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توزیع مشتریان در بازه‌های مطلق مانده</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ریزش</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 با میانگین مانده‌ی صفر در سال بعد (فصل ۳)</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نرخ قراردادی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مجموع نرخ سود مصوب و نرخ ترجیحی قرارداد</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بازده دریافتی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سود و جریمه‌ی نقداً دریافت‌شده نسبت به میانگین مانده (فصل ۸)</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حاشیه‌ی ناخالص مالی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تفاوت بازده تسهیلات و نرخ هزینه‌ی تأمین مالی؛ سود خالص نیست</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واحدهای غیرجغرافیایی</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ستاد، شعب مستقل و واحدهای تخصصی که به استان خاصی منسوب نیستند (فصل ۷)</w:t>
            </w:r>
          </w:p>
        </w:tc>
      </w:tr>
      <w:tr>
        <w:trPr>
          <w:cantSplit/>
        </w:trPr>
        <w:tc>
          <w:tcPr>
            <w:tcW w:type="dxa" w:w="42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همت</w:t>
            </w:r>
          </w:p>
        </w:tc>
        <w:tc>
          <w:tcPr>
            <w:tcW w:type="dxa" w:w="50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هزار میلیارد تومان</w:t>
            </w:r>
          </w:p>
        </w:tc>
      </w:tr>
    </w:tbl>
    <w:p>
      <w:pPr>
        <w:spacing w:after="200"/>
      </w:pPr>
    </w:p>
    <w:p>
      <w:pPr>
        <w:pBdr>
          <w:bottom w:val="single" w:color="BBBBBB" w:sz="6"/>
        </w:pBdr>
        <w:spacing w:after="100" w:before="100"/>
      </w:pPr>
    </w:p>
    <w:p>
      <w:pPr>
        <w:pStyle w:val="Heading1"/>
        <w:keepNext/>
        <w:pageBreakBefore/>
        <w:bidi/>
        <w:spacing w:after="160" w:before="0"/>
        <w:jc w:val="left"/>
      </w:pPr>
      <w:bookmarkStart w:name="_Toc15" w:id="15"/>
      <w:r>
        <w:rPr>
          <w:rFonts w:ascii="B Titr" w:cs="B Titr" w:eastAsia="B Titr" w:hAnsi="B Titr"/>
          <w:b w:val="false"/>
          <w:bCs w:val="false"/>
          <w:color w:val="1F4E79"/>
          <w:sz w:val="30"/>
          <w:szCs w:val="30"/>
          <w:rtl/>
        </w:rPr>
        <w:t xml:space="preserve">فصل ۲: داده‌های در دسترس و پوشش نمونه</w:t>
      </w:r>
      <w:bookmarkEnd w:id="15"/>
    </w:p>
    <w:p>
      <w:pPr>
        <w:pStyle w:val="Heading2"/>
        <w:keepNext/>
        <w:bidi/>
        <w:spacing w:after="160" w:before="300"/>
        <w:jc w:val="left"/>
      </w:pPr>
      <w:bookmarkStart w:name="_Toc16" w:id="16"/>
      <w:r>
        <w:rPr>
          <w:rFonts w:ascii="B Titr" w:cs="B Titr" w:eastAsia="B Titr" w:hAnsi="B Titr"/>
          <w:b w:val="false"/>
          <w:bCs w:val="false"/>
          <w:color w:val="000000"/>
          <w:sz w:val="26"/>
          <w:szCs w:val="26"/>
          <w:rtl/>
        </w:rPr>
        <w:t xml:space="preserve">۲.۱ هدف فصل</w:t>
      </w:r>
      <w:bookmarkEnd w:id="16"/>
    </w:p>
    <w:p>
      <w:pPr>
        <w:bidi/>
        <w:spacing w:after="160" w:line="312"/>
        <w:jc w:val="left"/>
      </w:pPr>
      <w:r>
        <w:rPr>
          <w:rFonts w:ascii="Cambria" w:cs="B Nazanin" w:eastAsia="B Nazanin" w:hAnsi="Cambria"/>
          <w:color w:val="000000"/>
          <w:sz w:val="22"/>
          <w:szCs w:val="26"/>
          <w:rtl/>
        </w:rPr>
        <w:t xml:space="preserve">این فصل تصویری از داده‌هایی ارائه می‌کند که تحلیل‌های گزارش بر آن‌ها متکی‌اند و نشان می‌دهد نمونه‌ی تحلیلی تا چه اندازه بانک را نمایندگی می‌کند. ابتدا منابع داده و بازه‌ی زمانی معرفی می‌شوند (۲.۲ و ۲.۳)، سپس پوشش نمونه نسبت به کل بانک بر اساس تعداد، مبلغ، اندازه‌ی مشتری و روند زمانی سنجیده می‌شود (۲.۴). بخش‌های پایانی فصل مسیر تکمیل تحلیل‌ها در فاز بعد (۲.۵) و حدود تعمیم شاخص‌های گزارش (۲.۶) را بیان می‌کنند.</w:t>
      </w:r>
    </w:p>
    <w:p>
      <w:pPr>
        <w:bidi/>
        <w:spacing w:after="160" w:line="312"/>
        <w:jc w:val="left"/>
      </w:pPr>
      <w:r>
        <w:rPr>
          <w:rFonts w:ascii="Cambria" w:cs="B Nazanin" w:eastAsia="B Nazanin" w:hAnsi="Cambria"/>
          <w:color w:val="000000"/>
          <w:sz w:val="22"/>
          <w:szCs w:val="26"/>
          <w:rtl/>
        </w:rPr>
        <w:t xml:space="preserve">نتیجه‌ی کلی این فصل آن است که نمونه، با وجود سهم تعدادی اندک، بخش بزرگی از مبالغ بانک را در بر می‌گیرد و روند و نسبت‌های کلیدی آن، مانند نسبت مطالبات غیرجاری، با آمار رسمی بانک هم‌خوانی بالایی دارد.</w:t>
      </w:r>
    </w:p>
    <w:p>
      <w:pPr>
        <w:pBdr>
          <w:bottom w:val="single" w:color="BBBBBB" w:sz="6"/>
        </w:pBdr>
        <w:spacing w:after="100" w:before="100"/>
      </w:pPr>
    </w:p>
    <w:p>
      <w:pPr>
        <w:pStyle w:val="Heading2"/>
        <w:keepNext/>
        <w:bidi/>
        <w:spacing w:after="160" w:before="300"/>
        <w:jc w:val="left"/>
      </w:pPr>
      <w:bookmarkStart w:name="_Toc17" w:id="17"/>
      <w:r>
        <w:rPr>
          <w:rFonts w:ascii="B Titr" w:cs="B Titr" w:eastAsia="B Titr" w:hAnsi="B Titr"/>
          <w:b w:val="false"/>
          <w:bCs w:val="false"/>
          <w:color w:val="000000"/>
          <w:sz w:val="26"/>
          <w:szCs w:val="26"/>
          <w:rtl/>
        </w:rPr>
        <w:t xml:space="preserve">۲.۲ منابع داده</w:t>
      </w:r>
      <w:bookmarkEnd w:id="17"/>
    </w:p>
    <w:p>
      <w:pPr>
        <w:bidi/>
        <w:spacing w:after="160" w:line="312"/>
        <w:jc w:val="left"/>
      </w:pPr>
      <w:r>
        <w:rPr>
          <w:rFonts w:ascii="Cambria" w:cs="B Nazanin" w:eastAsia="B Nazanin" w:hAnsi="Cambria"/>
          <w:color w:val="000000"/>
          <w:sz w:val="22"/>
          <w:szCs w:val="26"/>
          <w:rtl/>
        </w:rPr>
        <w:t xml:space="preserve">تحلیل‌های فاز ۱ بر سه گروه داده متکی‌اند.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پایگاه‌داده‌ی عملیاتی</w:t>
      </w:r>
      <w:r>
        <w:rPr>
          <w:rFonts w:ascii="Cambria" w:cs="B Nazanin" w:eastAsia="B Nazanin" w:hAnsi="Cambria"/>
          <w:color w:val="000000"/>
          <w:sz w:val="22"/>
          <w:szCs w:val="26"/>
          <w:rtl/>
        </w:rPr>
        <w:t xml:space="preserve"> </w:t>
      </w:r>
      <w:r>
        <w:rPr>
          <w:rFonts w:ascii="Cambria" w:cs="B Nazanin" w:eastAsia="B Nazanin" w:hAnsi="Cambria"/>
          <w:b w:val="false"/>
          <w:bCs w:val="false"/>
          <w:color w:val="000000"/>
          <w:sz w:val="22"/>
          <w:szCs w:val="26"/>
        </w:rPr>
        <w:t xml:space="preserve">Alzahra_Final_DB</w:t>
      </w:r>
      <w:r>
        <w:rPr>
          <w:rFonts w:ascii="Cambria" w:cs="B Nazanin" w:eastAsia="B Nazanin" w:hAnsi="Cambria"/>
          <w:color w:val="000000"/>
          <w:sz w:val="22"/>
          <w:szCs w:val="26"/>
          <w:rtl/>
        </w:rPr>
        <w:t xml:space="preserve"> که بانک توسعه تعاون بر اساس طراحی نمونه‌گیری (بخش ۱.۲) در اختیار تیم قرار داده است. این پایگاه چهارده جدول و بیش از ۲۵۰ میلیون رکورد دارد و سپرده، تسهیلات، قرارداد، شعبه و مشتری را در بر می‌گیرد.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آمار ماهانه‌ی رسمی بانک</w:t>
      </w:r>
      <w:r>
        <w:rPr>
          <w:rFonts w:ascii="Cambria" w:cs="B Nazanin" w:eastAsia="B Nazanin" w:hAnsi="Cambria"/>
          <w:color w:val="000000"/>
          <w:sz w:val="22"/>
          <w:szCs w:val="26"/>
          <w:rtl/>
        </w:rPr>
        <w:t xml:space="preserve"> در سطح استان و شعبه برای ۶۰ ماه از ۰۱/۱۴۰۰ تا ۱۲/۱۴۰۴. این آمار شامل منابع و مصارف، سپرده‌ها به تفکیک نوع، تسهیلات به تفکیک طبقه‌بندی، مطالبات غیرجاری و اعتبارات اسنادی است و مرجع مقایسه‌ی ارقام نمونه با کل بانک قرار گرفته است. شعب در این گزارش فقط با کد معرفی می‌شوند.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فایل توزیع مشتریان بانک</w:t>
      </w:r>
      <w:r>
        <w:rPr>
          <w:rFonts w:ascii="Cambria" w:cs="B Nazanin" w:eastAsia="B Nazanin" w:hAnsi="Cambria"/>
          <w:color w:val="000000"/>
          <w:sz w:val="22"/>
          <w:szCs w:val="26"/>
          <w:rtl/>
        </w:rPr>
        <w:t xml:space="preserve"> (مقطع ۰۹/۱۴۰۴) که تعداد مشتریان بانک را بر حسب قدمت، تعداد تراکنش و طبقات مانده‌ی سپرده و تسهیلات به تفکیک حقیقی و حقوقی نشان می‌دهد و مبنای مقایسه‌ی ترکیب مشتریان نمونه با کل بانک است.</w:t>
      </w:r>
    </w:p>
    <w:p>
      <w:pPr>
        <w:bidi/>
        <w:spacing w:after="160" w:line="312"/>
        <w:jc w:val="left"/>
      </w:pPr>
      <w:r>
        <w:rPr>
          <w:rFonts w:ascii="Cambria" w:cs="B Nazanin" w:eastAsia="B Nazanin" w:hAnsi="Cambria"/>
          <w:color w:val="000000"/>
          <w:sz w:val="22"/>
          <w:szCs w:val="26"/>
          <w:rtl/>
        </w:rPr>
        <w:t xml:space="preserve">جدول ۲-۱ جداول پایگاه‌داده را بر حسب حوزه‌ی کاربرد معرفی می‌کند. ستون «موجودیت یکتا» تعداد حساب، قرارداد یا مشتری یکتای هر جدول را نشان می‌دهد.</w:t>
      </w:r>
    </w:p>
    <w:p>
      <w:pPr>
        <w:keepNext/>
        <w:bidi/>
        <w:spacing w:after="100" w:before="200"/>
        <w:jc w:val="left"/>
      </w:pPr>
      <w:r>
        <w:rPr>
          <w:rFonts w:ascii="B Nazanin" w:cs="B Nazanin" w:eastAsia="B Nazanin" w:hAnsi="B Nazanin"/>
          <w:b/>
          <w:bCs/>
          <w:color w:val="000000"/>
          <w:sz w:val="22"/>
          <w:szCs w:val="22"/>
          <w:rtl/>
        </w:rPr>
        <w:t xml:space="preserve">جدول ۲-۱: جداول پایگاه‌داده و محتوای آن‌ها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30"/>
        <w:gridCol w:w="2249"/>
        <w:gridCol w:w="2249"/>
        <w:gridCol w:w="1702"/>
        <w:gridCol w:w="1920"/>
      </w:tblGrid>
      <w:tr>
        <w:trPr>
          <w:cantSplit/>
          <w:tblHeader/>
        </w:trPr>
        <w:tc>
          <w:tcPr>
            <w:tcW w:type="dxa" w:w="12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حوزه</w:t>
            </w:r>
          </w:p>
        </w:tc>
        <w:tc>
          <w:tcPr>
            <w:tcW w:type="dxa" w:w="22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جدول</w:t>
            </w:r>
          </w:p>
        </w:tc>
        <w:tc>
          <w:tcPr>
            <w:tcW w:type="dxa" w:w="22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محتوا</w:t>
            </w:r>
          </w:p>
        </w:tc>
        <w:tc>
          <w:tcPr>
            <w:tcW w:type="dxa" w:w="17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رکورد</w:t>
            </w:r>
          </w:p>
        </w:tc>
        <w:tc>
          <w:tcPr>
            <w:tcW w:type="dxa" w:w="192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موجودیت یکتا</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Deposit_Monthly_Activity</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گردش و میانگین مانده‌ی ماهانه‌ی حساب‌ها</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۱۱۳,۳۹۶,۲۰۲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۲,۰۹۰,۲۶۱ حساب</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Deposit_Accoutnt_Info</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مشخصات حساب‌ها: نوع، تاریخ افتتاح، وضعیت</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۱,۵۲۲,۹۷۱</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۱,۲۶۸,۲۶۶ حساب</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DepositIDInterest</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سود پرداختی ماهانه‌ی حساب‌ها</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۱۹,۵۲۰,۵۹۸</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۴۷۵,۲۳۰ حساب</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Deposit_Customer</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فهرست شناسه‌ی سپرده‌گذاران</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۳۷۰,۹۵۲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۳۵۱,۶۶۳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Loan_Remain</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ماهانه و طبقه‌بندی مطالبات به تفکیک قرارداد</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۷۰,۶۳۵,۹۱۲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۱,۳۲۲,۳۰۳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Loan_Contract_Info</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مشخصات قرارداد: نوع، مبلغ، نرخ، مدت، وثیقه</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۷۸۰,۷۹۰</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۶۸۴,۳۲۸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Loan_Monthly_Activity</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دفتر اقساط: سررسید، پرداخت و تأخیر</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۱۷,۰۲۴,۷۹۲</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۶۶۷,۰۷۸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LoanFileID_Brnach</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نگاشت قرارداد به شعبه</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۷۸۰,۷۹۰</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۶۸۴,۳۲۸ قرارداد</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Loan_Grant_Customer</w:t>
            </w:r>
            <w:r>
              <w:rPr>
                <w:rFonts w:ascii="B Nazanin" w:cs="B Nazanin" w:eastAsia="B Nazanin" w:hAnsi="B Nazanin"/>
                <w:b w:val="false"/>
                <w:bCs w:val="false"/>
                <w:color w:val="000000"/>
                <w:sz w:val="22"/>
                <w:szCs w:val="22"/>
                <w:rtl/>
              </w:rPr>
              <w:t xml:space="preserve">، </w:t>
            </w:r>
            <w:r>
              <w:rPr>
                <w:rFonts w:ascii="Cambria" w:cs="B Nazanin" w:eastAsia="B Nazanin" w:hAnsi="Cambria"/>
                <w:b w:val="false"/>
                <w:bCs w:val="false"/>
                <w:color w:val="000000"/>
                <w:sz w:val="22"/>
                <w:szCs w:val="22"/>
              </w:rPr>
              <w:t xml:space="preserve">Loan_Remain_Customer</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فهرست شناسه‌ی گیرندگان تسهیلات</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۲۷۲,۵۵۰ و ۲۹۷,۰۶۴</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۲۴۹,۷۰۸ و ۲۷۳,۱۴۸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Customer_Monthly_Activity</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خلاصه‌ی ماهانه‌ی گردش و کارمزد مشتری</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۳۳,۲۰۸,۶۶۶</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۳۲۸,۷۸۹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مشتری</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Customer_Profile</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مشخصات مشتری</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۷۱۸,۱۳۶</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۷۰۶,۶۱۴ مشتری</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شبکه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Interset_branch_sum</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خلاصه‌ی ماهانه‌ی سود به تفکیک شعبه (مرجع بانک)</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۲۵,۹۲۴</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۴۵۰ شعبه</w:t>
            </w:r>
          </w:p>
        </w:tc>
      </w:tr>
      <w:tr>
        <w:trPr>
          <w:cantSplit/>
        </w:trPr>
        <w:tc>
          <w:tcPr>
            <w:tcW w:type="dxa" w:w="12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شبکه</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Cambria" w:cs="B Nazanin" w:eastAsia="B Nazanin" w:hAnsi="Cambria"/>
                <w:b w:val="false"/>
                <w:bCs w:val="false"/>
                <w:color w:val="000000"/>
                <w:sz w:val="22"/>
                <w:szCs w:val="22"/>
              </w:rPr>
              <w:t xml:space="preserve">Base_Branch</w:t>
            </w:r>
          </w:p>
        </w:tc>
        <w:tc>
          <w:tcPr>
            <w:tcW w:type="dxa" w:w="2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فهرست شعب</w:t>
            </w:r>
          </w:p>
        </w:tc>
        <w:tc>
          <w:tcPr>
            <w:tcW w:type="dxa" w:w="17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۵۰۶</w:t>
            </w:r>
          </w:p>
        </w:tc>
        <w:tc>
          <w:tcPr>
            <w:tcW w:type="dxa" w:w="19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۵۰۶ کد شعبه</w:t>
            </w:r>
          </w:p>
        </w:tc>
      </w:tr>
    </w:tbl>
    <w:p>
      <w:pPr>
        <w:spacing w:after="200"/>
      </w:pPr>
    </w:p>
    <w:p>
      <w:pPr>
        <w:bidi/>
        <w:spacing w:after="160" w:line="312"/>
        <w:jc w:val="left"/>
      </w:pPr>
      <w:r>
        <w:rPr>
          <w:rFonts w:ascii="Cambria" w:cs="B Nazanin" w:eastAsia="B Nazanin" w:hAnsi="Cambria"/>
          <w:color w:val="000000"/>
          <w:sz w:val="22"/>
          <w:szCs w:val="26"/>
          <w:rtl/>
        </w:rPr>
        <w:t xml:space="preserve">سه جدول فعالیت ماهانه‌ی سپرده، مانده‌ی تسهیلات و خلاصه‌ی ماهانه‌ی مشتری حدود ۸۴ درصد حجم داده را تشکیل می‌دهند و تحلیل‌های سری زمانی بر آن‌ها استوارند. نام جدول‌ها عیناً مطابق پایگاه‌داده‌ی بانک نوشته شده است.</w:t>
      </w:r>
    </w:p>
    <w:p>
      <w:pPr>
        <w:pBdr>
          <w:bottom w:val="single" w:color="BBBBBB" w:sz="6"/>
        </w:pBdr>
        <w:spacing w:after="100" w:before="100"/>
      </w:pPr>
    </w:p>
    <w:p>
      <w:pPr>
        <w:pStyle w:val="Heading2"/>
        <w:keepNext/>
        <w:bidi/>
        <w:spacing w:after="160" w:before="300"/>
        <w:jc w:val="left"/>
      </w:pPr>
      <w:bookmarkStart w:name="_Toc18" w:id="18"/>
      <w:r>
        <w:rPr>
          <w:rFonts w:ascii="B Titr" w:cs="B Titr" w:eastAsia="B Titr" w:hAnsi="B Titr"/>
          <w:b w:val="false"/>
          <w:bCs w:val="false"/>
          <w:color w:val="000000"/>
          <w:sz w:val="26"/>
          <w:szCs w:val="26"/>
          <w:rtl/>
        </w:rPr>
        <w:t xml:space="preserve">۲.۳ بازه‌ی زمانی تحلیل</w:t>
      </w:r>
      <w:bookmarkEnd w:id="18"/>
    </w:p>
    <w:p>
      <w:pPr>
        <w:bidi/>
        <w:spacing w:after="160" w:line="312"/>
        <w:jc w:val="left"/>
      </w:pPr>
      <w:r>
        <w:rPr>
          <w:rFonts w:ascii="Cambria" w:cs="B Nazanin" w:eastAsia="B Nazanin" w:hAnsi="Cambria"/>
          <w:color w:val="000000"/>
          <w:sz w:val="22"/>
          <w:szCs w:val="26"/>
          <w:rtl/>
        </w:rPr>
        <w:t xml:space="preserve">بازه‌ی توافق‌شده‌ی پروژه با بانک، پنج سال از ۰۱/۱۴۰۰ تا ۱۲/۱۴۰۴ (۶۰ ماه) است. نمودار ۲-۱ بازه‌ی پوشش هر منبع داده را نسبت به این بازه نشان می‌دهد. داده‌ی سپرده‌ی سال ۱۳۹۹ و داده‌ی اقساط تا ۰۳/۱۴۰۵ نیز در اختیار تیم قرار گرفته است که به‌عنوان داده‌ی تکمیلی برای تحلیل‌های بلندمدت‌تر در فازهای بعد قابل استفاده است.</w:t>
      </w:r>
    </w:p>
    <w:p>
      <w:pPr>
        <w:keepNext/>
        <w:spacing w:after="60" w:before="160"/>
        <w:jc w:val="center"/>
      </w:pPr>
      <w:r>
        <w:drawing>
          <wp:inline distT="0" distB="0" distL="0" distR="0">
            <wp:extent cx="5715000" cy="21145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145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۲-۱: بازه‌ی زمانی منابع داده نسبت به بازه‌ی توافق‌شده‌ی تحلیل</w:t>
      </w:r>
    </w:p>
    <w:p>
      <w:pPr>
        <w:bidi/>
        <w:spacing w:after="160" w:line="312"/>
        <w:jc w:val="left"/>
      </w:pPr>
      <w:r>
        <w:rPr>
          <w:rFonts w:ascii="Cambria" w:cs="B Nazanin" w:eastAsia="B Nazanin" w:hAnsi="Cambria"/>
          <w:color w:val="000000"/>
          <w:sz w:val="22"/>
          <w:szCs w:val="26"/>
          <w:rtl/>
        </w:rPr>
        <w:t xml:space="preserve">برای یکپارچگی بازه‌ی داده‌ها، تمام نسبت‌های بین‌حوزه‌ای، از جمله نسبت تسهیلات به سپرده، و تمام مقایسه‌ها در همین بازه‌ی مشترک ۶۰ ماهه محاسبه شده‌اند. تحلیل سودآوری (فصل ۸) نیز به همین بازه محدود است، زیرا جدول سود پرداختی سپرده از ۰۱/۱۴۰۰ آغاز می‌شود.</w:t>
      </w:r>
    </w:p>
    <w:p>
      <w:pPr>
        <w:bidi/>
        <w:spacing w:after="160" w:line="312"/>
        <w:jc w:val="left"/>
      </w:pPr>
      <w:r>
        <w:rPr>
          <w:rFonts w:ascii="Cambria" w:cs="B Nazanin" w:eastAsia="B Nazanin" w:hAnsi="Cambria"/>
          <w:color w:val="000000"/>
          <w:sz w:val="22"/>
          <w:szCs w:val="26"/>
          <w:rtl/>
        </w:rPr>
        <w:t xml:space="preserve">داده‌ی ماهانه‌ی نمونه برای تمام ماه‌های بازه موجود است. در آمار رسمی بانک، تفکیک انواع سپرده و مطالبات غیرجاری در دو ماه ۱۲/۱۴۰۰ و ۱۱/۱۴۰۱ ثبت نشده است؛ مجموع منابع و تسهیلات این دو ماه موجود است، اما مقایسه‌های پوشش منابع و مطالبات بر ۵۸ ماه دیگر مبتنی است. ثبت رکوردهای ریز تا ۰۳/۱۴۰۵ ادامه دارد و جداول خلاصه‌ی ماهانه بنا بر درخواست پروژه تا ۱۲/۱۴۰۴ تهیه شده‌اند؛ آخرین مقطع گزارش ۱۲/۱۴۰۴ است و هر جا عبارت «آخرین ماه» آمده، به همین مقطع اشاره دارد.</w:t>
      </w:r>
    </w:p>
    <w:p>
      <w:pPr>
        <w:pBdr>
          <w:bottom w:val="single" w:color="BBBBBB" w:sz="6"/>
        </w:pBdr>
        <w:spacing w:after="100" w:before="100"/>
      </w:pPr>
    </w:p>
    <w:p>
      <w:pPr>
        <w:pStyle w:val="Heading2"/>
        <w:keepNext/>
        <w:bidi/>
        <w:spacing w:after="160" w:before="300"/>
        <w:jc w:val="left"/>
      </w:pPr>
      <w:bookmarkStart w:name="_Toc19" w:id="19"/>
      <w:r>
        <w:rPr>
          <w:rFonts w:ascii="B Titr" w:cs="B Titr" w:eastAsia="B Titr" w:hAnsi="B Titr"/>
          <w:b w:val="false"/>
          <w:bCs w:val="false"/>
          <w:color w:val="000000"/>
          <w:sz w:val="26"/>
          <w:szCs w:val="26"/>
          <w:rtl/>
        </w:rPr>
        <w:t xml:space="preserve">۲.۴ پوشش نمونه نسبت به کل بانک</w:t>
      </w:r>
      <w:bookmarkEnd w:id="19"/>
    </w:p>
    <w:p>
      <w:pPr>
        <w:bidi/>
        <w:spacing w:after="160" w:line="312"/>
        <w:jc w:val="left"/>
      </w:pPr>
      <w:r>
        <w:rPr>
          <w:rFonts w:ascii="Cambria" w:cs="B Nazanin" w:eastAsia="B Nazanin" w:hAnsi="Cambria"/>
          <w:color w:val="000000"/>
          <w:sz w:val="22"/>
          <w:szCs w:val="26"/>
          <w:rtl/>
        </w:rPr>
        <w:t xml:space="preserve">اعتبار تحلیل‌های مبتنی بر نمونه به این بستگی دارد که نمونه چه سهمی از بانک را پوشش دهد و ساختار آن تا چه اندازه با ساختار بانک سازگار باشد. در این بخش نمونه از پنج زاویه با آمار رسمی بانک مقایسه می‌شود: تعداد مشتری و مبلغ، اندازه‌ی مشتری، قدمت مشتری، روند زمانی پوشش و روند مطالبات غیرجاری.</w:t>
      </w:r>
    </w:p>
    <w:p>
      <w:pPr>
        <w:pStyle w:val="Heading3"/>
        <w:keepNext/>
        <w:bidi/>
        <w:spacing w:after="160" w:before="300"/>
        <w:jc w:val="left"/>
      </w:pPr>
      <w:r>
        <w:rPr>
          <w:rFonts w:ascii="B Titr" w:cs="B Titr" w:eastAsia="B Titr" w:hAnsi="B Titr"/>
          <w:b w:val="false"/>
          <w:bCs w:val="false"/>
          <w:color w:val="000000"/>
          <w:sz w:val="26"/>
          <w:szCs w:val="26"/>
          <w:rtl/>
        </w:rPr>
        <w:t xml:space="preserve">۲.۴.۱ سهم تعدادی و سهم مبلغی</w:t>
      </w:r>
    </w:p>
    <w:p>
      <w:pPr>
        <w:bidi/>
        <w:spacing w:after="160" w:line="312"/>
        <w:jc w:val="left"/>
      </w:pPr>
      <w:r>
        <w:rPr>
          <w:rFonts w:ascii="Cambria" w:cs="B Nazanin" w:eastAsia="B Nazanin" w:hAnsi="Cambria"/>
          <w:color w:val="000000"/>
          <w:sz w:val="22"/>
          <w:szCs w:val="26"/>
          <w:rtl/>
        </w:rPr>
        <w:t xml:space="preserve">نمودار ۲-۲ نشان می‌دهد نمونه‌ی تحلیلی ۹.۵ درصد از مشتریان سپرده‌گذار (۷۰۶,۵۰۹ از ۷,۴۰۴,۲۴۰) و ۱۵.۸ درصد از گیرندگان تسهیلات بانک (۲۴۹,۷۰۸ از ۱,۵۸۳,۱۶۸) را در بر می‌گیرد، اما ۶۳.۷ درصد از منابع ریالی و ۸۶.۵ درصد از مانده‌ی تسهیلات بانک را پوشش می‌دهد (۱۲/۱۴۰۴). این تفاوت از ترکیب نمونه‌ی تحویلی می‌آید: مشتریان بزرگ در آن نسبت بیشتری دارند و سهم مبلغی نمونه چند برابر سهم تعدادی آن است. تعداد کل مشتریان بانک از فایل توزیع مشتریان (مقطع ۰۹/۱۴۰۴) و مبالغ از آمار رسمی ماهانه‌ی ۱۲/۱۴۰۴ استخراج شده‌اند.</w:t>
      </w:r>
    </w:p>
    <w:p>
      <w:pPr>
        <w:keepNext/>
        <w:spacing w:after="60" w:before="160"/>
        <w:jc w:val="center"/>
      </w:pPr>
      <w:r>
        <w:drawing>
          <wp:inline distT="0" distB="0" distL="0" distR="0">
            <wp:extent cx="5715000" cy="31813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1813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۲-۲: سهم نمونه از کل بانک بر حسب تعداد مشتری و بر حسب مبلغ</w:t>
      </w:r>
    </w:p>
    <w:p>
      <w:pPr>
        <w:pStyle w:val="Heading3"/>
        <w:keepNext/>
        <w:bidi/>
        <w:spacing w:after="160" w:before="300"/>
        <w:jc w:val="left"/>
      </w:pPr>
      <w:r>
        <w:rPr>
          <w:rFonts w:ascii="B Titr" w:cs="B Titr" w:eastAsia="B Titr" w:hAnsi="B Titr"/>
          <w:b w:val="false"/>
          <w:bCs w:val="false"/>
          <w:color w:val="000000"/>
          <w:sz w:val="26"/>
          <w:szCs w:val="26"/>
          <w:rtl/>
        </w:rPr>
        <w:t xml:space="preserve">۲.۴.۲ پوشش به تفکیک اندازه‌ی مشتری</w:t>
      </w:r>
    </w:p>
    <w:p>
      <w:pPr>
        <w:bidi/>
        <w:spacing w:after="160" w:line="312"/>
        <w:jc w:val="left"/>
      </w:pPr>
      <w:r>
        <w:rPr>
          <w:rFonts w:ascii="Cambria" w:cs="B Nazanin" w:eastAsia="B Nazanin" w:hAnsi="Cambria"/>
          <w:color w:val="000000"/>
          <w:sz w:val="22"/>
          <w:szCs w:val="26"/>
          <w:rtl/>
        </w:rPr>
        <w:t xml:space="preserve">نمودار ۲-۳ نسبت گیرندگان نمونه به کل گیرندگان بانک را در شش طبقه‌ی میانگین مانده‌ی تسهیلات نشان می‌دهد. مانده‌ی هر مشتری برابر میانگین ماهانه‌ی مانده‌ی قراردادهایی است که او گیرنده‌ی اصلی آن‌هاست (۰۱/۱۴۰۴ تا ۰۹/۱۴۰۴)، که نزدیک‌ترین تعریف ممکن به مبنای فایل توزیع مشتریان بانک است.</w:t>
      </w:r>
    </w:p>
    <w:p>
      <w:pPr>
        <w:keepNext/>
        <w:spacing w:after="60" w:before="160"/>
        <w:jc w:val="center"/>
      </w:pPr>
      <w:r>
        <w:drawing>
          <wp:inline distT="0" distB="0" distL="0" distR="0">
            <wp:extent cx="5715000" cy="2667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6670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۲-۳: نسبت گیرندگان نمونه به کل گیرندگان بانک به تفکیک طبقه‌ی مانده‌ی تسهیلات</w:t>
      </w:r>
    </w:p>
    <w:p>
      <w:pPr>
        <w:bidi/>
        <w:spacing w:after="160" w:line="312"/>
        <w:jc w:val="left"/>
      </w:pPr>
      <w:r>
        <w:rPr>
          <w:rFonts w:ascii="Cambria" w:cs="B Nazanin" w:eastAsia="B Nazanin" w:hAnsi="Cambria"/>
          <w:color w:val="000000"/>
          <w:sz w:val="22"/>
          <w:szCs w:val="26"/>
          <w:rtl/>
        </w:rPr>
        <w:t xml:space="preserve">نسبت پوشش به‌طور کلی با اندازه‌ی مشتری افزایش می‌یابد: ۱۴ درصد در طبقه‌ی زیر ۵۰ میلیون تومان، ۶۹ و ۶۲ درصد در دو طبقه‌ی میانی، و ۹۴ و ۹۹ درصد در طبقات ۱ تا ۵ و ۵ تا ۲۰ میلیارد تومان. در طبقه‌ی بیش از ۲۰ میلیارد تومان، شمار مشتریان نمونه (۴۰۱ نفر) از شمار فایل توزیع بانک (۲۶۲ نفر) بیشتر است و نسبت پوشش از ۱۰۰ درصد می‌گذرد؛ علت این اختلاف از تفاوت تعریف مانده‌ی مشتری میان گزارش و فایل توزیع می‌آید و دلیل دقیق آن در بخش ۹.۵ پرسیده شده است. نمونه، گیرندگان بالای ۱ میلیارد تومان را با پوشش ۹۴ تا ۹۹ درصد در بر دارد و تحلیل‌های تمرکز و ریسک بر پوشش بالایی از مبالغ متکی‌اند.</w:t>
      </w:r>
    </w:p>
    <w:p>
      <w:pPr>
        <w:pStyle w:val="Heading3"/>
        <w:keepNext/>
        <w:bidi/>
        <w:spacing w:after="160" w:before="300"/>
        <w:jc w:val="left"/>
      </w:pPr>
      <w:r>
        <w:rPr>
          <w:rFonts w:ascii="B Titr" w:cs="B Titr" w:eastAsia="B Titr" w:hAnsi="B Titr"/>
          <w:b w:val="false"/>
          <w:bCs w:val="false"/>
          <w:color w:val="000000"/>
          <w:sz w:val="26"/>
          <w:szCs w:val="26"/>
          <w:rtl/>
        </w:rPr>
        <w:t xml:space="preserve">۲.۴.۳ ترکیب قدمت مشتریان</w:t>
      </w:r>
    </w:p>
    <w:p>
      <w:pPr>
        <w:bidi/>
        <w:spacing w:after="160" w:line="312"/>
        <w:jc w:val="left"/>
      </w:pPr>
      <w:r>
        <w:rPr>
          <w:rFonts w:ascii="Cambria" w:cs="B Nazanin" w:eastAsia="B Nazanin" w:hAnsi="Cambria"/>
          <w:color w:val="000000"/>
          <w:sz w:val="22"/>
          <w:szCs w:val="26"/>
          <w:rtl/>
        </w:rPr>
        <w:t xml:space="preserve">نمودار ۲-۴ ترکیب قدمت رابطه‌ی مشتریان نمونه را با کل مشتریان بانک مقایسه می‌کند. قدمت نمونه از تاریخ افتتاح نخستین حساب سپرده محاسبه شده است. توزیع نمونه به توزیع بانک نزدیک است و در هر دو، بیشترین سهم به مشتریان ۵ تا ۱۰ ساله تعلق دارد. نمونه به‌طور محسوس به مشتریان ۲ تا ۵ ساله متمایل است (۳۰.۲ درصد در برابر ۲۱.۴ درصد) و سهم مشتریان بیش از پنج سال آن (۵۳.۲ درصد) اندکی کمتر از بانک است. طبقات قدمت در فایل توزیع بانک اندکی همپوشانی دارند و جمع طبقات (۸,۳۴۹,۲۵۰) با جمع کل فایل (۷,۷۶۷,۹۶۹) برابر نیست؛ سهم بیش از پنج سال بانک بر پایه‌ی جمع کل فایل ۶۶.۷ درصد و بر پایه‌ی جمع طبقات ۶۲.۱ درصد است. ارقام بانک در این مقایسه تقریبی‌اند و جهت اختلاف‌ها در هر دو حالت یکسان و معتبر است.</w:t>
      </w:r>
    </w:p>
    <w:p>
      <w:pPr>
        <w:keepNext/>
        <w:spacing w:after="60" w:before="160"/>
        <w:jc w:val="center"/>
      </w:pPr>
      <w:r>
        <w:drawing>
          <wp:inline distT="0" distB="0" distL="0" distR="0">
            <wp:extent cx="5715000" cy="30956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956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۲-۴: ترکیب قدمت مشتریان نمونه در مقایسه با کل بانک</w:t>
      </w:r>
    </w:p>
    <w:p>
      <w:pPr>
        <w:pStyle w:val="Heading3"/>
        <w:keepNext/>
        <w:bidi/>
        <w:spacing w:after="160" w:before="300"/>
        <w:jc w:val="left"/>
      </w:pPr>
      <w:r>
        <w:rPr>
          <w:rFonts w:ascii="B Titr" w:cs="B Titr" w:eastAsia="B Titr" w:hAnsi="B Titr"/>
          <w:b w:val="false"/>
          <w:bCs w:val="false"/>
          <w:color w:val="000000"/>
          <w:sz w:val="26"/>
          <w:szCs w:val="26"/>
          <w:rtl/>
        </w:rPr>
        <w:t xml:space="preserve">۲.۴.۴ روند پوشش در ۶۰ ماه</w:t>
      </w:r>
    </w:p>
    <w:p>
      <w:pPr>
        <w:bidi/>
        <w:spacing w:after="160" w:line="312"/>
        <w:jc w:val="left"/>
      </w:pPr>
      <w:r>
        <w:rPr>
          <w:rFonts w:ascii="Cambria" w:cs="B Nazanin" w:eastAsia="B Nazanin" w:hAnsi="Cambria"/>
          <w:color w:val="000000"/>
          <w:sz w:val="22"/>
          <w:szCs w:val="26"/>
          <w:rtl/>
        </w:rPr>
        <w:t xml:space="preserve">نمودار ۲-۵ پوشش ماهانه‌ی نمونه را برای منابع، تسهیلات و مطالبات غیرجاری نشان می‌دهد. پوشش منابع در ۵۸ ماه قابل اتکا میان ۶۳.۷ و ۷۶.۹ درصد (میانگین ۷۱.۹ درصد) قرار دارد و در ۱۲/۱۴۰۴ کمترین مقدار را دارد. پوشش تسهیلات از ۷۴.۹ درصد در ۰۱/۱۴۰۰ به ۸۶.۵ درصد در ۱۲/۱۴۰۴ رسیده است و پوشش مطالبات غیرجاری نیز در سال ۱۴۰۴ به حدود ۹۵ درصد می‌رسد. ثبات ماهانه‌ی پوشش منابع نشان می‌دهد تعریف ستون میانگین مانده‌ی سپرده در طول دوره یکسان بوده است.</w:t>
      </w:r>
    </w:p>
    <w:p>
      <w:pPr>
        <w:keepNext/>
        <w:spacing w:after="60" w:before="160"/>
        <w:jc w:val="center"/>
      </w:pPr>
      <w:r>
        <w:drawing>
          <wp:inline distT="0" distB="0" distL="0" distR="0">
            <wp:extent cx="5715000" cy="256222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۲-۵: پوشش ماهانه‌ی نمونه نسبت به آمار رسمی بانک (۰۱/۱۴۰۰ تا ۱۲/۱۴۰۴)</w:t>
      </w:r>
    </w:p>
    <w:p>
      <w:pPr>
        <w:bidi/>
        <w:spacing w:after="160" w:line="312"/>
        <w:jc w:val="left"/>
      </w:pPr>
      <w:r>
        <w:rPr>
          <w:rFonts w:ascii="Cambria" w:cs="B Nazanin" w:eastAsia="B Nazanin" w:hAnsi="Cambria"/>
          <w:color w:val="000000"/>
          <w:sz w:val="22"/>
          <w:szCs w:val="26"/>
          <w:rtl/>
        </w:rPr>
        <w:t xml:space="preserve">جدول ۲-۲ ارقام چهار مقطع کلیدی را نشان می‌دهد. مبالغ بر حسب هزار میلیارد تومان‌اند و ارقام نمونه مجموع واقعی نمونه‌اند.</w:t>
      </w:r>
    </w:p>
    <w:p>
      <w:pPr>
        <w:keepNext/>
        <w:bidi/>
        <w:spacing w:after="100" w:before="200"/>
        <w:jc w:val="left"/>
      </w:pPr>
      <w:r>
        <w:rPr>
          <w:rFonts w:ascii="B Nazanin" w:cs="B Nazanin" w:eastAsia="B Nazanin" w:hAnsi="B Nazanin"/>
          <w:b/>
          <w:bCs/>
          <w:color w:val="000000"/>
          <w:sz w:val="22"/>
          <w:szCs w:val="22"/>
          <w:rtl/>
        </w:rPr>
        <w:t xml:space="preserve">جدول ۲-۲: پوشش مبلغی نمونه در مقاطع کلیدی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21"/>
        <w:gridCol w:w="1516"/>
        <w:gridCol w:w="1317"/>
        <w:gridCol w:w="1272"/>
        <w:gridCol w:w="1360"/>
        <w:gridCol w:w="1401"/>
        <w:gridCol w:w="1363"/>
      </w:tblGrid>
      <w:tr>
        <w:trPr>
          <w:cantSplit/>
          <w:tblHeader/>
        </w:trPr>
        <w:tc>
          <w:tcPr>
            <w:tcW w:type="dxa" w:w="11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15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منابع ریالی بانک</w:t>
            </w:r>
          </w:p>
        </w:tc>
        <w:tc>
          <w:tcPr>
            <w:tcW w:type="dxa" w:w="131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منابع نمونه</w:t>
            </w:r>
          </w:p>
        </w:tc>
        <w:tc>
          <w:tcPr>
            <w:tcW w:type="dxa" w:w="12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پوشش منابع</w:t>
            </w:r>
          </w:p>
        </w:tc>
        <w:tc>
          <w:tcPr>
            <w:tcW w:type="dxa" w:w="136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تسهیلات بانک</w:t>
            </w:r>
          </w:p>
        </w:tc>
        <w:tc>
          <w:tcPr>
            <w:tcW w:type="dxa" w:w="14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تسهیلات نمونه</w:t>
            </w:r>
          </w:p>
        </w:tc>
        <w:tc>
          <w:tcPr>
            <w:tcW w:type="dxa" w:w="13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پوشش تسهیلات</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۲۶.۰</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۱۸.۵</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۷۱.۲٪</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۲۸.۰</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۲۱.۰</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۷۴.۹٪</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۴۸.۳</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۳۲.۷</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۶۷.۸٪</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۵۳.۹</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۴۲.۳</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۷۸.۵٪</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۹۰.۴</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۶۴.۰</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۷۰.۷٪</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۱۰۴.۴</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۸۸.۸</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۸۵.۰٪</w:t>
            </w:r>
          </w:p>
        </w:tc>
      </w:tr>
      <w:tr>
        <w:trPr>
          <w:cantSplit/>
        </w:trPr>
        <w:tc>
          <w:tcPr>
            <w:tcW w:type="dxa" w:w="11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15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۱۳۳.۱</w:t>
            </w:r>
          </w:p>
        </w:tc>
        <w:tc>
          <w:tcPr>
            <w:tcW w:type="dxa" w:w="13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۸۴.۸</w:t>
            </w:r>
          </w:p>
        </w:tc>
        <w:tc>
          <w:tcPr>
            <w:tcW w:type="dxa" w:w="12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۶۳.۷٪</w:t>
            </w:r>
          </w:p>
        </w:tc>
        <w:tc>
          <w:tcPr>
            <w:tcW w:type="dxa" w:w="1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۱۴۸.۲</w:t>
            </w:r>
          </w:p>
        </w:tc>
        <w:tc>
          <w:tcPr>
            <w:tcW w:type="dxa" w:w="1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۱۲۸.۲</w:t>
            </w:r>
          </w:p>
        </w:tc>
        <w:tc>
          <w:tcPr>
            <w:tcW w:type="dxa" w:w="13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۸۶.۵٪</w:t>
            </w:r>
          </w:p>
        </w:tc>
      </w:tr>
    </w:tbl>
    <w:p>
      <w:pPr>
        <w:spacing w:after="200"/>
      </w:pPr>
    </w:p>
    <w:p>
      <w:pPr>
        <w:bidi/>
        <w:spacing w:after="160" w:line="312"/>
        <w:jc w:val="left"/>
      </w:pPr>
      <w:r>
        <w:rPr>
          <w:rFonts w:ascii="Cambria" w:cs="B Nazanin" w:eastAsia="B Nazanin" w:hAnsi="Cambria"/>
          <w:color w:val="000000"/>
          <w:sz w:val="22"/>
          <w:szCs w:val="26"/>
          <w:rtl/>
        </w:rPr>
        <w:t xml:space="preserve">از آنجا که پوشش منابع از پوشش تسهیلات کمتر است، نسبت تسهیلات به منابع در نمونه (۱۵۱.۲ درصد در ۱۲/۱۴۰۴) از نسبت رسمی بانک (۱۱۱.۳ درصد) بالاتر است. نسبت‌های بین‌حوزه‌ای مانند این نسبت باید با توجه به این تفاوت پوشش تفسیر شوند و مرجع مقایسه، آمار رسمی بانک است.</w:t>
      </w:r>
    </w:p>
    <w:p>
      <w:pPr>
        <w:pStyle w:val="Heading3"/>
        <w:keepNext/>
        <w:bidi/>
        <w:spacing w:after="160" w:before="300"/>
        <w:jc w:val="left"/>
      </w:pPr>
      <w:r>
        <w:rPr>
          <w:rFonts w:ascii="B Titr" w:cs="B Titr" w:eastAsia="B Titr" w:hAnsi="B Titr"/>
          <w:b w:val="false"/>
          <w:bCs w:val="false"/>
          <w:color w:val="000000"/>
          <w:sz w:val="26"/>
          <w:szCs w:val="26"/>
          <w:rtl/>
        </w:rPr>
        <w:t xml:space="preserve">۲.۴.۵ هم‌خوانی روند مطالبات غیرجاری</w:t>
      </w:r>
    </w:p>
    <w:p>
      <w:pPr>
        <w:bidi/>
        <w:spacing w:after="160" w:line="312"/>
        <w:jc w:val="left"/>
      </w:pPr>
      <w:r>
        <w:rPr>
          <w:rFonts w:ascii="Cambria" w:cs="B Nazanin" w:eastAsia="B Nazanin" w:hAnsi="Cambria"/>
          <w:color w:val="000000"/>
          <w:sz w:val="22"/>
          <w:szCs w:val="26"/>
          <w:rtl/>
        </w:rPr>
        <w:t xml:space="preserve">نمودار ۲-۶ نسبت مطالبات غیرجاری به کل تسهیلات را برای کل بانک و برای نمونه در ۶۰ ماه مقایسه می‌کند. در ۵۸ ماه قابل مقایسه، ضریب همبستگی دو سری ۰.۹۶ و میانگین قدرمطلق اختلاف آن‌ها ۰.۴۶ واحد درصد است و در ۵۳ ماه اختلاف نسبت نمونه با بانک کمتر از یک واحد درصد است. سری ماهانه‌ی هر دو نسبت در برگه‌ی «پیوست سری NPL» فایل جدول‌های پیوست آمده است. چون نمونه حدود ۹۵ درصد مطالبات غیرجاری بانک را در بر دارد، این هم‌خوانی تا حد زیادی از ساختار نمونه می‌آید.</w:t>
      </w:r>
    </w:p>
    <w:p>
      <w:pPr>
        <w:keepNext/>
        <w:spacing w:after="60" w:before="160"/>
        <w:jc w:val="center"/>
      </w:pPr>
      <w:r>
        <w:drawing>
          <wp:inline distT="0" distB="0" distL="0" distR="0">
            <wp:extent cx="5715000" cy="25622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۲-۶: نسبت مطالبات غیرجاری در کل بانک و در نمونه‌ی تحلیلی</w:t>
      </w:r>
    </w:p>
    <w:p>
      <w:pPr>
        <w:keepNext/>
        <w:bidi/>
        <w:spacing w:after="100" w:before="200"/>
        <w:jc w:val="left"/>
      </w:pPr>
      <w:r>
        <w:rPr>
          <w:rFonts w:ascii="B Nazanin" w:cs="B Nazanin" w:eastAsia="B Nazanin" w:hAnsi="B Nazanin"/>
          <w:b/>
          <w:bCs/>
          <w:color w:val="000000"/>
          <w:sz w:val="22"/>
          <w:szCs w:val="22"/>
          <w:rtl/>
        </w:rPr>
        <w:t xml:space="preserve">جدول ۲-۳: نسبت مطالبات غیرجاری در مقاطع کلیدی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6"/>
        <w:gridCol w:w="3622"/>
        <w:gridCol w:w="3222"/>
      </w:tblGrid>
      <w:tr>
        <w:trPr>
          <w:cantSplit/>
          <w:tblHeader/>
        </w:trPr>
        <w:tc>
          <w:tcPr>
            <w:tcW w:type="dxa" w:w="25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36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 بانک (آمار رسمی)</w:t>
            </w:r>
          </w:p>
        </w:tc>
        <w:tc>
          <w:tcPr>
            <w:tcW w:type="dxa" w:w="3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نمونه‌ی تحلیلی</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w:t>
            </w:r>
          </w:p>
        </w:tc>
      </w:tr>
      <w:tr>
        <w:trPr>
          <w:cantSplit/>
        </w:trPr>
        <w:tc>
          <w:tcPr>
            <w:tcW w:type="dxa" w:w="25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36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c>
          <w:tcPr>
            <w:tcW w:type="dxa" w:w="3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w:t>
            </w:r>
          </w:p>
        </w:tc>
      </w:tr>
    </w:tbl>
    <w:p>
      <w:pPr>
        <w:spacing w:after="200"/>
      </w:pPr>
    </w:p>
    <w:p>
      <w:pPr>
        <w:bidi/>
        <w:spacing w:after="160" w:line="312"/>
        <w:jc w:val="left"/>
      </w:pPr>
      <w:r>
        <w:rPr>
          <w:rFonts w:ascii="Cambria" w:cs="B Nazanin" w:eastAsia="B Nazanin" w:hAnsi="Cambria"/>
          <w:color w:val="000000"/>
          <w:sz w:val="22"/>
          <w:szCs w:val="26"/>
          <w:rtl/>
        </w:rPr>
        <w:t xml:space="preserve">روند افزایشی مطالبات غیرجاری در سال ۱۴۰۴ هم در آمار رسمی (از ۴.۶ به ۸.۰ درصد) و هم در نمونه (از ۴.۹ به ۸.۸ درصد) دیده می‌شود. نسبت رسمی در ۱۲/۱۴۰۳ پس از افت از ۷.۳ درصد در ۱۱/۱۴۰۳ ثبت شده است؛ بنابراین مبنای مقایسه‌ی ۴.۶ درصد کف فصلی است و روند ماهانه‌ی ۱۴۰۴ در بخش ۶.۲ آمده است. هر دو سری افزایش مطالبات غیرجاری را نشان می‌دهند و جهت تغییر را پشتیبانی می‌کنند.</w:t>
      </w:r>
    </w:p>
    <w:p>
      <w:pPr>
        <w:pStyle w:val="Heading3"/>
        <w:keepNext/>
        <w:bidi/>
        <w:spacing w:after="160" w:before="300"/>
        <w:jc w:val="left"/>
      </w:pPr>
      <w:r>
        <w:rPr>
          <w:rFonts w:ascii="B Titr" w:cs="B Titr" w:eastAsia="B Titr" w:hAnsi="B Titr"/>
          <w:b w:val="false"/>
          <w:bCs w:val="false"/>
          <w:color w:val="000000"/>
          <w:sz w:val="26"/>
          <w:szCs w:val="26"/>
          <w:rtl/>
        </w:rPr>
        <w:t xml:space="preserve">۲.۴.۶ جمع‌بندی پوشش</w:t>
      </w:r>
    </w:p>
    <w:p>
      <w:pPr>
        <w:bidi/>
        <w:spacing w:after="160" w:line="312"/>
        <w:jc w:val="left"/>
      </w:pPr>
      <w:r>
        <w:rPr>
          <w:rFonts w:ascii="Cambria" w:cs="B Nazanin" w:eastAsia="B Nazanin" w:hAnsi="Cambria"/>
          <w:color w:val="000000"/>
          <w:sz w:val="22"/>
          <w:szCs w:val="26"/>
          <w:rtl/>
        </w:rPr>
        <w:t xml:space="preserve">مقایسه با آمار رسمی چهار نتیجه دارد:</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نمونه ۶۴ تا ۷۷ درصد منابع و ۷۵ تا ۸۷ درصد مانده‌ی تسهیلات بانک را در بر می‌گیرد.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color w:val="000000"/>
          <w:sz w:val="22"/>
          <w:szCs w:val="26"/>
          <w:rtl/>
        </w:rPr>
        <w:t xml:space="preserve">بزرگ‌ترین مشتریان، به‌ویژه گیرندگان تسهیلات بالای ۱ میلیارد تومان، تقریباً به‌طور کامل در نمونه حضور دارند.</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color w:val="000000"/>
          <w:sz w:val="22"/>
          <w:szCs w:val="26"/>
          <w:rtl/>
        </w:rPr>
        <w:t xml:space="preserve">نسبت مطالبات غیرجاری و ساختار استانی نمونه با آمار رسمی بانک هم‌خوانی بالایی دارند؛ دامنه‌ی تعمیم سایر شاخص‌ها در بخش ۲.۶ آمده است.</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color w:val="000000"/>
          <w:sz w:val="22"/>
          <w:szCs w:val="26"/>
          <w:rtl/>
        </w:rPr>
        <w:t xml:space="preserve">ارقام مطلق گزارش وضعیت نمونه را نشان می‌دهند؛ برای مقایسه با کل بانک، در فصل‌های بعد آمار رسمی در کنار آن‌ها آمده است.</w:t>
      </w:r>
    </w:p>
    <w:p>
      <w:pPr>
        <w:pBdr>
          <w:bottom w:val="single" w:color="BBBBBB" w:sz="6"/>
        </w:pBdr>
        <w:spacing w:after="100" w:before="100"/>
      </w:pPr>
    </w:p>
    <w:p>
      <w:pPr>
        <w:pStyle w:val="Heading2"/>
        <w:keepNext/>
        <w:bidi/>
        <w:spacing w:after="160" w:before="300"/>
        <w:jc w:val="left"/>
      </w:pPr>
      <w:bookmarkStart w:name="_Toc20" w:id="20"/>
      <w:r>
        <w:rPr>
          <w:rFonts w:ascii="B Titr" w:cs="B Titr" w:eastAsia="B Titr" w:hAnsi="B Titr"/>
          <w:b w:val="false"/>
          <w:bCs w:val="false"/>
          <w:color w:val="000000"/>
          <w:sz w:val="26"/>
          <w:szCs w:val="26"/>
          <w:rtl/>
        </w:rPr>
        <w:t xml:space="preserve">۲.۵ تکمیل تحلیل‌ها در فاز بعد</w:t>
      </w:r>
      <w:bookmarkEnd w:id="20"/>
    </w:p>
    <w:p>
      <w:pPr>
        <w:bidi/>
        <w:spacing w:after="160" w:line="312"/>
        <w:jc w:val="left"/>
      </w:pPr>
      <w:r>
        <w:rPr>
          <w:rFonts w:ascii="Cambria" w:cs="B Nazanin" w:eastAsia="B Nazanin" w:hAnsi="Cambria"/>
          <w:color w:val="000000"/>
          <w:sz w:val="22"/>
          <w:szCs w:val="26"/>
          <w:rtl/>
        </w:rPr>
        <w:t xml:space="preserve">تحلیل‌های این گزارش با داده‌های دریافتی انجام شده‌اند. دریافت چند داده‌ی تکمیلی از بانک، عمق تحلیل‌ها را در فاز ۲ و فازهای بعد افزایش می‌دهد. جدول ۲-۴ این موارد را به ترتیب اولویت فهرست می‌کند.</w:t>
      </w:r>
    </w:p>
    <w:p>
      <w:pPr>
        <w:keepNext/>
        <w:bidi/>
        <w:spacing w:after="100" w:before="200"/>
        <w:jc w:val="left"/>
      </w:pPr>
      <w:r>
        <w:rPr>
          <w:rFonts w:ascii="B Nazanin" w:cs="B Nazanin" w:eastAsia="B Nazanin" w:hAnsi="B Nazanin"/>
          <w:b/>
          <w:bCs/>
          <w:color w:val="000000"/>
          <w:sz w:val="22"/>
          <w:szCs w:val="22"/>
          <w:rtl/>
        </w:rPr>
        <w:t xml:space="preserve">جدول ۲-۴: داده‌های تکمیلی و کاربرد آن‌ها در فاز بعد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31"/>
        <w:gridCol w:w="2706"/>
        <w:gridCol w:w="2706"/>
        <w:gridCol w:w="2707"/>
      </w:tblGrid>
      <w:tr>
        <w:trPr>
          <w:cantSplit/>
          <w:tblHeader/>
        </w:trPr>
        <w:tc>
          <w:tcPr>
            <w:tcW w:type="dxa" w:w="12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ردیف</w:t>
            </w:r>
          </w:p>
        </w:tc>
        <w:tc>
          <w:tcPr>
            <w:tcW w:type="dxa" w:w="27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داده‌ی تکمیلی</w:t>
            </w:r>
          </w:p>
        </w:tc>
        <w:tc>
          <w:tcPr>
            <w:tcW w:type="dxa" w:w="27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وضعیت فعلی</w:t>
            </w:r>
          </w:p>
        </w:tc>
        <w:tc>
          <w:tcPr>
            <w:tcW w:type="dxa" w:w="27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کاربرد در فاز بعد</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جدول نگاشت شناسه‌ی مشتری به جدول </w:t>
            </w:r>
            <w:r>
              <w:rPr>
                <w:rFonts w:ascii="Cambria" w:cs="B Nazanin" w:eastAsia="B Nazanin" w:hAnsi="Cambria"/>
                <w:b w:val="false"/>
                <w:bCs w:val="false"/>
                <w:color w:val="000000"/>
                <w:sz w:val="22"/>
                <w:szCs w:val="22"/>
              </w:rPr>
              <w:t xml:space="preserve">Customer_Profile</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شناسه‌ی مشتری در این جدول با شناسه‌ی جداول عملیاتی نگاشت مستقیم ندارد</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تفکیک مشتریان حقیقی و حقوقی؛ تحلیل بر اساس سن، جنسیت، شغل و موقعیت جغرافیایی مشتری؛ بخش‌بندی رفتاری دقیق‌تر در فاز ۲</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اطلاعات قرارداد برای ۶۳۷,۹۷۵ قرارداد باقی‌مانده (۲۲.۴٪ مانده‌ی تسهیلات)</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این قراردادها در جدول مانده حضور دارند و مشخصات آن‌ها (نوع، نرخ، تاریخ اعطا، وثیقه، شعبه) ثبت نشده است</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تحلیل سطح قرارداد برای ۱۰۰٪ پرتفوی؛ دقت بیشتر در تحلیل ریسک</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جدول سود پرداختی سپرده برای کل حساب‌ها، همراه با شناسه‌ی تراکنش</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این جدول ۴۷۵,۲۳۰ حساب از ۱,۲۶۸,۲۶۶ حساب (۳۷.۵٪) را در بر دارد</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برآورد دقیق‌تر هزینه‌ی تأمین مالی و سودآوری به تفکیک گروه مشتری</w:t>
            </w:r>
          </w:p>
        </w:tc>
      </w:tr>
      <w:tr>
        <w:trPr>
          <w:cantSplit/>
        </w:trPr>
        <w:tc>
          <w:tcPr>
            <w:tcW w:type="dxa" w:w="12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نمونه‌ای از مشتریان غیرفعال و ریزش‌کرده</w:t>
            </w:r>
          </w:p>
        </w:tc>
        <w:tc>
          <w:tcPr>
            <w:tcW w:type="dxa" w:w="27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 بر اساس معیار فعال‌بودن طراحی شده است</w:t>
            </w:r>
          </w:p>
        </w:tc>
        <w:tc>
          <w:tcPr>
            <w:tcW w:type="dxa" w:w="27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مدل‌سازی گرایش مشتری به ترک بانک (فاز ۴) و برآورد نرخ ریزش برای کل بانک</w:t>
            </w:r>
          </w:p>
        </w:tc>
      </w:tr>
    </w:tbl>
    <w:p>
      <w:pPr>
        <w:spacing w:after="200"/>
      </w:pPr>
    </w:p>
    <w:p>
      <w:pPr>
        <w:bidi/>
        <w:spacing w:after="160" w:line="312"/>
        <w:jc w:val="left"/>
      </w:pPr>
      <w:r>
        <w:rPr>
          <w:rFonts w:ascii="Cambria" w:cs="B Nazanin" w:eastAsia="B Nazanin" w:hAnsi="Cambria"/>
          <w:color w:val="000000"/>
          <w:sz w:val="22"/>
          <w:szCs w:val="26"/>
          <w:rtl/>
        </w:rPr>
        <w:t xml:space="preserve">مورد دوم از این فهرست جزئیات بیشتری دارد. اطلاعات قرارداد برای ۷۷.۶ درصد مانده‌ی تسهیلات (۶۸۴,۳۲۸ قرارداد) در دسترس است و تحلیل‌های سطح قرارداد، مانند نوع محصول، شعبه، نرخ، وثیقه و نسل اعطا، بر همین بخش متکی‌اند. تحلیل‌های سطح کل پرتفوی، مانند روند مانده، طبقه‌بندی مطالبات و نسبت تسهیلات به سپرده، بر ۱۰۰ درصد مانده استوارند. جدول ۲-۵ تفکیک این دو بخش را نشان می‌دهد.</w:t>
      </w:r>
    </w:p>
    <w:p>
      <w:pPr>
        <w:keepNext/>
        <w:bidi/>
        <w:spacing w:after="100" w:before="200"/>
        <w:jc w:val="left"/>
      </w:pPr>
      <w:r>
        <w:rPr>
          <w:rFonts w:ascii="B Nazanin" w:cs="B Nazanin" w:eastAsia="B Nazanin" w:hAnsi="B Nazanin"/>
          <w:b/>
          <w:bCs/>
          <w:color w:val="000000"/>
          <w:sz w:val="22"/>
          <w:szCs w:val="22"/>
          <w:rtl/>
        </w:rPr>
        <w:t xml:space="preserve">جدول ۲-۵: پوشش اطلاعات قرارداد در مانده‌ی تسهیلات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86"/>
        <w:gridCol w:w="1650"/>
        <w:gridCol w:w="2163"/>
        <w:gridCol w:w="1601"/>
        <w:gridCol w:w="1950"/>
      </w:tblGrid>
      <w:tr>
        <w:trPr>
          <w:cantSplit/>
          <w:tblHeader/>
        </w:trPr>
        <w:tc>
          <w:tcPr>
            <w:tcW w:type="dxa" w:w="198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w:t>
            </w:r>
          </w:p>
        </w:tc>
        <w:tc>
          <w:tcPr>
            <w:tcW w:type="dxa" w:w="16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21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6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مانده</w:t>
            </w:r>
          </w:p>
        </w:tc>
        <w:tc>
          <w:tcPr>
            <w:tcW w:type="dxa" w:w="195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مطالبات غیرجاری</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دارای اطلاعات قرارداد</w:t>
            </w:r>
          </w:p>
        </w:tc>
        <w:tc>
          <w:tcPr>
            <w:tcW w:type="dxa" w:w="1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۶۸۴,۳۲۸</w:t>
            </w:r>
          </w:p>
        </w:tc>
        <w:tc>
          <w:tcPr>
            <w:tcW w:type="dxa" w:w="2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۹۹.۵</w:t>
            </w:r>
          </w:p>
        </w:tc>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۷۷.۶۰٪</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۵.۲۱٪</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فاقد اطلاعات قرارداد</w:t>
            </w:r>
          </w:p>
        </w:tc>
        <w:tc>
          <w:tcPr>
            <w:tcW w:type="dxa" w:w="1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۶۳۷,۹۷۵</w:t>
            </w:r>
          </w:p>
        </w:tc>
        <w:tc>
          <w:tcPr>
            <w:tcW w:type="dxa" w:w="2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w:t>
            </w:r>
          </w:p>
        </w:tc>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۲۲.۴۰٪</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۲۱.۰۴٪</w:t>
            </w:r>
          </w:p>
        </w:tc>
      </w:tr>
      <w:tr>
        <w:trPr>
          <w:cantSplit/>
        </w:trPr>
        <w:tc>
          <w:tcPr>
            <w:tcW w:type="dxa" w:w="19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w:t>
            </w:r>
          </w:p>
        </w:tc>
        <w:tc>
          <w:tcPr>
            <w:tcW w:type="dxa" w:w="16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۱,۳۲۲,۳۰۳</w:t>
            </w:r>
          </w:p>
        </w:tc>
        <w:tc>
          <w:tcPr>
            <w:tcW w:type="dxa" w:w="21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16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c>
          <w:tcPr>
            <w:tcW w:type="dxa" w:w="195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۸.۷۶٪</w:t>
            </w:r>
          </w:p>
        </w:tc>
      </w:tr>
    </w:tbl>
    <w:p>
      <w:pPr>
        <w:spacing w:after="200"/>
      </w:pPr>
    </w:p>
    <w:p>
      <w:pPr>
        <w:bidi/>
        <w:spacing w:after="160" w:line="312"/>
        <w:jc w:val="left"/>
      </w:pPr>
      <w:r>
        <w:rPr>
          <w:rFonts w:ascii="Cambria" w:cs="B Nazanin" w:eastAsia="B Nazanin" w:hAnsi="Cambria"/>
          <w:color w:val="000000"/>
          <w:sz w:val="22"/>
          <w:szCs w:val="26"/>
          <w:rtl/>
        </w:rPr>
        <w:t xml:space="preserve">نسبت مطالبات غیرجاری در بخش فاقد اطلاعات قرارداد بالاتر است و تکمیل اطلاعات آن دقت تحلیل ریسک سطح قرارداد را در فاز بعد به‌طور محسوسی بالا می‌برد. تا آن زمان، نتایج ریسک سطح قرارداد با اتکا به نسبت کل پرتفوی (۸.۷۶ درصد) تفسیر می‌شوند (فصل ۶).</w:t>
      </w:r>
    </w:p>
    <w:p>
      <w:pPr>
        <w:pBdr>
          <w:bottom w:val="single" w:color="BBBBBB" w:sz="6"/>
        </w:pBdr>
        <w:spacing w:after="100" w:before="100"/>
      </w:pPr>
    </w:p>
    <w:p>
      <w:pPr>
        <w:pStyle w:val="Heading2"/>
        <w:keepNext/>
        <w:bidi/>
        <w:spacing w:after="160" w:before="300"/>
        <w:jc w:val="left"/>
      </w:pPr>
      <w:bookmarkStart w:name="_Toc21" w:id="21"/>
      <w:r>
        <w:rPr>
          <w:rFonts w:ascii="B Titr" w:cs="B Titr" w:eastAsia="B Titr" w:hAnsi="B Titr"/>
          <w:b w:val="false"/>
          <w:bCs w:val="false"/>
          <w:color w:val="000000"/>
          <w:sz w:val="26"/>
          <w:szCs w:val="26"/>
          <w:rtl/>
        </w:rPr>
        <w:t xml:space="preserve">۲.۶ حدود تعمیم شاخص‌ها</w:t>
      </w:r>
      <w:bookmarkEnd w:id="21"/>
    </w:p>
    <w:p>
      <w:pPr>
        <w:bidi/>
        <w:spacing w:after="160" w:line="312"/>
        <w:jc w:val="left"/>
      </w:pPr>
      <w:r>
        <w:rPr>
          <w:rFonts w:ascii="Cambria" w:cs="B Nazanin" w:eastAsia="B Nazanin" w:hAnsi="Cambria"/>
          <w:color w:val="000000"/>
          <w:sz w:val="22"/>
          <w:szCs w:val="26"/>
          <w:rtl/>
        </w:rPr>
        <w:t xml:space="preserve">شاخص‌های گزارش از چهار نوع‌اند و دامنه‌ی تعمیم هر نوع در جدول ۲-۶ آمده است. در متن، ارقام نمونه با عبارت «در نمونه» و ارقام رسمی با عبارت «آمار رسمی» مشخص شده‌اند.</w:t>
      </w:r>
    </w:p>
    <w:p>
      <w:pPr>
        <w:keepNext/>
        <w:bidi/>
        <w:spacing w:after="100" w:before="200"/>
        <w:jc w:val="left"/>
      </w:pPr>
      <w:r>
        <w:rPr>
          <w:rFonts w:ascii="B Nazanin" w:cs="B Nazanin" w:eastAsia="B Nazanin" w:hAnsi="B Nazanin"/>
          <w:b/>
          <w:bCs/>
          <w:color w:val="000000"/>
          <w:sz w:val="22"/>
          <w:szCs w:val="22"/>
          <w:rtl/>
        </w:rPr>
        <w:t xml:space="preserve">جدول ۲-۶: حدود تعمیم شاخص‌های گزارش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81"/>
        <w:gridCol w:w="2456"/>
        <w:gridCol w:w="2456"/>
        <w:gridCol w:w="2457"/>
      </w:tblGrid>
      <w:tr>
        <w:trPr>
          <w:cantSplit/>
          <w:tblHeader/>
        </w:trPr>
        <w:tc>
          <w:tcPr>
            <w:tcW w:type="dxa" w:w="198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نوع شاخص</w:t>
            </w:r>
          </w:p>
        </w:tc>
        <w:tc>
          <w:tcPr>
            <w:tcW w:type="dxa" w:w="24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مثال</w:t>
            </w:r>
          </w:p>
        </w:tc>
        <w:tc>
          <w:tcPr>
            <w:tcW w:type="dxa" w:w="24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مبنا</w:t>
            </w:r>
          </w:p>
        </w:tc>
        <w:tc>
          <w:tcPr>
            <w:tcW w:type="dxa" w:w="24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دامنه‌ی تعمیم</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آمار رسمی کل بانک</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منابع، تسهیلات، نسبت تسهیلات به منابع، نسبت مطالبات غیرجاری، ترکیب منابع، فصل ۷، هزینه‌ی تأمین مالی</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آمار ماهانه‌ی رسمی</w:t>
            </w:r>
          </w:p>
        </w:tc>
        <w:tc>
          <w:tcPr>
            <w:tcW w:type="dxa" w:w="2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مستقیماً برای کل بانک</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هم‌خوان با آمار رسمی</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روند و سطح نسبت مطالبات غیرجاری نمونه، سهم استانی تسهیلات</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 و آمار رسمی</w:t>
            </w:r>
          </w:p>
        </w:tc>
        <w:tc>
          <w:tcPr>
            <w:tcW w:type="dxa" w:w="2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هم‌جهت با بانک؛ نمایندگی سایر شاخص‌ها را اثبات نمی‌کند</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توصیف نمونه</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تعداد مشتریان، فروش متقاطع، فعال‌بودن، ماندگاری و ریزش، تمرکز مشتری، پلکان مانده، تحلیل‌های سطح قرارداد</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 (۷۷.۶ درصد پرتفوی در سطح قرارداد)</w:t>
            </w:r>
          </w:p>
        </w:tc>
        <w:tc>
          <w:tcPr>
            <w:tcW w:type="dxa" w:w="2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درون نمونه؛ تعمیم به کل بانک به وزن‌دهی یا نمونه‌ی تکمیلی نیاز دارد</w:t>
            </w:r>
          </w:p>
        </w:tc>
      </w:tr>
      <w:tr>
        <w:trPr>
          <w:cantSplit/>
        </w:trPr>
        <w:tc>
          <w:tcPr>
            <w:tcW w:type="dxa" w:w="198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برآورد مشروط</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حاشیه‌ی مالی، بازده دریافتی</w:t>
            </w:r>
          </w:p>
        </w:tc>
        <w:tc>
          <w:tcPr>
            <w:tcW w:type="dxa" w:w="24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 و آمار رسمی</w:t>
            </w:r>
          </w:p>
        </w:tc>
        <w:tc>
          <w:tcPr>
            <w:tcW w:type="dxa" w:w="24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 فرض‌های بخش ۸.۴</w:t>
            </w:r>
          </w:p>
        </w:tc>
      </w:tr>
    </w:tbl>
    <w:p>
      <w:pPr>
        <w:spacing w:after="200"/>
      </w:pPr>
    </w:p>
    <w:p>
      <w:pPr>
        <w:pBdr>
          <w:bottom w:val="single" w:color="BBBBBB" w:sz="6"/>
        </w:pBdr>
        <w:spacing w:after="100" w:before="100"/>
      </w:pPr>
    </w:p>
    <w:p>
      <w:pPr>
        <w:pStyle w:val="Heading1"/>
        <w:keepNext/>
        <w:pageBreakBefore/>
        <w:bidi/>
        <w:spacing w:after="160" w:before="0"/>
        <w:jc w:val="left"/>
      </w:pPr>
      <w:bookmarkStart w:name="_Toc22" w:id="22"/>
      <w:r>
        <w:rPr>
          <w:rFonts w:ascii="B Titr" w:cs="B Titr" w:eastAsia="B Titr" w:hAnsi="B Titr"/>
          <w:b w:val="false"/>
          <w:bCs w:val="false"/>
          <w:color w:val="1F4E79"/>
          <w:sz w:val="30"/>
          <w:szCs w:val="30"/>
          <w:rtl/>
        </w:rPr>
        <w:t xml:space="preserve">فصل ۳: مشتریان (جمعیت، رابطه و ماندگاری)</w:t>
      </w:r>
      <w:bookmarkEnd w:id="22"/>
    </w:p>
    <w:p>
      <w:pPr>
        <w:pStyle w:val="Heading2"/>
        <w:keepNext/>
        <w:bidi/>
        <w:spacing w:after="160" w:before="300"/>
        <w:jc w:val="left"/>
      </w:pPr>
      <w:bookmarkStart w:name="_Toc23" w:id="23"/>
      <w:r>
        <w:rPr>
          <w:rFonts w:ascii="B Titr" w:cs="B Titr" w:eastAsia="B Titr" w:hAnsi="B Titr"/>
          <w:b w:val="false"/>
          <w:bCs w:val="false"/>
          <w:color w:val="000000"/>
          <w:sz w:val="26"/>
          <w:szCs w:val="26"/>
          <w:rtl/>
        </w:rPr>
        <w:t xml:space="preserve">۳.۱ هدف و دامنه‌ی فصل</w:t>
      </w:r>
      <w:bookmarkEnd w:id="23"/>
    </w:p>
    <w:p>
      <w:pPr>
        <w:bidi/>
        <w:spacing w:after="160" w:line="312"/>
        <w:jc w:val="left"/>
      </w:pPr>
      <w:r>
        <w:rPr>
          <w:rFonts w:ascii="Cambria" w:cs="B Nazanin" w:eastAsia="B Nazanin" w:hAnsi="Cambria"/>
          <w:color w:val="000000"/>
          <w:sz w:val="22"/>
          <w:szCs w:val="26"/>
          <w:rtl/>
        </w:rPr>
        <w:t xml:space="preserve">این فصل به چهار پرسش پاسخ می‌دهد: بانک با چه تعداد مشتری در ارتباط است، این مشتریان چه ترکیبی از خدمات را دریافت می‌کنند، چه سهمی از آنان فعال‌اند، و در گذر زمان چه سهمی از آنان حفظ می‌شوند.</w:t>
      </w:r>
    </w:p>
    <w:p>
      <w:pPr>
        <w:bidi/>
        <w:spacing w:after="160" w:line="312"/>
        <w:jc w:val="left"/>
      </w:pPr>
      <w:r>
        <w:rPr>
          <w:rFonts w:ascii="Cambria" w:cs="B Nazanin" w:eastAsia="B Nazanin" w:hAnsi="Cambria"/>
          <w:color w:val="000000"/>
          <w:sz w:val="22"/>
          <w:szCs w:val="26"/>
          <w:rtl/>
        </w:rPr>
        <w:t xml:space="preserve">تحلیل‌های این فصل بخش‌بندی رفتاری و رابطه‌ای مشتریان‌اند. در صورتی که بانک جدول نگاشت شناسه‌ی مشتری به جدول مشخصات مشتری (</w:t>
      </w:r>
      <w:r>
        <w:rPr>
          <w:rFonts w:ascii="Cambria" w:cs="B Nazanin" w:eastAsia="B Nazanin" w:hAnsi="Cambria"/>
          <w:b w:val="false"/>
          <w:bCs w:val="false"/>
          <w:color w:val="000000"/>
          <w:sz w:val="22"/>
          <w:szCs w:val="26"/>
        </w:rPr>
        <w:t xml:space="preserve">Customer_Profile</w:t>
      </w:r>
      <w:r>
        <w:rPr>
          <w:rFonts w:ascii="Cambria" w:cs="B Nazanin" w:eastAsia="B Nazanin" w:hAnsi="Cambria"/>
          <w:color w:val="000000"/>
          <w:sz w:val="22"/>
          <w:szCs w:val="26"/>
          <w:rtl/>
        </w:rPr>
        <w:t xml:space="preserve">) را ارائه کند (جدول ۲-۴)، همین تحلیل‌ها با تفکیک مشتریان حقیقی و حقوقی و با ویژگی‌های سن، جنسیت، شغل و موقعیت جغرافیایی تکمیل خواهد شد.</w:t>
      </w:r>
    </w:p>
    <w:p>
      <w:pPr>
        <w:pBdr>
          <w:bottom w:val="single" w:color="BBBBBB" w:sz="6"/>
        </w:pBdr>
        <w:spacing w:after="100" w:before="100"/>
      </w:pPr>
    </w:p>
    <w:p>
      <w:pPr>
        <w:pStyle w:val="Heading2"/>
        <w:keepNext/>
        <w:bidi/>
        <w:spacing w:after="160" w:before="300"/>
        <w:jc w:val="left"/>
      </w:pPr>
      <w:bookmarkStart w:name="_Toc24" w:id="24"/>
      <w:r>
        <w:rPr>
          <w:rFonts w:ascii="B Titr" w:cs="B Titr" w:eastAsia="B Titr" w:hAnsi="B Titr"/>
          <w:b w:val="false"/>
          <w:bCs w:val="false"/>
          <w:color w:val="000000"/>
          <w:sz w:val="26"/>
          <w:szCs w:val="26"/>
          <w:rtl/>
        </w:rPr>
        <w:t xml:space="preserve">۳.۲ جمعیت مشتریان</w:t>
      </w:r>
      <w:bookmarkEnd w:id="24"/>
    </w:p>
    <w:p>
      <w:pPr>
        <w:bidi/>
        <w:spacing w:after="160" w:line="312"/>
        <w:jc w:val="left"/>
      </w:pPr>
      <w:r>
        <w:rPr>
          <w:rFonts w:ascii="Cambria" w:cs="B Nazanin" w:eastAsia="B Nazanin" w:hAnsi="Cambria"/>
          <w:color w:val="000000"/>
          <w:sz w:val="22"/>
          <w:szCs w:val="26"/>
          <w:rtl/>
        </w:rPr>
        <w:t xml:space="preserve">جدول ۳-۱ جمعیت مشتریان نمونه را نشان می‌دهد. در این گزارش «تسهیلات‌گیرنده» یعنی گیرنده‌ی اصلی قرارداد تسهیلات. ضامن‌ها و شرکای قراردادها (حدود ۲۶۸ هزار نفر در جدول مانده‌ی تسهیلات، که تقریباً همگی سپرده‌گذار بانک‌اند) در شمارش مشتریان تسهیلاتی وارد نشده‌اند؛ زیرا هدف این فصل سنجش رابطه‌ی مشتری با بانک است، نه دامنه‌ی تعهدات قراردادها.</w:t>
      </w:r>
    </w:p>
    <w:p>
      <w:pPr>
        <w:keepNext/>
        <w:bidi/>
        <w:spacing w:after="100" w:before="200"/>
        <w:jc w:val="left"/>
      </w:pPr>
      <w:r>
        <w:rPr>
          <w:rFonts w:ascii="B Nazanin" w:cs="B Nazanin" w:eastAsia="B Nazanin" w:hAnsi="B Nazanin"/>
          <w:b/>
          <w:bCs/>
          <w:color w:val="000000"/>
          <w:sz w:val="22"/>
          <w:szCs w:val="22"/>
          <w:rtl/>
        </w:rPr>
        <w:t xml:space="preserve">جدول ۳-۱: جمعیت مشتریان نمونه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15"/>
        <w:gridCol w:w="2027"/>
        <w:gridCol w:w="3708"/>
      </w:tblGrid>
      <w:tr>
        <w:trPr>
          <w:cantSplit/>
          <w:tblHeader/>
        </w:trPr>
        <w:tc>
          <w:tcPr>
            <w:tcW w:type="dxa" w:w="36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جمعیت</w:t>
            </w:r>
          </w:p>
        </w:tc>
        <w:tc>
          <w:tcPr>
            <w:tcW w:type="dxa" w:w="202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w:t>
            </w:r>
          </w:p>
        </w:tc>
        <w:tc>
          <w:tcPr>
            <w:tcW w:type="dxa" w:w="370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تعریف</w:t>
            </w:r>
          </w:p>
        </w:tc>
      </w:tr>
      <w:tr>
        <w:trPr>
          <w:cantSplit/>
        </w:trPr>
        <w:tc>
          <w:tcPr>
            <w:tcW w:type="dxa" w:w="36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سپرده‌گذاران</w:t>
            </w:r>
          </w:p>
        </w:tc>
        <w:tc>
          <w:tcPr>
            <w:tcW w:type="dxa" w:w="20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۷۰۶,۵۰۹</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دارنده‌ی حداقل یک حساب سپرده (شامل ضامن‌ها و شرکای قراردادهای تسهیلات)</w:t>
            </w:r>
          </w:p>
        </w:tc>
      </w:tr>
      <w:tr>
        <w:trPr>
          <w:cantSplit/>
        </w:trPr>
        <w:tc>
          <w:tcPr>
            <w:tcW w:type="dxa" w:w="36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تسهیلات‌گیرندگان (گیرنده‌ی اصلی)</w:t>
            </w:r>
          </w:p>
        </w:tc>
        <w:tc>
          <w:tcPr>
            <w:tcW w:type="dxa" w:w="20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۲۴۹,۷۰۸</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شناسه‌های فهرست گیرندگان اصلی تسهیلات</w:t>
            </w:r>
          </w:p>
        </w:tc>
      </w:tr>
      <w:tr>
        <w:trPr>
          <w:cantSplit/>
        </w:trPr>
        <w:tc>
          <w:tcPr>
            <w:tcW w:type="dxa" w:w="36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 مشتریان نمونه</w:t>
            </w:r>
          </w:p>
        </w:tc>
        <w:tc>
          <w:tcPr>
            <w:tcW w:type="dxa" w:w="20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۷۰۶,۵۴۳</w:t>
            </w:r>
          </w:p>
        </w:tc>
        <w:tc>
          <w:tcPr>
            <w:tcW w:type="dxa" w:w="370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 یا گیرنده‌ی اصلی تسهیلات</w:t>
            </w:r>
          </w:p>
        </w:tc>
      </w:tr>
    </w:tbl>
    <w:p>
      <w:pPr>
        <w:spacing w:after="200"/>
      </w:pPr>
    </w:p>
    <w:p>
      <w:pPr>
        <w:pBdr>
          <w:bottom w:val="single" w:color="BBBBBB" w:sz="6"/>
        </w:pBdr>
        <w:spacing w:after="100" w:before="100"/>
      </w:pPr>
    </w:p>
    <w:p>
      <w:pPr>
        <w:pStyle w:val="Heading2"/>
        <w:keepNext/>
        <w:bidi/>
        <w:spacing w:after="160" w:before="300"/>
        <w:jc w:val="left"/>
      </w:pPr>
      <w:bookmarkStart w:name="_Toc25" w:id="25"/>
      <w:r>
        <w:rPr>
          <w:rFonts w:ascii="B Titr" w:cs="B Titr" w:eastAsia="B Titr" w:hAnsi="B Titr"/>
          <w:b w:val="false"/>
          <w:bCs w:val="false"/>
          <w:color w:val="000000"/>
          <w:sz w:val="26"/>
          <w:szCs w:val="26"/>
          <w:rtl/>
        </w:rPr>
        <w:t xml:space="preserve">۳.۳ همپوشانی سپرده و تسهیلات</w:t>
      </w:r>
      <w:bookmarkEnd w:id="25"/>
    </w:p>
    <w:p>
      <w:pPr>
        <w:bidi/>
        <w:spacing w:after="160" w:line="312"/>
        <w:jc w:val="left"/>
      </w:pPr>
      <w:r>
        <w:rPr>
          <w:rFonts w:ascii="Cambria" w:cs="B Nazanin" w:eastAsia="B Nazanin" w:hAnsi="Cambria"/>
          <w:color w:val="000000"/>
          <w:sz w:val="22"/>
          <w:szCs w:val="26"/>
          <w:rtl/>
        </w:rPr>
        <w:t xml:space="preserve">نمودار ۳-۱ ساختار رابطه‌ی مشتریان را با دو حوزه‌ی اصلی بانک نشان می‌دهد: ۲۴۹,۶۷۴ نفر (۳۵.۳ درصد سپرده‌گذاران) گیرنده‌ی اصلی تسهیلات نیز هستند و ۴۵۶,۸۳۵ نفر (۶۴.۷ درصد) صرفاً سپرده‌گذارند.</w:t>
      </w:r>
    </w:p>
    <w:p>
      <w:pPr>
        <w:keepNext/>
        <w:spacing w:after="60" w:before="160"/>
        <w:jc w:val="center"/>
      </w:pPr>
      <w:r>
        <w:drawing>
          <wp:inline distT="0" distB="0" distL="0" distR="0">
            <wp:extent cx="5715000" cy="454342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5434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۳-۱: ساختار رابطه‌ی مشتریان با حوزه‌های سپرده و تسهیلات</w:t>
      </w:r>
    </w:p>
    <w:p>
      <w:pPr>
        <w:keepNext/>
        <w:bidi/>
        <w:spacing w:after="100" w:before="200"/>
        <w:jc w:val="left"/>
      </w:pPr>
      <w:r>
        <w:rPr>
          <w:rFonts w:ascii="B Nazanin" w:cs="B Nazanin" w:eastAsia="B Nazanin" w:hAnsi="B Nazanin"/>
          <w:b/>
          <w:bCs/>
          <w:color w:val="000000"/>
          <w:sz w:val="22"/>
          <w:szCs w:val="22"/>
          <w:rtl/>
        </w:rPr>
        <w:t xml:space="preserve">جدول ۳-۲: نرخ فروش متقاطع در دو جهت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77"/>
        <w:gridCol w:w="2116"/>
        <w:gridCol w:w="3157"/>
      </w:tblGrid>
      <w:tr>
        <w:trPr>
          <w:cantSplit/>
          <w:tblHeader/>
        </w:trPr>
        <w:tc>
          <w:tcPr>
            <w:tcW w:type="dxa" w:w="40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جهت رابطه</w:t>
            </w:r>
          </w:p>
        </w:tc>
        <w:tc>
          <w:tcPr>
            <w:tcW w:type="dxa" w:w="21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w:t>
            </w:r>
          </w:p>
        </w:tc>
        <w:tc>
          <w:tcPr>
            <w:tcW w:type="dxa" w:w="31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مبنا</w:t>
            </w:r>
          </w:p>
        </w:tc>
      </w:tr>
      <w:tr>
        <w:trPr>
          <w:cantSplit/>
        </w:trPr>
        <w:tc>
          <w:tcPr>
            <w:tcW w:type="dxa" w:w="40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گیرنده‌ی اصلی تسهیلات که سپرده‌گذار نیز هست</w:t>
            </w:r>
          </w:p>
        </w:tc>
        <w:tc>
          <w:tcPr>
            <w:tcW w:type="dxa" w:w="21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۹۹.۹۹٪</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۲۴۹,۶۷۴ از ۲۴۹,۷۰۸</w:t>
            </w:r>
          </w:p>
        </w:tc>
      </w:tr>
      <w:tr>
        <w:trPr>
          <w:cantSplit/>
        </w:trPr>
        <w:tc>
          <w:tcPr>
            <w:tcW w:type="dxa" w:w="40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 که گیرنده‌ی اصلی تسهیلات است</w:t>
            </w:r>
          </w:p>
        </w:tc>
        <w:tc>
          <w:tcPr>
            <w:tcW w:type="dxa" w:w="21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۳۵.۳٪</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۲۴۹,۶۷۴ از ۷۰۶,۵۰۹</w:t>
            </w:r>
          </w:p>
        </w:tc>
      </w:tr>
      <w:tr>
        <w:trPr>
          <w:cantSplit/>
        </w:trPr>
        <w:tc>
          <w:tcPr>
            <w:tcW w:type="dxa" w:w="40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سپرده‌گذار بدون تسهیلات</w:t>
            </w:r>
          </w:p>
        </w:tc>
        <w:tc>
          <w:tcPr>
            <w:tcW w:type="dxa" w:w="21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۶۴.۷٪</w:t>
            </w:r>
          </w:p>
        </w:tc>
        <w:tc>
          <w:tcPr>
            <w:tcW w:type="dxa" w:w="31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۴۵۶,۸۳۵ از ۷۰۶,۵۰۹</w:t>
            </w:r>
          </w:p>
        </w:tc>
      </w:tr>
    </w:tbl>
    <w:p>
      <w:pPr>
        <w:spacing w:after="200"/>
      </w:pPr>
    </w:p>
    <w:p>
      <w:pPr>
        <w:bidi/>
        <w:spacing w:after="160" w:line="312"/>
        <w:jc w:val="left"/>
      </w:pPr>
      <w:r>
        <w:rPr>
          <w:rFonts w:ascii="Cambria" w:cs="B Nazanin" w:eastAsia="B Nazanin" w:hAnsi="Cambria"/>
          <w:color w:val="000000"/>
          <w:sz w:val="22"/>
          <w:szCs w:val="26"/>
          <w:rtl/>
        </w:rPr>
        <w:t xml:space="preserve">تقریباً همه‌ی گیرندگان اصلی تسهیلات (۹۹.۹۹ درصد) سپرده‌گذار نیز هستند، زیرا دریافت و بازپرداخت تسهیلات از طریق حساب سپرده انجام می‌شود. این نسبت بازتاب الزام عملیاتی است و معیار موفقیت فروش متقاطع محسوب نمی‌شود.</w:t>
      </w:r>
    </w:p>
    <w:p>
      <w:pPr>
        <w:bidi/>
        <w:spacing w:after="160" w:line="312"/>
        <w:jc w:val="left"/>
      </w:pPr>
      <w:r>
        <w:rPr>
          <w:rFonts w:ascii="Cambria" w:cs="B Nazanin" w:eastAsia="B Nazanin" w:hAnsi="Cambria"/>
          <w:color w:val="000000"/>
          <w:sz w:val="22"/>
          <w:szCs w:val="26"/>
          <w:rtl/>
        </w:rPr>
        <w:t xml:space="preserve">در مقابل، ۴۵۶,۸۳۵ سپرده‌گذار، معادل ۶۴.۷ درصد مشتریان نمونه، در ۱۲/۱۴۰۴ مانده‌ی تسهیلات ندارند. این سهم ویژگی نمونه است و به کل بانک تعمیم داده نمی‌شود (در کل بانک ۱,۵۸۳,۱۶۸ مشتری مانده‌ی تسهیلات دارند و ۷,۴۰۴,۲۴۰ مشتری سپرده دارند). برای فروش تسهیلات، این گروه نقطه‌ی شروع بررسی است و در بخش بعد به تفکیک اندازه‌ی مانده آمده است.</w:t>
      </w:r>
    </w:p>
    <w:p>
      <w:pPr>
        <w:pStyle w:val="Heading3"/>
        <w:keepNext/>
        <w:bidi/>
        <w:spacing w:after="160" w:before="300"/>
        <w:jc w:val="left"/>
      </w:pPr>
      <w:r>
        <w:rPr>
          <w:rFonts w:ascii="B Titr" w:cs="B Titr" w:eastAsia="B Titr" w:hAnsi="B Titr"/>
          <w:b w:val="false"/>
          <w:bCs w:val="false"/>
          <w:color w:val="000000"/>
          <w:sz w:val="26"/>
          <w:szCs w:val="26"/>
          <w:rtl/>
        </w:rPr>
        <w:t xml:space="preserve">۳.۳.۱ ظرفیت فروش متقاطع بر حسب اندازه‌ی مانده</w:t>
      </w:r>
    </w:p>
    <w:p>
      <w:pPr>
        <w:bidi/>
        <w:spacing w:after="160" w:line="312"/>
        <w:jc w:val="left"/>
      </w:pPr>
      <w:r>
        <w:rPr>
          <w:rFonts w:ascii="Cambria" w:cs="B Nazanin" w:eastAsia="B Nazanin" w:hAnsi="Cambria"/>
          <w:color w:val="000000"/>
          <w:sz w:val="22"/>
          <w:szCs w:val="26"/>
          <w:rtl/>
        </w:rPr>
        <w:t xml:space="preserve">نمودار ۳-۲ توزیع سپرده‌گذاران فاقد تسهیلات را در طبقات مانده‌ی سپرده (۱۲/۱۴۰۴) نشان می‌دهد. ۴۳.۰ درصد این مشتریان مانده‌ی کمتر از ۵۰۰ هزار تومان دارند و سهم آنان از مانده‌ی سپرده کمتر از ۰.۱ درصد است. در سوی مقابل، ۴,۳۳۴ مشتری (۰.۹ درصد) با مانده‌ی بیش از ۱ میلیارد تومان، ۸۲.۵ درصد از مانده‌ی این گروه را در اختیار دارند.</w:t>
      </w:r>
    </w:p>
    <w:p>
      <w:pPr>
        <w:keepNext/>
        <w:spacing w:after="60" w:before="160"/>
        <w:jc w:val="center"/>
      </w:pPr>
      <w:r>
        <w:drawing>
          <wp:inline distT="0" distB="0" distL="0" distR="0">
            <wp:extent cx="5715000" cy="25431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5431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۳-۲: توزیع تعداد و مانده‌ی سپرده‌گذاران فاقد تسهیلات بر حسب طبقه‌ی مانده</w:t>
      </w:r>
    </w:p>
    <w:p>
      <w:pPr>
        <w:keepNext/>
        <w:bidi/>
        <w:spacing w:after="100" w:before="200"/>
        <w:jc w:val="left"/>
      </w:pPr>
      <w:r>
        <w:rPr>
          <w:rFonts w:ascii="B Nazanin" w:cs="B Nazanin" w:eastAsia="B Nazanin" w:hAnsi="B Nazanin"/>
          <w:b/>
          <w:bCs/>
          <w:color w:val="000000"/>
          <w:sz w:val="22"/>
          <w:szCs w:val="22"/>
          <w:rtl/>
        </w:rPr>
        <w:t xml:space="preserve">جدول ۳-۳: سپرده‌گذاران فاقد تسهیلات به تفکیک طبقه‌ی مانده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85"/>
        <w:gridCol w:w="1570"/>
        <w:gridCol w:w="1570"/>
        <w:gridCol w:w="2190"/>
        <w:gridCol w:w="1935"/>
      </w:tblGrid>
      <w:tr>
        <w:trPr>
          <w:cantSplit/>
          <w:tblHeader/>
        </w:trPr>
        <w:tc>
          <w:tcPr>
            <w:tcW w:type="dxa" w:w="20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طبقه‌ی مانده (تومان)</w:t>
            </w:r>
          </w:p>
        </w:tc>
        <w:tc>
          <w:tcPr>
            <w:tcW w:type="dxa" w:w="15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مشتری</w:t>
            </w:r>
          </w:p>
        </w:tc>
        <w:tc>
          <w:tcPr>
            <w:tcW w:type="dxa" w:w="157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گروه</w:t>
            </w:r>
          </w:p>
        </w:tc>
        <w:tc>
          <w:tcPr>
            <w:tcW w:type="dxa" w:w="21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93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مانده‌ی گروه</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۰.۵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۱۹۶,۵۸۲</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۴۳.۰٪</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۰.۰۲</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 تا ۲.۵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۸۴,۷۱۸</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۱۸.۵٪</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 تا ۱۰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۷۴,۳۳۹</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۱۶.۳٪</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۰.۳۹</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 تا ۵۰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۵۷,۱۵۰</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۱۲.۵٪</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۱.۳۲</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 تا ۲۰۰ میلیون</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۲۶,۸۸۸</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۲.۶۶</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۲۰۰ میلیون تا ۱ میلیارد</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۱۲,۸۲۴</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۵.۴۵</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۱ میلیارد</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۴,۳۳۴</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۴۶.۷۷</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۸۲.۵٪</w:t>
            </w:r>
          </w:p>
        </w:tc>
      </w:tr>
      <w:tr>
        <w:trPr>
          <w:cantSplit/>
        </w:trPr>
        <w:tc>
          <w:tcPr>
            <w:tcW w:type="dxa" w:w="20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۴۵۶,۸۳۵</w:t>
            </w:r>
          </w:p>
        </w:tc>
        <w:tc>
          <w:tcPr>
            <w:tcW w:type="dxa" w:w="157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c>
          <w:tcPr>
            <w:tcW w:type="dxa" w:w="21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۵۶.۷۱</w:t>
            </w:r>
          </w:p>
        </w:tc>
        <w:tc>
          <w:tcPr>
            <w:tcW w:type="dxa" w:w="193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r>
    </w:tbl>
    <w:p>
      <w:pPr>
        <w:spacing w:after="200"/>
      </w:pPr>
    </w:p>
    <w:p>
      <w:pPr>
        <w:bidi/>
        <w:spacing w:after="160" w:line="312"/>
        <w:jc w:val="left"/>
      </w:pPr>
      <w:r>
        <w:rPr>
          <w:rFonts w:ascii="Cambria" w:cs="B Nazanin" w:eastAsia="B Nazanin" w:hAnsi="Cambria"/>
          <w:color w:val="000000"/>
          <w:sz w:val="22"/>
          <w:szCs w:val="26"/>
          <w:rtl/>
        </w:rPr>
        <w:t xml:space="preserve">بر این اساس، بازار هدف قابل‌اقدام فروش تسهیلات را می‌توان در دو گروه تعریف کرد: ۹۶,۸۶۲ مشتری با مانده‌ی ۱۰ میلیون تا ۱ میلیارد تومان (۲۱.۲ درصد گروه) که مانده‌ی سپرده و تعداد کافی برای برنامه‌ی فروش هدفمند دارند، و ۴,۳۳۴ سپرده‌گذار بزرگ با مانده‌ی بیش از ۱ میلیارد تومان که روی هم ۴۶.۸ هزار میلیارد تومان، یعنی بیش از نیمی از کل مانده‌ی سپرده‌ی نمونه، را نزد بانک دارند و گیرنده‌ی اصلی تسهیلات نیستند (۱,۹۴۶ نفر از آنان ضامن یا شریک قرارداد هستند). مجموع این دو گروه ۱۰۱,۱۹۶ نفر (۲۲.۲ درصد مشتریان فاقد تسهیلات) است.</w:t>
      </w:r>
    </w:p>
    <w:p>
      <w:pPr>
        <w:pBdr>
          <w:bottom w:val="single" w:color="BBBBBB" w:sz="6"/>
        </w:pBdr>
        <w:spacing w:after="100" w:before="100"/>
      </w:pPr>
    </w:p>
    <w:p>
      <w:pPr>
        <w:pStyle w:val="Heading2"/>
        <w:keepNext/>
        <w:bidi/>
        <w:spacing w:after="160" w:before="300"/>
        <w:jc w:val="left"/>
      </w:pPr>
      <w:bookmarkStart w:name="_Toc26" w:id="26"/>
      <w:r>
        <w:rPr>
          <w:rFonts w:ascii="B Titr" w:cs="B Titr" w:eastAsia="B Titr" w:hAnsi="B Titr"/>
          <w:b w:val="false"/>
          <w:bCs w:val="false"/>
          <w:color w:val="000000"/>
          <w:sz w:val="26"/>
          <w:szCs w:val="26"/>
          <w:rtl/>
        </w:rPr>
        <w:t xml:space="preserve">۳.۴ فعال‌بودن مشتریان</w:t>
      </w:r>
      <w:bookmarkEnd w:id="26"/>
    </w:p>
    <w:p>
      <w:pPr>
        <w:pStyle w:val="Heading3"/>
        <w:keepNext/>
        <w:bidi/>
        <w:spacing w:after="160" w:before="300"/>
        <w:jc w:val="left"/>
      </w:pPr>
      <w:r>
        <w:rPr>
          <w:rFonts w:ascii="B Titr" w:cs="B Titr" w:eastAsia="B Titr" w:hAnsi="B Titr"/>
          <w:b w:val="false"/>
          <w:bCs w:val="false"/>
          <w:color w:val="000000"/>
          <w:sz w:val="26"/>
          <w:szCs w:val="26"/>
          <w:rtl/>
        </w:rPr>
        <w:t xml:space="preserve">۳.۴.۱ سپرده‌گذاران</w:t>
      </w:r>
    </w:p>
    <w:p>
      <w:pPr>
        <w:bidi/>
        <w:spacing w:after="160" w:line="312"/>
        <w:jc w:val="left"/>
      </w:pPr>
      <w:r>
        <w:rPr>
          <w:rFonts w:ascii="Cambria" w:cs="B Nazanin" w:eastAsia="B Nazanin" w:hAnsi="Cambria"/>
          <w:color w:val="000000"/>
          <w:sz w:val="22"/>
          <w:szCs w:val="26"/>
          <w:rtl/>
        </w:rPr>
        <w:t xml:space="preserve">نمونه بر مشتریان فعال مبتنی است (بخش ۱.۲). نمودار ۳-۳ نشان می‌دهد چه سهمی از سپرده‌گذاران نمونه در ۱۲/۱۴۰۴ هر یک از چهار معیار فعال‌بودن را احراز می‌کنند: تازگی (تراکنش در شش ماه اخیر، از ۰۷/۱۴۰۴)، تکرار (حداقل یک ماه فعال)، ارزش پولی (مانده‌ی ماهانه‌ی حداقل ۵۰۰ هزار تومان در دوره) و قدمت (حداقل ۱۲ ماه از نخستین حساب).</w:t>
      </w:r>
    </w:p>
    <w:p>
      <w:pPr>
        <w:keepNext/>
        <w:spacing w:after="60" w:before="160"/>
        <w:jc w:val="center"/>
      </w:pPr>
      <w:r>
        <w:drawing>
          <wp:inline distT="0" distB="0" distL="0" distR="0">
            <wp:extent cx="5715000" cy="24765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4765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۳-۳: سهم سپرده‌گذاران نمونه که معیارهای فعال‌بودن را در ۱۲/۱۴۰۴ احراز می‌کنند</w:t>
      </w:r>
    </w:p>
    <w:p>
      <w:pPr>
        <w:bidi/>
        <w:spacing w:after="160" w:line="312"/>
        <w:jc w:val="left"/>
      </w:pPr>
      <w:r>
        <w:rPr>
          <w:rFonts w:ascii="Cambria" w:cs="B Nazanin" w:eastAsia="B Nazanin" w:hAnsi="Cambria"/>
          <w:color w:val="000000"/>
          <w:sz w:val="22"/>
          <w:szCs w:val="26"/>
          <w:rtl/>
        </w:rPr>
        <w:t xml:space="preserve">۹۰.۳ درصد سپرده‌گذاران نمونه (۶۳۸,۲۴۵ نفر) هر چهار معیار را هم‌زمان احراز می‌کنند و هر یک از معیارها به‌تنهایی نزد ۹۵.۷ تا ۱۰۰ درصد آنان برقرار است. این نتیجه با طراحی نمونه سازگار است: نمونه از جمعیت پالایش‌شده برداشته شده و بخش بسیار بزرگی از آن در پایان دوره نیز فعال مانده است. معیارهای جدول ۱-۱ برای نمونه‌ی سپرده اعمال شده‌اند و برای ضامن‌ها و شرکای قراردادها (حدود ۳۵۵ هزار نفر از سپرده‌گذاران که فقط از مسیر قراردادهای تسهیلات وارد جمعیت تحلیلی شده‌اند، جدول ۱-۴) اعمال نشده‌اند؛ ۹.۷ درصد سپرده‌گذاران برخی معیارها را احراز نمی‌کنند. قدمت در این گزارش از تاریخ افتتاح نخستین حساب سپرده محاسبه شده است.</w:t>
      </w:r>
    </w:p>
    <w:p>
      <w:pPr>
        <w:pStyle w:val="Heading3"/>
        <w:keepNext/>
        <w:bidi/>
        <w:spacing w:after="160" w:before="300"/>
        <w:jc w:val="left"/>
      </w:pPr>
      <w:r>
        <w:rPr>
          <w:rFonts w:ascii="B Titr" w:cs="B Titr" w:eastAsia="B Titr" w:hAnsi="B Titr"/>
          <w:b w:val="false"/>
          <w:bCs w:val="false"/>
          <w:color w:val="000000"/>
          <w:sz w:val="26"/>
          <w:szCs w:val="26"/>
          <w:rtl/>
        </w:rPr>
        <w:t xml:space="preserve">۳.۴.۲ تسهیلات‌گیرندگان</w:t>
      </w:r>
    </w:p>
    <w:p>
      <w:pPr>
        <w:bidi/>
        <w:spacing w:after="160" w:line="312"/>
        <w:jc w:val="left"/>
      </w:pPr>
      <w:r>
        <w:rPr>
          <w:rFonts w:ascii="Cambria" w:cs="B Nazanin" w:eastAsia="B Nazanin" w:hAnsi="Cambria"/>
          <w:color w:val="000000"/>
          <w:sz w:val="22"/>
          <w:szCs w:val="26"/>
          <w:rtl/>
        </w:rPr>
        <w:t xml:space="preserve">از ۲۴۹,۷۰۸ گیرنده‌ی اصلی تسهیلات، ۲۳۳,۰۰۲ نفر (۹۳.۳ درصد) در سال ۱۴۰۴ مانده‌ی تسهیلات مثبت داشته‌اند؛ ۱۶,۷۰۶ نفر در فهرست گیرندگان‌اند اما مانده‌ی مثبتی در ۱۴۰۴ ندارند.</w:t>
      </w:r>
    </w:p>
    <w:p>
      <w:pPr>
        <w:pBdr>
          <w:bottom w:val="single" w:color="BBBBBB" w:sz="6"/>
        </w:pBdr>
        <w:spacing w:after="100" w:before="100"/>
      </w:pPr>
    </w:p>
    <w:p>
      <w:pPr>
        <w:pStyle w:val="Heading2"/>
        <w:keepNext/>
        <w:bidi/>
        <w:spacing w:after="160" w:before="300"/>
        <w:jc w:val="left"/>
      </w:pPr>
      <w:bookmarkStart w:name="_Toc27" w:id="27"/>
      <w:r>
        <w:rPr>
          <w:rFonts w:ascii="B Titr" w:cs="B Titr" w:eastAsia="B Titr" w:hAnsi="B Titr"/>
          <w:b w:val="false"/>
          <w:bCs w:val="false"/>
          <w:color w:val="000000"/>
          <w:sz w:val="26"/>
          <w:szCs w:val="26"/>
          <w:rtl/>
        </w:rPr>
        <w:t xml:space="preserve">۳.۵ ماندگاری کوهورت‌های افتتاح حساب</w:t>
      </w:r>
      <w:bookmarkEnd w:id="27"/>
    </w:p>
    <w:p>
      <w:pPr>
        <w:pStyle w:val="Heading3"/>
        <w:keepNext/>
        <w:bidi/>
        <w:spacing w:after="160" w:before="300"/>
        <w:jc w:val="left"/>
      </w:pPr>
      <w:r>
        <w:rPr>
          <w:rFonts w:ascii="B Titr" w:cs="B Titr" w:eastAsia="B Titr" w:hAnsi="B Titr"/>
          <w:b w:val="false"/>
          <w:bCs w:val="false"/>
          <w:color w:val="000000"/>
          <w:sz w:val="26"/>
          <w:szCs w:val="26"/>
          <w:rtl/>
        </w:rPr>
        <w:t xml:space="preserve">۳.۵.۱ روش</w:t>
      </w:r>
    </w:p>
    <w:p>
      <w:pPr>
        <w:bidi/>
        <w:spacing w:after="160" w:line="312"/>
        <w:jc w:val="left"/>
      </w:pPr>
      <w:r>
        <w:rPr>
          <w:rFonts w:ascii="Cambria" w:cs="B Nazanin" w:eastAsia="B Nazanin" w:hAnsi="Cambria"/>
          <w:color w:val="000000"/>
          <w:sz w:val="22"/>
          <w:szCs w:val="26"/>
          <w:rtl/>
        </w:rPr>
        <w:t xml:space="preserve">در تحلیل کوهورت، مشتریان بر اساس سال افتتاح نخستین حساب سپرده‌ی خود به گروه‌های همسال تقسیم می‌شوند و سرنوشت هر گروه در طول زمان دنبال می‌شود. نرخ ماندگاری کوهورت سال c نسبت مشتریان آن کوهورت است که در ۱۲/۱۴۰۴ همچنان فعال‌اند:</w:t>
      </w:r>
    </w:p>
    <w:p>
      <w:pPr>
        <w:spacing w:after="160" w:before="120"/>
        <w:jc w:val="center"/>
      </w:pPr>
      <m:oMath>
        <m:r>
          <m:t>نرخ ماندگاری کوهورت c</m:t>
        </m:r>
        <m:r>
          <m:t>=</m:t>
        </m:r>
        <m:f>
          <m:num>
            <m:r>
              <m:t>تعداد مشتریان فعال کوهورت c در ۱۲/۱۴۰۴</m:t>
            </m:r>
          </m:num>
          <m:den>
            <m:r>
              <m:t>تعداد کل مشتریان کوهورت c</m:t>
            </m:r>
          </m:den>
        </m:f>
        <m:r>
          <m:t>×</m:t>
        </m:r>
        <m:r>
          <m:t>۱۰۰</m:t>
        </m:r>
      </m:oMath>
    </w:p>
    <w:p>
      <w:pPr>
        <w:bidi/>
        <w:spacing w:after="160" w:line="312"/>
        <w:jc w:val="left"/>
      </w:pPr>
      <w:r>
        <w:rPr>
          <w:rFonts w:ascii="Cambria" w:cs="B Nazanin" w:eastAsia="B Nazanin" w:hAnsi="Cambria"/>
          <w:color w:val="000000"/>
          <w:sz w:val="22"/>
          <w:szCs w:val="26"/>
          <w:rtl/>
        </w:rPr>
        <w:t xml:space="preserve">«فعال» بر پایه‌ی چهار معیار بخش ۳.۴.۱ سنجیده می‌شود. مقایسه‌ی نرخ ماندگاری کوهورت‌ها اثر عمر رابطه را نشان می‌دهد: اگر کوهورت‌های قدیمی‌تر ماندگاری کمتری داشته باشند، ریزش با گذر زمان انباشته می‌شود؛ و اگر نرخ‌ها نزدیک باشند، رابطه‌ی مشتری با بانک پایدار است. نمودار سمت راست نمودار ۳-۴ نرخ ماندگاری و نمودار سمت چپ اندازه‌ی هر کوهورت را نشان می‌دهد.</w:t>
      </w:r>
    </w:p>
    <w:p>
      <w:pPr>
        <w:bidi/>
        <w:spacing w:after="160" w:line="312"/>
        <w:jc w:val="left"/>
      </w:pPr>
      <w:r>
        <w:rPr>
          <w:rFonts w:ascii="Cambria" w:cs="B Nazanin" w:eastAsia="B Nazanin" w:hAnsi="Cambria"/>
          <w:color w:val="000000"/>
          <w:sz w:val="22"/>
          <w:szCs w:val="26"/>
          <w:rtl/>
        </w:rPr>
        <w:t xml:space="preserve">برای کوهورت ۱۴۰۴ ماندگاری قابل محاسبه نیست: مشتری‌ای که نخستین حساب خود را در سال ۱۴۰۴ افتتاح کرده باشد، در ۱۲/۱۴۰۴ کمتر از ۱۲ ماه قدمت دارد و بر اساس معیار قدمت هنوز در جمع مشتریان فعال شمرده نمی‌شود. از ۳۰,۲۷۴ نفر این کوهورت، ۳۰,۲۶۳ نفر طرف قراردادهای تسهیلات‌اند و معیار قدمت برای آنان اعمال نشده است.</w:t>
      </w:r>
    </w:p>
    <w:p>
      <w:pPr>
        <w:keepNext/>
        <w:spacing w:after="60" w:before="160"/>
        <w:jc w:val="center"/>
      </w:pPr>
      <w:r>
        <w:drawing>
          <wp:inline distT="0" distB="0" distL="0" distR="0">
            <wp:extent cx="5715000" cy="21526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۳-۴: اندازه و نرخ ماندگاری کوهورت‌های افتتاح حساب سپرده تا ۱۲/۱۴۰۴</w:t>
      </w:r>
    </w:p>
    <w:p>
      <w:pPr>
        <w:keepNext/>
        <w:bidi/>
        <w:spacing w:after="100" w:before="200"/>
        <w:jc w:val="left"/>
      </w:pPr>
      <w:r>
        <w:rPr>
          <w:rFonts w:ascii="B Nazanin" w:cs="B Nazanin" w:eastAsia="B Nazanin" w:hAnsi="B Nazanin"/>
          <w:b/>
          <w:bCs/>
          <w:color w:val="000000"/>
          <w:sz w:val="22"/>
          <w:szCs w:val="22"/>
          <w:rtl/>
        </w:rPr>
        <w:t xml:space="preserve">جدول ۳-۴: ماندگاری کوهورت‌های افتتاح حساب</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88"/>
        <w:gridCol w:w="1988"/>
        <w:gridCol w:w="2832"/>
        <w:gridCol w:w="2542"/>
      </w:tblGrid>
      <w:tr>
        <w:trPr>
          <w:cantSplit/>
          <w:tblHeader/>
        </w:trPr>
        <w:tc>
          <w:tcPr>
            <w:tcW w:type="dxa" w:w="19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کوهورت</w:t>
            </w:r>
          </w:p>
        </w:tc>
        <w:tc>
          <w:tcPr>
            <w:tcW w:type="dxa" w:w="19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اندازه</w:t>
            </w:r>
          </w:p>
        </w:tc>
        <w:tc>
          <w:tcPr>
            <w:tcW w:type="dxa" w:w="28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فعال در ۱۲/۱۴۰۴</w:t>
            </w:r>
          </w:p>
        </w:tc>
        <w:tc>
          <w:tcPr>
            <w:tcW w:type="dxa" w:w="254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نرخ ماندگاری</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۱۳۹۹</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۵۷,۱۵۸</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۵۰,۹۵۷</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۸۹.۲٪</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۶۴,۶۳۸</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۵۷,۵۰۳</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۸۹.۰٪</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۸۰,۳۴۱</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۷۶,۰۷۷</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۹۴.۷٪</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۷۴,۱۲۵</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۷۰,۶۸۰</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۹۵.۴٪</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۶۶,۳۶۹</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۶۳,۳۵۰</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۹۵.۵٪</w:t>
            </w:r>
          </w:p>
        </w:tc>
      </w:tr>
      <w:tr>
        <w:trPr>
          <w:cantSplit/>
        </w:trPr>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19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۳۰,۲۷۴</w:t>
            </w:r>
          </w:p>
        </w:tc>
        <w:tc>
          <w:tcPr>
            <w:tcW w:type="dxa" w:w="2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قابل محاسبه نیست</w:t>
            </w:r>
          </w:p>
        </w:tc>
        <w:tc>
          <w:tcPr>
            <w:tcW w:type="dxa" w:w="25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۳.۵.۲ تحلیل</w:t>
      </w:r>
    </w:p>
    <w:p>
      <w:pPr>
        <w:bidi/>
        <w:spacing w:after="160" w:line="312"/>
        <w:jc w:val="left"/>
      </w:pPr>
      <w:r>
        <w:rPr>
          <w:rFonts w:ascii="Cambria" w:cs="B Nazanin" w:eastAsia="B Nazanin" w:hAnsi="Cambria"/>
          <w:color w:val="000000"/>
          <w:sz w:val="22"/>
          <w:szCs w:val="26"/>
          <w:rtl/>
        </w:rPr>
        <w:t xml:space="preserve">ماندگاری در تمام کوهورت‌های قابل محاسبه بالا و در بازه‌ی ۸۹.۰ تا ۹۵.۵ درصد است. کوهورت‌های ۱۴۰۱ تا ۱۴۰۳ حدود ۹۵ درصد و کوهورت‌های ۱۳۹۹ و ۱۴۰۰ حدود ۸۹ درصد ماندگاری دارند؛ یعنی مشتریان با سابقه‌ی بیش از چهار سال تنها حدود ۶ واحد درصد کمتر از مشتریان جدیدتر حفظ شده‌اند. فرسایش رابطه با عمر کوهورت ملایم است.</w:t>
      </w:r>
    </w:p>
    <w:p>
      <w:pPr>
        <w:bidi/>
        <w:spacing w:after="160" w:line="312"/>
        <w:jc w:val="left"/>
      </w:pPr>
      <w:r>
        <w:rPr>
          <w:rFonts w:ascii="Cambria" w:cs="B Nazanin" w:eastAsia="B Nazanin" w:hAnsi="Cambria"/>
          <w:color w:val="000000"/>
          <w:sz w:val="22"/>
          <w:szCs w:val="26"/>
          <w:rtl/>
        </w:rPr>
        <w:t xml:space="preserve">نمونه‌ی سپرده از مشتریان فعال در مقطع نمونه‌گیری برداشته شده است؛ ماندگاری گزارش‌شده درون جمعیت نمونه محاسبه می‌شود و ساختار آن را نشان می‌دهد، نه نرخ ماندگاری کل بانک را. برآورد ماندگاری کل بانک به نمونه‌ای از مشتریان غیرفعال و ریزش‌کرده نیاز دارد (جدول ۲-۴، ردیف ۴) و در فاز ۴ انجام می‌شود.</w:t>
      </w:r>
    </w:p>
    <w:p>
      <w:pPr>
        <w:pBdr>
          <w:bottom w:val="single" w:color="BBBBBB" w:sz="6"/>
        </w:pBdr>
        <w:spacing w:after="100" w:before="100"/>
      </w:pPr>
    </w:p>
    <w:p>
      <w:pPr>
        <w:pStyle w:val="Heading2"/>
        <w:keepNext/>
        <w:bidi/>
        <w:spacing w:after="160" w:before="300"/>
        <w:jc w:val="left"/>
      </w:pPr>
      <w:bookmarkStart w:name="_Toc28" w:id="28"/>
      <w:r>
        <w:rPr>
          <w:rFonts w:ascii="B Titr" w:cs="B Titr" w:eastAsia="B Titr" w:hAnsi="B Titr"/>
          <w:b w:val="false"/>
          <w:bCs w:val="false"/>
          <w:color w:val="000000"/>
          <w:sz w:val="26"/>
          <w:szCs w:val="26"/>
          <w:rtl/>
        </w:rPr>
        <w:t xml:space="preserve">۳.۶ نرخ ریزش سالانه</w:t>
      </w:r>
      <w:bookmarkEnd w:id="28"/>
    </w:p>
    <w:p>
      <w:pPr>
        <w:pStyle w:val="Heading3"/>
        <w:keepNext/>
        <w:bidi/>
        <w:spacing w:after="160" w:before="300"/>
        <w:jc w:val="left"/>
      </w:pPr>
      <w:r>
        <w:rPr>
          <w:rFonts w:ascii="B Titr" w:cs="B Titr" w:eastAsia="B Titr" w:hAnsi="B Titr"/>
          <w:b w:val="false"/>
          <w:bCs w:val="false"/>
          <w:color w:val="000000"/>
          <w:sz w:val="26"/>
          <w:szCs w:val="26"/>
          <w:rtl/>
        </w:rPr>
        <w:t xml:space="preserve">۳.۶.۱ روش</w:t>
      </w:r>
    </w:p>
    <w:p>
      <w:pPr>
        <w:bidi/>
        <w:spacing w:after="160" w:line="312"/>
        <w:jc w:val="left"/>
      </w:pPr>
      <w:r>
        <w:rPr>
          <w:rFonts w:ascii="Cambria" w:cs="B Nazanin" w:eastAsia="B Nazanin" w:hAnsi="Cambria"/>
          <w:color w:val="000000"/>
          <w:sz w:val="22"/>
          <w:szCs w:val="26"/>
          <w:rtl/>
        </w:rPr>
        <w:t xml:space="preserve">نرخ ریزش سالانه پرسش دیگری را پاسخ می‌دهد: از مشتریانی که در ابتدای یک سال فعال بودند، چه سهمی تا پایان سال بعد بانک را کاملاً ترک کرده‌اند. مشتری در صورتی «ریزش‌کرده» محسوب می‌شود که میانگین مانده‌ی او در تمام سال بعد دقیقاً صفر باشد، یعنی حساب‌هایش خالی یا بسته شده باشد:</w:t>
      </w:r>
    </w:p>
    <w:p>
      <w:pPr>
        <w:spacing w:after="160" w:before="120"/>
        <w:jc w:val="center"/>
      </w:pPr>
      <m:oMath>
        <m:r>
          <m:t>نرخ ریزش</m:t>
        </m:r>
        <m:r>
          <m:t>=</m:t>
        </m:r>
        <m:f>
          <m:num>
            <m:r>
              <m:t>تعداد مشتریان ریزش‌کرده در سال بعد</m:t>
            </m:r>
          </m:num>
          <m:den>
            <m:r>
              <m:t>تعداد مشتریان فعال ابتدای دوره</m:t>
            </m:r>
          </m:den>
        </m:f>
        <m:r>
          <m:t>×</m:t>
        </m:r>
        <m:r>
          <m:t>۱۰۰</m:t>
        </m:r>
      </m:oMath>
    </w:p>
    <w:p>
      <w:pPr>
        <w:bidi/>
        <w:spacing w:after="160" w:line="312"/>
        <w:jc w:val="left"/>
      </w:pPr>
      <w:r>
        <w:rPr>
          <w:rFonts w:ascii="Cambria" w:cs="B Nazanin" w:eastAsia="B Nazanin" w:hAnsi="Cambria"/>
          <w:color w:val="000000"/>
          <w:sz w:val="22"/>
          <w:szCs w:val="26"/>
          <w:rtl/>
        </w:rPr>
        <w:t xml:space="preserve">افزون بر نرخ تعدادی، سهم مانده‌ی ازدست‌رفته نیز محاسبه می‌شود؛ این شاخص نشان می‌دهد ریزش‌کنندگان چه سهمی از مانده‌ی بانک را داشته‌اند و ارزش اقتصادی ریزش را می‌سنجد. این تعریف ریزش کامل را می‌سنجد؛ کاهش تدریجی فعالیت (ریزش رفتاری) در فاز ۲ و ۴ با تعریف مستقل پیگیری می‌شود.</w:t>
      </w:r>
    </w:p>
    <w:p>
      <w:pPr>
        <w:keepNext/>
        <w:spacing w:after="60" w:before="160"/>
        <w:jc w:val="center"/>
      </w:pPr>
      <w:r>
        <w:drawing>
          <wp:inline distT="0" distB="0" distL="0" distR="0">
            <wp:extent cx="5715000" cy="20669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0669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۳-۵: نرخ ریزش سالانه‌ی سپرده‌گذاران و سهم مانده‌ی ازدست‌رفته</w:t>
      </w:r>
    </w:p>
    <w:p>
      <w:pPr>
        <w:keepNext/>
        <w:bidi/>
        <w:spacing w:after="100" w:before="200"/>
        <w:jc w:val="left"/>
      </w:pPr>
      <w:r>
        <w:rPr>
          <w:rFonts w:ascii="B Nazanin" w:cs="B Nazanin" w:eastAsia="B Nazanin" w:hAnsi="B Nazanin"/>
          <w:b/>
          <w:bCs/>
          <w:color w:val="000000"/>
          <w:sz w:val="22"/>
          <w:szCs w:val="22"/>
          <w:rtl/>
        </w:rPr>
        <w:t xml:space="preserve">جدول ۳-۵: نرخ ریزش سالانه‌ی سپرده‌گذاران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2"/>
        <w:gridCol w:w="2291"/>
        <w:gridCol w:w="1578"/>
        <w:gridCol w:w="1513"/>
        <w:gridCol w:w="2216"/>
      </w:tblGrid>
      <w:tr>
        <w:trPr>
          <w:cantSplit/>
          <w:tblHeader/>
        </w:trPr>
        <w:tc>
          <w:tcPr>
            <w:tcW w:type="dxa" w:w="17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گذار</w:t>
            </w:r>
          </w:p>
        </w:tc>
        <w:tc>
          <w:tcPr>
            <w:tcW w:type="dxa" w:w="22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مشتریان فعال ابتدای دوره</w:t>
            </w:r>
          </w:p>
        </w:tc>
        <w:tc>
          <w:tcPr>
            <w:tcW w:type="dxa" w:w="15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ریزش‌کرده</w:t>
            </w:r>
          </w:p>
        </w:tc>
        <w:tc>
          <w:tcPr>
            <w:tcW w:type="dxa" w:w="151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نرخ ریزش</w:t>
            </w:r>
          </w:p>
        </w:tc>
        <w:tc>
          <w:tcPr>
            <w:tcW w:type="dxa" w:w="22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مانده‌ی ازدست‌رفته</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۱۳۹۹ تا ۱۴۰۰</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۳۹۹,۳۸۷</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۱,۰۶۶</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۰.۲۷٪</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۰.۰۵٪</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 تا ۱۴۰۱</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۴۶۳,۵۰۸</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۱,۲۸۱</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۰.۲۸٪</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۰.۸۳٪</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 تا ۱۴۰۲</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۵۴۲,۱۷۴</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۱,۶۴۷</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۰.۳۰٪</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۰.۰۷٪</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 تا ۱۴۰۳</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۶۱۰,۹۱۵</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۲,۸۶۲</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۰.۴۷٪</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۰.۴۳٪</w:t>
            </w:r>
          </w:p>
        </w:tc>
      </w:tr>
      <w:tr>
        <w:trPr>
          <w:cantSplit/>
        </w:trPr>
        <w:tc>
          <w:tcPr>
            <w:tcW w:type="dxa" w:w="17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 تا ۱۴۰۴</w:t>
            </w:r>
          </w:p>
        </w:tc>
        <w:tc>
          <w:tcPr>
            <w:tcW w:type="dxa" w:w="22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۶۷۵,۰۲۱</w:t>
            </w:r>
          </w:p>
        </w:tc>
        <w:tc>
          <w:tcPr>
            <w:tcW w:type="dxa" w:w="15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۳,۶۸۲</w:t>
            </w:r>
          </w:p>
        </w:tc>
        <w:tc>
          <w:tcPr>
            <w:tcW w:type="dxa" w:w="151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۰.۵۵٪</w:t>
            </w:r>
          </w:p>
        </w:tc>
        <w:tc>
          <w:tcPr>
            <w:tcW w:type="dxa" w:w="22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۰.۰۸٪</w:t>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۳.۶.۲ تحلیل</w:t>
      </w:r>
    </w:p>
    <w:p>
      <w:pPr>
        <w:bidi/>
        <w:spacing w:after="160" w:line="312"/>
        <w:jc w:val="left"/>
      </w:pPr>
      <w:r>
        <w:rPr>
          <w:rFonts w:ascii="Cambria" w:cs="B Nazanin" w:eastAsia="B Nazanin" w:hAnsi="Cambria"/>
          <w:color w:val="000000"/>
          <w:sz w:val="22"/>
          <w:szCs w:val="26"/>
          <w:rtl/>
        </w:rPr>
        <w:t xml:space="preserve">نرخ ریزش کامل در تمام گذارها کمتر از یک درصد است و از حدود ۰.۳ درصد در سه گذار نخست به ۰.۴۷ و ۰.۵۵ درصد در دو گذار اخیر رسیده است. تعداد ریزش‌کنندگان از ۱,۰۶۶ به ۳,۶۸۲ نفر، یعنی ۳.۵ برابر، افزایش یافته در حالی که جمعیت پایه ۱.۷ برابر شده است؛ ریزش اندکی سریع‌تر از جمعیت رشد کرده است.</w:t>
      </w:r>
    </w:p>
    <w:p>
      <w:pPr>
        <w:bidi/>
        <w:spacing w:after="160" w:line="312"/>
        <w:jc w:val="left"/>
      </w:pPr>
      <w:r>
        <w:rPr>
          <w:rFonts w:ascii="Cambria" w:cs="B Nazanin" w:eastAsia="B Nazanin" w:hAnsi="Cambria"/>
          <w:color w:val="000000"/>
          <w:sz w:val="22"/>
          <w:szCs w:val="26"/>
          <w:rtl/>
        </w:rPr>
        <w:t xml:space="preserve">ریزش‌کنندگان عمدتاً مشتریان کم‌ارزش‌اند: سهم مانده‌ی ازدست‌رفته در چهار گذار از پنج گذار کمتر از نیم درصد است، که با ساختار پلکان مانده (بخش ۴.۴.۱) سازگار است. در گذار ۱۴۰۰ به ۱۴۰۱ این سهم ۰.۸۳ درصد بوده که نشان‌دهنده‌ی خروج چند مشتری با مانده‌ی بالاتر از میانگین در آن سال است.</w:t>
      </w:r>
    </w:p>
    <w:p>
      <w:pPr>
        <w:bidi/>
        <w:spacing w:after="160" w:line="312"/>
        <w:jc w:val="left"/>
      </w:pPr>
      <w:r>
        <w:rPr>
          <w:rFonts w:ascii="Cambria" w:cs="B Nazanin" w:eastAsia="B Nazanin" w:hAnsi="Cambria"/>
          <w:color w:val="000000"/>
          <w:sz w:val="22"/>
          <w:szCs w:val="26"/>
          <w:rtl/>
        </w:rPr>
        <w:t xml:space="preserve">نرخ ریزش بر مشتریانی محاسبه شده که در مقطع نمونه‌گیری فعال بوده‌اند و ریزش کل بانک را کمتر از مقدار واقعی نشان می‌دهد. این نرخ‌ها برای مقایسه‌ی گذارها و ساختار ریزش (غلبه‌ی مشتریان کم‌مانده) معتبرند و برآورد ریزش کل بانک به نمونه‌ی مشتریان غیرفعال نیاز دارد (جدول ۲-۴).</w:t>
      </w:r>
    </w:p>
    <w:p>
      <w:pPr>
        <w:pBdr>
          <w:bottom w:val="single" w:color="BBBBBB" w:sz="6"/>
        </w:pBdr>
        <w:spacing w:after="100" w:before="100"/>
      </w:pPr>
    </w:p>
    <w:p>
      <w:pPr>
        <w:pStyle w:val="Heading2"/>
        <w:keepNext/>
        <w:bidi/>
        <w:spacing w:after="160" w:before="300"/>
        <w:jc w:val="left"/>
      </w:pPr>
      <w:bookmarkStart w:name="_Toc29" w:id="29"/>
      <w:r>
        <w:rPr>
          <w:rFonts w:ascii="B Titr" w:cs="B Titr" w:eastAsia="B Titr" w:hAnsi="B Titr"/>
          <w:b w:val="false"/>
          <w:bCs w:val="false"/>
          <w:color w:val="000000"/>
          <w:sz w:val="26"/>
          <w:szCs w:val="26"/>
          <w:rtl/>
        </w:rPr>
        <w:t xml:space="preserve">۳.۷ جمع‌بندی فصل</w:t>
      </w:r>
      <w:bookmarkEnd w:id="29"/>
    </w:p>
    <w:p>
      <w:pPr>
        <w:bidi/>
        <w:spacing w:after="160" w:line="312"/>
        <w:jc w:val="left"/>
      </w:pPr>
      <w:r>
        <w:rPr>
          <w:rFonts w:ascii="Cambria" w:cs="B Nazanin" w:eastAsia="B Nazanin" w:hAnsi="Cambria"/>
          <w:color w:val="000000"/>
          <w:sz w:val="22"/>
          <w:szCs w:val="26"/>
          <w:rtl/>
        </w:rPr>
        <w:t xml:space="preserve">نتایج این فصل درباره‌ی رابطه‌ی مشتریان با بانک چنین است:</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نمونه‌ی تحلیلی شامل </w:t>
      </w:r>
      <w:r>
        <w:rPr>
          <w:rFonts w:ascii="Cambria" w:cs="B Nazanin" w:eastAsia="B Nazanin" w:hAnsi="Cambria"/>
          <w:b/>
          <w:bCs/>
          <w:color w:val="000000"/>
          <w:sz w:val="22"/>
          <w:szCs w:val="26"/>
          <w:rtl/>
        </w:rPr>
        <w:t xml:space="preserve">۷۰۶,۵۴۳ مشتری</w:t>
      </w:r>
      <w:r>
        <w:rPr>
          <w:rFonts w:ascii="Cambria" w:cs="B Nazanin" w:eastAsia="B Nazanin" w:hAnsi="Cambria"/>
          <w:color w:val="000000"/>
          <w:sz w:val="22"/>
          <w:szCs w:val="26"/>
          <w:rtl/>
        </w:rPr>
        <w:t xml:space="preserve"> است که ۷۰۶,۵۰۹ نفر آنان سپرده‌گذار و ۲۴۹,۷۰۸ نفر گیرنده‌ی اصلی تسهیلات‌اند. سپرده دروازه‌ی ورود مشتریان به بانک است.</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b/>
          <w:bCs/>
          <w:color w:val="000000"/>
          <w:sz w:val="22"/>
          <w:szCs w:val="26"/>
          <w:rtl/>
        </w:rPr>
        <w:t xml:space="preserve">۳۵.۳ درصد سپرده‌گذاران</w:t>
      </w:r>
      <w:r>
        <w:rPr>
          <w:rFonts w:ascii="Cambria" w:cs="B Nazanin" w:eastAsia="B Nazanin" w:hAnsi="Cambria"/>
          <w:color w:val="000000"/>
          <w:sz w:val="22"/>
          <w:szCs w:val="26"/>
          <w:rtl/>
        </w:rPr>
        <w:t xml:space="preserve"> تسهیلات نیز دریافت کرده‌اند و </w:t>
      </w:r>
      <w:r>
        <w:rPr>
          <w:rFonts w:ascii="Cambria" w:cs="B Nazanin" w:eastAsia="B Nazanin" w:hAnsi="Cambria"/>
          <w:b/>
          <w:bCs/>
          <w:color w:val="000000"/>
          <w:sz w:val="22"/>
          <w:szCs w:val="26"/>
          <w:rtl/>
        </w:rPr>
        <w:t xml:space="preserve">۶۴.۷ درصد (۴۵۶,۸۳۵ نفر)</w:t>
      </w:r>
      <w:r>
        <w:rPr>
          <w:rFonts w:ascii="Cambria" w:cs="B Nazanin" w:eastAsia="B Nazanin" w:hAnsi="Cambria"/>
          <w:color w:val="000000"/>
          <w:sz w:val="22"/>
          <w:szCs w:val="26"/>
          <w:rtl/>
        </w:rPr>
        <w:t xml:space="preserve"> صرفاً سپرده‌گذارند؛ این گروه بازار هدف اصلی فروش متقاطع در نمونه است.</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color w:val="000000"/>
          <w:sz w:val="22"/>
          <w:szCs w:val="26"/>
          <w:rtl/>
        </w:rPr>
        <w:t xml:space="preserve">در میان سپرده‌گذاران فاقد تسهیلات، </w:t>
      </w:r>
      <w:r>
        <w:rPr>
          <w:rFonts w:ascii="Cambria" w:cs="B Nazanin" w:eastAsia="B Nazanin" w:hAnsi="Cambria"/>
          <w:b/>
          <w:bCs/>
          <w:color w:val="000000"/>
          <w:sz w:val="22"/>
          <w:szCs w:val="26"/>
          <w:rtl/>
        </w:rPr>
        <w:t xml:space="preserve">۱۰۱,۱۹۶ مشتری</w:t>
      </w:r>
      <w:r>
        <w:rPr>
          <w:rFonts w:ascii="Cambria" w:cs="B Nazanin" w:eastAsia="B Nazanin" w:hAnsi="Cambria"/>
          <w:color w:val="000000"/>
          <w:sz w:val="22"/>
          <w:szCs w:val="26"/>
          <w:rtl/>
        </w:rPr>
        <w:t xml:space="preserve"> با مانده‌ی بیش از ۱۰ میلیون تومان هدف قابل‌اقدام‌اند و </w:t>
      </w:r>
      <w:r>
        <w:rPr>
          <w:rFonts w:ascii="Cambria" w:cs="B Nazanin" w:eastAsia="B Nazanin" w:hAnsi="Cambria"/>
          <w:b/>
          <w:bCs/>
          <w:color w:val="000000"/>
          <w:sz w:val="22"/>
          <w:szCs w:val="26"/>
          <w:rtl/>
        </w:rPr>
        <w:t xml:space="preserve">۴,۳۳۴ سپرده‌گذار بزرگ</w:t>
      </w:r>
      <w:r>
        <w:rPr>
          <w:rFonts w:ascii="Cambria" w:cs="B Nazanin" w:eastAsia="B Nazanin" w:hAnsi="Cambria"/>
          <w:color w:val="000000"/>
          <w:sz w:val="22"/>
          <w:szCs w:val="26"/>
          <w:rtl/>
        </w:rPr>
        <w:t xml:space="preserve"> با مانده‌ی بیش از ۱ میلیارد تومان بیش از نیمی از مانده‌ی سپرده‌ی نمونه را در اختیار دارند.</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b/>
          <w:bCs/>
          <w:color w:val="000000"/>
          <w:sz w:val="22"/>
          <w:szCs w:val="26"/>
          <w:rtl/>
        </w:rPr>
        <w:t xml:space="preserve">۹۰.۳ درصد</w:t>
      </w:r>
      <w:r>
        <w:rPr>
          <w:rFonts w:ascii="Cambria" w:cs="B Nazanin" w:eastAsia="B Nazanin" w:hAnsi="Cambria"/>
          <w:color w:val="000000"/>
          <w:sz w:val="22"/>
          <w:szCs w:val="26"/>
          <w:rtl/>
        </w:rPr>
        <w:t xml:space="preserve"> سپرده‌گذاران نمونه هر چهار معیار فعال‌بودن را احراز می‌کنند و </w:t>
      </w:r>
      <w:r>
        <w:rPr>
          <w:rFonts w:ascii="Cambria" w:cs="B Nazanin" w:eastAsia="B Nazanin" w:hAnsi="Cambria"/>
          <w:b/>
          <w:bCs/>
          <w:color w:val="000000"/>
          <w:sz w:val="22"/>
          <w:szCs w:val="26"/>
          <w:rtl/>
        </w:rPr>
        <w:t xml:space="preserve">۹۳.۳ درصد</w:t>
      </w:r>
      <w:r>
        <w:rPr>
          <w:rFonts w:ascii="Cambria" w:cs="B Nazanin" w:eastAsia="B Nazanin" w:hAnsi="Cambria"/>
          <w:color w:val="000000"/>
          <w:sz w:val="22"/>
          <w:szCs w:val="26"/>
          <w:rtl/>
        </w:rPr>
        <w:t xml:space="preserve"> گیرندگان اصلی در ۱۴۰۴ مانده‌ی تسهیلات داشته‌اند.</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color w:val="000000"/>
          <w:sz w:val="22"/>
          <w:szCs w:val="26"/>
          <w:rtl/>
        </w:rPr>
        <w:t xml:space="preserve">ماندگاری کوهورت‌ها درون نمونه </w:t>
      </w:r>
      <w:r>
        <w:rPr>
          <w:rFonts w:ascii="Cambria" w:cs="B Nazanin" w:eastAsia="B Nazanin" w:hAnsi="Cambria"/>
          <w:b/>
          <w:bCs/>
          <w:color w:val="000000"/>
          <w:sz w:val="22"/>
          <w:szCs w:val="26"/>
          <w:rtl/>
        </w:rPr>
        <w:t xml:space="preserve">۸۹.۰ تا ۹۵.۵ درصد</w:t>
      </w:r>
      <w:r>
        <w:rPr>
          <w:rFonts w:ascii="Cambria" w:cs="B Nazanin" w:eastAsia="B Nazanin" w:hAnsi="Cambria"/>
          <w:color w:val="000000"/>
          <w:sz w:val="22"/>
          <w:szCs w:val="26"/>
          <w:rtl/>
        </w:rPr>
        <w:t xml:space="preserve"> است و فرسایش رابطه با عمر کوهورت ملایم (حدود ۶ واحد درصد میان کوهورت‌های قدیمی و جدید) است؛ این رقم نرخ ماندگاری کل بانک نیست.</w:t>
      </w:r>
    </w:p>
    <w:p>
      <w:pPr>
        <w:bidi/>
        <w:spacing w:after="120" w:line="300"/>
        <w:ind w:start="300"/>
        <w:jc w:val="left"/>
      </w:pPr>
      <w:r>
        <w:rPr>
          <w:rFonts w:ascii="Cambria" w:cs="B Nazanin" w:eastAsia="B Nazanin" w:hAnsi="Cambria"/>
          <w:color w:val="000000"/>
          <w:sz w:val="22"/>
          <w:szCs w:val="26"/>
          <w:rtl/>
        </w:rPr>
        <w:t xml:space="preserve">۶. </w:t>
      </w:r>
      <w:r>
        <w:rPr>
          <w:rFonts w:ascii="Cambria" w:cs="B Nazanin" w:eastAsia="B Nazanin" w:hAnsi="Cambria"/>
          <w:color w:val="000000"/>
          <w:sz w:val="22"/>
          <w:szCs w:val="26"/>
          <w:rtl/>
        </w:rPr>
        <w:t xml:space="preserve">نرخ ریزش کامل سالانه درون نمونه </w:t>
      </w:r>
      <w:r>
        <w:rPr>
          <w:rFonts w:ascii="Cambria" w:cs="B Nazanin" w:eastAsia="B Nazanin" w:hAnsi="Cambria"/>
          <w:b/>
          <w:bCs/>
          <w:color w:val="000000"/>
          <w:sz w:val="22"/>
          <w:szCs w:val="26"/>
          <w:rtl/>
        </w:rPr>
        <w:t xml:space="preserve">حداکثر ۰.۵۵ درصد</w:t>
      </w:r>
      <w:r>
        <w:rPr>
          <w:rFonts w:ascii="Cambria" w:cs="B Nazanin" w:eastAsia="B Nazanin" w:hAnsi="Cambria"/>
          <w:color w:val="000000"/>
          <w:sz w:val="22"/>
          <w:szCs w:val="26"/>
          <w:rtl/>
        </w:rPr>
        <w:t xml:space="preserve"> است و ریزش‌کنندگان عمدتاً مشتریان کم‌مانده‌اند.</w:t>
      </w:r>
    </w:p>
    <w:p>
      <w:pPr>
        <w:pBdr>
          <w:bottom w:val="single" w:color="BBBBBB" w:sz="6"/>
        </w:pBdr>
        <w:spacing w:after="100" w:before="100"/>
      </w:pPr>
    </w:p>
    <w:p>
      <w:pPr>
        <w:pStyle w:val="Heading1"/>
        <w:keepNext/>
        <w:pageBreakBefore/>
        <w:bidi/>
        <w:spacing w:after="160" w:before="0"/>
        <w:jc w:val="left"/>
      </w:pPr>
      <w:bookmarkStart w:name="_Toc30" w:id="30"/>
      <w:r>
        <w:rPr>
          <w:rFonts w:ascii="B Titr" w:cs="B Titr" w:eastAsia="B Titr" w:hAnsi="B Titr"/>
          <w:b w:val="false"/>
          <w:bCs w:val="false"/>
          <w:color w:val="1F4E79"/>
          <w:sz w:val="30"/>
          <w:szCs w:val="30"/>
          <w:rtl/>
        </w:rPr>
        <w:t xml:space="preserve">فصل ۴: بازار سپرده</w:t>
      </w:r>
      <w:bookmarkEnd w:id="30"/>
    </w:p>
    <w:p>
      <w:pPr>
        <w:pStyle w:val="Heading2"/>
        <w:keepNext/>
        <w:bidi/>
        <w:spacing w:after="160" w:before="300"/>
        <w:jc w:val="left"/>
      </w:pPr>
      <w:bookmarkStart w:name="_Toc31" w:id="31"/>
      <w:r>
        <w:rPr>
          <w:rFonts w:ascii="B Titr" w:cs="B Titr" w:eastAsia="B Titr" w:hAnsi="B Titr"/>
          <w:b w:val="false"/>
          <w:bCs w:val="false"/>
          <w:color w:val="000000"/>
          <w:sz w:val="26"/>
          <w:szCs w:val="26"/>
          <w:rtl/>
        </w:rPr>
        <w:t xml:space="preserve">۴.۱ هدف و مبنای فصل</w:t>
      </w:r>
      <w:bookmarkEnd w:id="31"/>
    </w:p>
    <w:p>
      <w:pPr>
        <w:bidi/>
        <w:spacing w:after="160" w:line="312"/>
        <w:jc w:val="left"/>
      </w:pPr>
      <w:r>
        <w:rPr>
          <w:rFonts w:ascii="Cambria" w:cs="B Nazanin" w:eastAsia="B Nazanin" w:hAnsi="Cambria"/>
          <w:color w:val="000000"/>
          <w:sz w:val="22"/>
          <w:szCs w:val="26"/>
          <w:rtl/>
        </w:rPr>
        <w:t xml:space="preserve">این فصل ساختار منابع بانک را از چهار زاویه بررسی می‌کند: روند رشد، ترکیب محصولی، پلکان مانده و تمرکز مشتریان، و پایداری منابع. آمار رسمی ماهانه‌ی بانک در هر بخش کنار ارقام نمونه آمده است تا خواننده بتواند سطح کل بانک را از ساختار نمونه تفکیک کند.</w:t>
      </w:r>
    </w:p>
    <w:p>
      <w:pPr>
        <w:bidi/>
        <w:spacing w:after="160" w:line="312"/>
        <w:jc w:val="left"/>
      </w:pPr>
      <w:r>
        <w:rPr>
          <w:rFonts w:ascii="Cambria" w:cs="B Nazanin" w:eastAsia="B Nazanin" w:hAnsi="Cambria"/>
          <w:color w:val="000000"/>
          <w:sz w:val="22"/>
          <w:szCs w:val="26"/>
          <w:rtl/>
        </w:rPr>
        <w:t xml:space="preserve">مبنای تحلیل نمونه، میانگین مانده‌ی ماهانه‌ی حساب‌های سپرده است که در ۱۲/۱۴۰۴ به ۸۴.۸ هزار میلیارد تومان می‌رسد. این رقم ۶۳.۷ درصد منابع ریالی رسمی بانک (۱۳۳.۱ هزار میلیارد تومان) را پوشش می‌دهد (جدول ۲-۲). پوشش ماهانه‌ی این مبنا در ۵۸ ماه قابل اتکا میان ۶۳.۷ و ۷۶.۹ درصد قرار دارد و روند آن با آمار رسمی هم‌خوان است (بخش ۲.۴.۴). ارقام مطلق نمونه با رقم رسمی مقایسه شده‌اند؛ سطح و روند منابع بر پایه‌ی آمار رسمی، و ساختار مشتریان (پلکان مانده و تمرکز) توصیف نمونه است (جدول ۲-۶).</w:t>
      </w:r>
    </w:p>
    <w:p>
      <w:pPr>
        <w:pStyle w:val="Heading2"/>
        <w:keepNext/>
        <w:bidi/>
        <w:spacing w:after="160" w:before="300"/>
        <w:jc w:val="left"/>
      </w:pPr>
      <w:bookmarkStart w:name="_Toc32" w:id="32"/>
      <w:r>
        <w:rPr>
          <w:rFonts w:ascii="B Titr" w:cs="B Titr" w:eastAsia="B Titr" w:hAnsi="B Titr"/>
          <w:b w:val="false"/>
          <w:bCs w:val="false"/>
          <w:color w:val="000000"/>
          <w:sz w:val="26"/>
          <w:szCs w:val="26"/>
          <w:rtl/>
        </w:rPr>
        <w:t xml:space="preserve">۴.۲ روند مانده و رشد منابع</w:t>
      </w:r>
      <w:bookmarkEnd w:id="32"/>
    </w:p>
    <w:p>
      <w:pPr>
        <w:pStyle w:val="Heading3"/>
        <w:keepNext/>
        <w:bidi/>
        <w:spacing w:after="160" w:before="300"/>
        <w:jc w:val="left"/>
      </w:pPr>
      <w:r>
        <w:rPr>
          <w:rFonts w:ascii="B Titr" w:cs="B Titr" w:eastAsia="B Titr" w:hAnsi="B Titr"/>
          <w:b w:val="false"/>
          <w:bCs w:val="false"/>
          <w:color w:val="000000"/>
          <w:sz w:val="26"/>
          <w:szCs w:val="26"/>
          <w:rtl/>
        </w:rPr>
        <w:t xml:space="preserve">۴.۲.۱ تصویر کلان</w:t>
      </w:r>
    </w:p>
    <w:p>
      <w:pPr>
        <w:bidi/>
        <w:spacing w:after="160" w:line="312"/>
        <w:jc w:val="left"/>
      </w:pPr>
      <w:r>
        <w:rPr>
          <w:rFonts w:ascii="Cambria" w:cs="B Nazanin" w:eastAsia="B Nazanin" w:hAnsi="Cambria"/>
          <w:color w:val="000000"/>
          <w:sz w:val="22"/>
          <w:szCs w:val="26"/>
          <w:rtl/>
        </w:rPr>
        <w:t xml:space="preserve">نمودار ۴-۱ روند مانده‌ی سپرده‌ی نمونه و منابع ریالی رسمی بانک را و جدول ۴-۱ مقاطع کلیدی نمونه را نشان می‌دهد.</w:t>
      </w:r>
    </w:p>
    <w:p>
      <w:pPr>
        <w:keepNext/>
        <w:spacing w:after="60" w:before="160"/>
        <w:jc w:val="center"/>
      </w:pPr>
      <w:r>
        <w:drawing>
          <wp:inline distT="0" distB="0" distL="0" distR="0">
            <wp:extent cx="5715000" cy="234315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3431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۴-۱: روند مانده‌ی سپرده‌ی نمونه و منابع ریالی رسمی بانک، ۰۱/۱۴۰۰ تا ۱۲/۱۴۰۴</w:t>
      </w:r>
    </w:p>
    <w:p>
      <w:pPr>
        <w:keepNext/>
        <w:bidi/>
        <w:spacing w:after="100" w:before="200"/>
        <w:jc w:val="left"/>
      </w:pPr>
      <w:r>
        <w:rPr>
          <w:rFonts w:ascii="B Nazanin" w:cs="B Nazanin" w:eastAsia="B Nazanin" w:hAnsi="B Nazanin"/>
          <w:b/>
          <w:bCs/>
          <w:color w:val="000000"/>
          <w:sz w:val="22"/>
          <w:szCs w:val="22"/>
          <w:rtl/>
        </w:rPr>
        <w:t xml:space="preserve">جدول ۴-۱: مقاطع کلیدی روند سپرده‌ی نمونه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94"/>
        <w:gridCol w:w="2554"/>
        <w:gridCol w:w="1769"/>
        <w:gridCol w:w="2433"/>
      </w:tblGrid>
      <w:tr>
        <w:trPr>
          <w:cantSplit/>
          <w:tblHeader/>
        </w:trPr>
        <w:tc>
          <w:tcPr>
            <w:tcW w:type="dxa" w:w="259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255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76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حساب</w:t>
            </w:r>
          </w:p>
        </w:tc>
        <w:tc>
          <w:tcPr>
            <w:tcW w:type="dxa" w:w="243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مانده‌ی هر حساب</w:t>
            </w:r>
          </w:p>
        </w:tc>
      </w:tr>
      <w:tr>
        <w:trPr>
          <w:cantSplit/>
        </w:trPr>
        <w:tc>
          <w:tcPr>
            <w:tcW w:type="dxa" w:w="25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۰۱/۱۳۹۹</w:t>
            </w:r>
          </w:p>
        </w:tc>
        <w:tc>
          <w:tcPr>
            <w:tcW w:type="dxa" w:w="25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۱۳.۰</w:t>
            </w:r>
          </w:p>
        </w:tc>
        <w:tc>
          <w:tcPr>
            <w:tcW w:type="dxa" w:w="17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۱,۰۸۱,۷۸۱</w:t>
            </w:r>
          </w:p>
        </w:tc>
        <w:tc>
          <w:tcPr>
            <w:tcW w:type="dxa" w:w="24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 میلیون تومان</w:t>
            </w:r>
          </w:p>
        </w:tc>
      </w:tr>
      <w:tr>
        <w:trPr>
          <w:cantSplit/>
        </w:trPr>
        <w:tc>
          <w:tcPr>
            <w:tcW w:type="dxa" w:w="25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 (آغاز بازه‌ی تحلیل)</w:t>
            </w:r>
          </w:p>
        </w:tc>
        <w:tc>
          <w:tcPr>
            <w:tcW w:type="dxa" w:w="25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۱۸.۵</w:t>
            </w:r>
          </w:p>
        </w:tc>
        <w:tc>
          <w:tcPr>
            <w:tcW w:type="dxa" w:w="17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24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25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25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۸۴.۸</w:t>
            </w:r>
          </w:p>
        </w:tc>
        <w:tc>
          <w:tcPr>
            <w:tcW w:type="dxa" w:w="17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۲,۱۰۳,۰۴۷</w:t>
            </w:r>
          </w:p>
        </w:tc>
        <w:tc>
          <w:tcPr>
            <w:tcW w:type="dxa" w:w="243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۴۰.۳ میلیون تومان</w:t>
            </w:r>
          </w:p>
        </w:tc>
      </w:tr>
    </w:tbl>
    <w:p>
      <w:pPr>
        <w:spacing w:after="200"/>
      </w:pPr>
    </w:p>
    <w:p>
      <w:pPr>
        <w:bidi/>
        <w:spacing w:after="160" w:line="312"/>
        <w:jc w:val="left"/>
      </w:pPr>
      <w:r>
        <w:rPr>
          <w:rFonts w:ascii="Cambria" w:cs="B Nazanin" w:eastAsia="B Nazanin" w:hAnsi="Cambria"/>
          <w:color w:val="000000"/>
          <w:sz w:val="22"/>
          <w:szCs w:val="26"/>
          <w:rtl/>
        </w:rPr>
        <w:t xml:space="preserve">در بازه‌ی ۶۰ ماهه‌ی تحلیل، مانده‌ی سپرده‌ی نمونه ۴.۵۸ برابر شده و منابع ریالی رسمی بانک ۵.۱۲ برابر (از ۲۶.۰ به ۱۳۳.۱ هزار میلیارد تومان). تفاوت این دو ضریب به تغییر پوشش نمونه برمی‌گردد: پوشش منابع از ۷۱.۲ درصد در ۰۱/۱۴۰۰ به ۶۳.۷ درصد در ۱۲/۱۴۰۴ رسیده است. با احتساب داده‌ی سال ۱۳۹۹، رشد ۷۲ ماهه‌ی نمونه به ۶.۵۳ برابر می‌رسد.</w:t>
      </w:r>
    </w:p>
    <w:p>
      <w:pPr>
        <w:pStyle w:val="Heading3"/>
        <w:keepNext/>
        <w:bidi/>
        <w:spacing w:after="160" w:before="300"/>
        <w:jc w:val="left"/>
      </w:pPr>
      <w:r>
        <w:rPr>
          <w:rFonts w:ascii="B Titr" w:cs="B Titr" w:eastAsia="B Titr" w:hAnsi="B Titr"/>
          <w:b w:val="false"/>
          <w:bCs w:val="false"/>
          <w:color w:val="000000"/>
          <w:sz w:val="26"/>
          <w:szCs w:val="26"/>
          <w:rtl/>
        </w:rPr>
        <w:t xml:space="preserve">۴.۲.۲ رشد سالانه</w:t>
      </w:r>
    </w:p>
    <w:p>
      <w:pPr>
        <w:keepNext/>
        <w:bidi/>
        <w:spacing w:after="100" w:before="200"/>
        <w:jc w:val="left"/>
      </w:pPr>
      <w:r>
        <w:rPr>
          <w:rFonts w:ascii="B Nazanin" w:cs="B Nazanin" w:eastAsia="B Nazanin" w:hAnsi="B Nazanin"/>
          <w:b/>
          <w:bCs/>
          <w:color w:val="000000"/>
          <w:sz w:val="22"/>
          <w:szCs w:val="22"/>
          <w:rtl/>
        </w:rPr>
        <w:t xml:space="preserve">جدول ۴-۲: رشد سالانه‌ی مانده‌ی سپرده در نمونه و منابع ریالی رسمی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5"/>
        <w:gridCol w:w="2278"/>
        <w:gridCol w:w="1763"/>
        <w:gridCol w:w="2278"/>
        <w:gridCol w:w="1726"/>
      </w:tblGrid>
      <w:tr>
        <w:trPr>
          <w:cantSplit/>
          <w:tblHeader/>
        </w:trPr>
        <w:tc>
          <w:tcPr>
            <w:tcW w:type="dxa" w:w="13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سال شمسی</w:t>
            </w:r>
          </w:p>
        </w:tc>
        <w:tc>
          <w:tcPr>
            <w:tcW w:type="dxa" w:w="22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پایان سال، نمونه (هزار میلیارد تومان)</w:t>
            </w:r>
          </w:p>
        </w:tc>
        <w:tc>
          <w:tcPr>
            <w:tcW w:type="dxa" w:w="17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سالانه‌ی نمونه</w:t>
            </w:r>
          </w:p>
        </w:tc>
        <w:tc>
          <w:tcPr>
            <w:tcW w:type="dxa" w:w="22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پایان سال، رسمی (هزار میلیارد تومان)</w:t>
            </w:r>
          </w:p>
        </w:tc>
        <w:tc>
          <w:tcPr>
            <w:tcW w:type="dxa" w:w="172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سالانه‌ی رسمی</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۱۳۹۹</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۱۹.۰</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۲۴.۸</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۳۰.۶٪</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۳۲.۹</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۳۲.۷</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۳۲.۰٪</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۴۸.۳</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۴۶.۶٪</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۴۷.۳</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۴۴.۳٪</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۶۷.۶</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۳۹.۹٪</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۶۴.۰</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۳۵.۳٪</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۹۰.۴</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۳۳.۸٪</w:t>
            </w:r>
          </w:p>
        </w:tc>
      </w:tr>
      <w:tr>
        <w:trPr>
          <w:cantSplit/>
        </w:trPr>
        <w:tc>
          <w:tcPr>
            <w:tcW w:type="dxa" w:w="13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۸۴.۸</w:t>
            </w:r>
          </w:p>
        </w:tc>
        <w:tc>
          <w:tcPr>
            <w:tcW w:type="dxa" w:w="17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۳۲.۵٪</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۱۳۳.۱</w:t>
            </w:r>
          </w:p>
        </w:tc>
        <w:tc>
          <w:tcPr>
            <w:tcW w:type="dxa" w:w="17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۴۷.۲٪</w:t>
            </w:r>
          </w:p>
        </w:tc>
      </w:tr>
    </w:tbl>
    <w:p>
      <w:pPr>
        <w:spacing w:after="200"/>
      </w:pPr>
    </w:p>
    <w:p>
      <w:pPr>
        <w:bidi/>
        <w:spacing w:after="160" w:line="312"/>
        <w:jc w:val="left"/>
      </w:pPr>
      <w:r>
        <w:rPr>
          <w:rFonts w:ascii="Cambria" w:cs="B Nazanin" w:eastAsia="B Nazanin" w:hAnsi="Cambria"/>
          <w:color w:val="000000"/>
          <w:sz w:val="22"/>
          <w:szCs w:val="26"/>
          <w:rtl/>
        </w:rPr>
        <w:t xml:space="preserve">آمار رسمی نشان می‌دهد منابع ریالی بانک در هر یک از چهار سال ۱۴۰۱ تا ۱۴۰۴ با نرخی میان ۳۳.۸ و ۴۷.۲ درصد رشد کرده و در ۱۴۰۴ به بالاترین نرخ دوره رسیده است (جدول ۴-۲). رشد نمونه در ۱۴۰۴ (۳۲.۵ درصد) کمتر از رقم رسمی است، زیرا نمونه همه‌ی سپرده‌های جدید بانک را در بر نمی‌گیرد و پوشش منابع در آن سال کاهش یافته است. برای قضاوت درباره‌ی سرعت رشد منابع، رقم رسمی مبنای مناسب‌تری است. نمودار ۴-۲ رشد سالانه‌ی منابع و تسهیلات را در هر دو منبع مقایسه می‌کند.</w:t>
      </w:r>
    </w:p>
    <w:p>
      <w:pPr>
        <w:keepNext/>
        <w:spacing w:after="60" w:before="160"/>
        <w:jc w:val="center"/>
      </w:pPr>
      <w:r>
        <w:drawing>
          <wp:inline distT="0" distB="0" distL="0" distR="0">
            <wp:extent cx="5715000" cy="22479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2479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۴-۲: رشد سالانه‌ی منابع ریالی و تسهیلات در آمار رسمی بانک و نمونه</w:t>
      </w:r>
    </w:p>
    <w:p>
      <w:pPr>
        <w:pStyle w:val="Heading3"/>
        <w:keepNext/>
        <w:bidi/>
        <w:spacing w:after="160" w:before="300"/>
        <w:jc w:val="left"/>
      </w:pPr>
      <w:r>
        <w:rPr>
          <w:rFonts w:ascii="B Titr" w:cs="B Titr" w:eastAsia="B Titr" w:hAnsi="B Titr"/>
          <w:b w:val="false"/>
          <w:bCs w:val="false"/>
          <w:color w:val="000000"/>
          <w:sz w:val="26"/>
          <w:szCs w:val="26"/>
          <w:rtl/>
        </w:rPr>
        <w:t xml:space="preserve">۴.۲.۳ ملاحظات تفسیر رشد</w:t>
      </w:r>
    </w:p>
    <w:p>
      <w:pPr>
        <w:bidi/>
        <w:spacing w:after="160" w:line="312"/>
        <w:jc w:val="left"/>
      </w:pPr>
      <w:r>
        <w:rPr>
          <w:rFonts w:ascii="Cambria" w:cs="B Nazanin" w:eastAsia="B Nazanin" w:hAnsi="Cambria"/>
          <w:color w:val="000000"/>
          <w:sz w:val="22"/>
          <w:szCs w:val="26"/>
          <w:rtl/>
        </w:rPr>
        <w:t xml:space="preserve">رشد مانده‌ی سپرده اسمی است. با تعدیل تورمی (شاخص ۱۳۹۹=۱۰۰ تا ۱۴۰۴=۵۸۴.۵) مانده‌ی نمونه در بازه‌ی تحلیل حدود ۱.۱ برابر شده است. میانگین مانده‌ی هر حساب ۳.۳۶ برابر و تعداد حساب‌ها ۱.۹۴ برابر شده‌اند، یعنی حدود یک‌سوم رشد ۶.۵۳ برابری از افزایش تعداد حساب و دوسوم آن از افزایش میانگین مانده ناشی می‌شود.</w:t>
      </w:r>
    </w:p>
    <w:p>
      <w:pPr>
        <w:pStyle w:val="Heading2"/>
        <w:keepNext/>
        <w:bidi/>
        <w:spacing w:after="160" w:before="300"/>
        <w:jc w:val="left"/>
      </w:pPr>
      <w:bookmarkStart w:name="_Toc33" w:id="33"/>
      <w:r>
        <w:rPr>
          <w:rFonts w:ascii="B Titr" w:cs="B Titr" w:eastAsia="B Titr" w:hAnsi="B Titr"/>
          <w:b w:val="false"/>
          <w:bCs w:val="false"/>
          <w:color w:val="000000"/>
          <w:sz w:val="26"/>
          <w:szCs w:val="26"/>
          <w:rtl/>
        </w:rPr>
        <w:t xml:space="preserve">۴.۳ ترکیب پرتفوی سپرده</w:t>
      </w:r>
      <w:bookmarkEnd w:id="33"/>
    </w:p>
    <w:p>
      <w:pPr>
        <w:pStyle w:val="Heading3"/>
        <w:keepNext/>
        <w:bidi/>
        <w:spacing w:after="160" w:before="300"/>
        <w:jc w:val="left"/>
      </w:pPr>
      <w:r>
        <w:rPr>
          <w:rFonts w:ascii="B Titr" w:cs="B Titr" w:eastAsia="B Titr" w:hAnsi="B Titr"/>
          <w:b w:val="false"/>
          <w:bCs w:val="false"/>
          <w:color w:val="000000"/>
          <w:sz w:val="26"/>
          <w:szCs w:val="26"/>
          <w:rtl/>
        </w:rPr>
        <w:t xml:space="preserve">۴.۳.۱ توزیع محصولی</w:t>
      </w:r>
    </w:p>
    <w:p>
      <w:pPr>
        <w:bidi/>
        <w:spacing w:after="160" w:line="312"/>
        <w:jc w:val="left"/>
      </w:pPr>
      <w:r>
        <w:rPr>
          <w:rFonts w:ascii="Cambria" w:cs="B Nazanin" w:eastAsia="B Nazanin" w:hAnsi="Cambria"/>
          <w:color w:val="000000"/>
          <w:sz w:val="22"/>
          <w:szCs w:val="26"/>
          <w:rtl/>
        </w:rPr>
        <w:t xml:space="preserve">ترکیب محصولی منابع، ساختار هزینه‌ی بانک را تعیین می‌کند. جدول ۴-۳ و نمودار ۴-۳ این ترکیب را در ۱۲/۱۴۰۴ نشان می‌دهند.</w:t>
      </w:r>
    </w:p>
    <w:p>
      <w:pPr>
        <w:keepNext/>
        <w:spacing w:after="60" w:before="160"/>
        <w:jc w:val="center"/>
      </w:pPr>
      <w:r>
        <w:drawing>
          <wp:inline distT="0" distB="0" distL="0" distR="0">
            <wp:extent cx="5715000" cy="25812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5812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۴-۳: ترکیب پرتفوی سپرده‌ی نمونه به تفکیک نوع، ۱۲/۱۴۰۴</w:t>
      </w:r>
    </w:p>
    <w:p>
      <w:pPr>
        <w:keepNext/>
        <w:bidi/>
        <w:spacing w:after="100" w:before="200"/>
        <w:jc w:val="left"/>
      </w:pPr>
      <w:r>
        <w:rPr>
          <w:rFonts w:ascii="B Nazanin" w:cs="B Nazanin" w:eastAsia="B Nazanin" w:hAnsi="B Nazanin"/>
          <w:b/>
          <w:bCs/>
          <w:color w:val="000000"/>
          <w:sz w:val="22"/>
          <w:szCs w:val="22"/>
          <w:rtl/>
        </w:rPr>
        <w:t xml:space="preserve">جدول ۴-۳: ترکیب پرتفوی سپرده‌ی نمونه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61"/>
        <w:gridCol w:w="1269"/>
        <w:gridCol w:w="1222"/>
        <w:gridCol w:w="1832"/>
        <w:gridCol w:w="1222"/>
        <w:gridCol w:w="1944"/>
      </w:tblGrid>
      <w:tr>
        <w:trPr>
          <w:cantSplit/>
          <w:tblHeader/>
        </w:trPr>
        <w:tc>
          <w:tcPr>
            <w:tcW w:type="dxa" w:w="18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نوع سپرده</w:t>
            </w:r>
          </w:p>
        </w:tc>
        <w:tc>
          <w:tcPr>
            <w:tcW w:type="dxa" w:w="126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حساب</w:t>
            </w:r>
          </w:p>
        </w:tc>
        <w:tc>
          <w:tcPr>
            <w:tcW w:type="dxa" w:w="1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تعداد</w:t>
            </w:r>
          </w:p>
        </w:tc>
        <w:tc>
          <w:tcPr>
            <w:tcW w:type="dxa" w:w="18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22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مانده</w:t>
            </w:r>
          </w:p>
        </w:tc>
        <w:tc>
          <w:tcPr>
            <w:tcW w:type="dxa" w:w="194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هر حساب (میلیون تومان)</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سرمایه‌گذاری بلندمدت</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۴۶,۲۷۵</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۳۱.۶</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۳۷.۳٪</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۶۸۲.۷</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پس‌انداز جاری</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۲۵۰,۴۲۴</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۱۱.۹٪</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۱۷.۴</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۲۰.۵٪</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۶۹.۴</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سرمایه‌گذاری کوتاه‌مدت</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۴۷۹,۲۰۵</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۲۲.۸٪</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۱۴.۱</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۱۶.۶٪</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۲۹.۴</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نوع ثبت‌نشده</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۸۴۸,۵۵۳</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۴۰.۳٪</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۱۱.۸٪</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۱۱.۸</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قرض‌الحسنه پس‌انداز</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۴۱۵,۸۷۶</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۱۹.۸٪</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۲۰.۹</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ویژه</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۶۲,۶۴۸</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۴۸.۲</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سرمایه‌گذاری کوتاه‌مدت ویژه</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۱۵.۸</w:t>
            </w:r>
          </w:p>
        </w:tc>
      </w:tr>
      <w:tr>
        <w:trPr>
          <w:cantSplit/>
        </w:trPr>
        <w:tc>
          <w:tcPr>
            <w:tcW w:type="dxa" w:w="1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26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۲,۱۰۳,۰۴۷</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8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۸۴.۸</w:t>
            </w:r>
          </w:p>
        </w:tc>
        <w:tc>
          <w:tcPr>
            <w:tcW w:type="dxa" w:w="122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9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۴۰.۳</w:t>
            </w:r>
          </w:p>
        </w:tc>
      </w:tr>
    </w:tbl>
    <w:p>
      <w:pPr>
        <w:spacing w:after="200"/>
      </w:pPr>
    </w:p>
    <w:p>
      <w:pPr>
        <w:bidi/>
        <w:spacing w:after="160" w:line="312"/>
        <w:jc w:val="left"/>
      </w:pPr>
      <w:r>
        <w:rPr>
          <w:rFonts w:ascii="Cambria" w:cs="B Nazanin" w:eastAsia="B Nazanin" w:hAnsi="Cambria"/>
          <w:color w:val="000000"/>
          <w:sz w:val="22"/>
          <w:szCs w:val="26"/>
          <w:rtl/>
        </w:rPr>
        <w:t xml:space="preserve">سپرده‌ی سرمایه‌گذاری بلندمدت با ۲.۲ درصد حساب‌ها، ۳۷.۳ درصد مانده را در اختیار دارد. میانگین مانده‌ی هر حساب در این گروه ۶۸۲.۷ میلیون تومان، یعنی حدود هفده برابر میانگین کل پرتفوی است. این گروه از نظر تعداد دارندگان متمرکزترین منبع بانک است؛ هزینه‌ی سود به تفکیک نوع سپرده در داده‌ی در دسترس نیست.</w:t>
      </w:r>
    </w:p>
    <w:p>
      <w:pPr>
        <w:pStyle w:val="Heading3"/>
        <w:keepNext/>
        <w:bidi/>
        <w:spacing w:after="160" w:before="300"/>
        <w:jc w:val="left"/>
      </w:pPr>
      <w:r>
        <w:rPr>
          <w:rFonts w:ascii="B Titr" w:cs="B Titr" w:eastAsia="B Titr" w:hAnsi="B Titr"/>
          <w:b w:val="false"/>
          <w:bCs w:val="false"/>
          <w:color w:val="000000"/>
          <w:sz w:val="26"/>
          <w:szCs w:val="26"/>
          <w:rtl/>
        </w:rPr>
        <w:t xml:space="preserve">۴.۳.۲ حساب‌های با نوع ثبت‌نشده</w:t>
      </w:r>
    </w:p>
    <w:p>
      <w:pPr>
        <w:bidi/>
        <w:spacing w:after="160" w:line="312"/>
        <w:jc w:val="left"/>
      </w:pPr>
      <w:r>
        <w:rPr>
          <w:rFonts w:ascii="Cambria" w:cs="B Nazanin" w:eastAsia="B Nazanin" w:hAnsi="Cambria"/>
          <w:color w:val="000000"/>
          <w:sz w:val="22"/>
          <w:szCs w:val="26"/>
          <w:rtl/>
        </w:rPr>
        <w:t xml:space="preserve">برای ۸۴۸,۵۵۳ حساب (۴۰.۳ درصد حساب‌ها) نوع سپرده در جدول اطلاعات حساب ثبت نشده است. میانگین مانده‌ی این حساب‌ها ۱۱.۸ میلیون تومان و پایین‌ترین مقدار جدول است و حساب‌های کوچک بخش اصلی این گروه را تشکیل می‌دهند. مانده‌ی آن‌ها ۱۰.۰ هزار میلیارد تومان، معادل ۱۱.۸ درصد مانده‌ی نمونه است. ترکیب هزینه‌ای دقیق منابع در فصل ۸ بر پایه‌ی آمار رسمی بانک محاسبه شده و به این گروه وابسته نیست. تعیین نوع این حساب‌ها برای تکمیل تحلیل محصولی در فاز بعد در فهرست پرسش‌ها آمده است (بخش ۹.۵).</w:t>
      </w:r>
    </w:p>
    <w:p>
      <w:pPr>
        <w:pStyle w:val="Heading3"/>
        <w:keepNext/>
        <w:bidi/>
        <w:spacing w:after="160" w:before="300"/>
        <w:jc w:val="left"/>
      </w:pPr>
      <w:r>
        <w:rPr>
          <w:rFonts w:ascii="B Titr" w:cs="B Titr" w:eastAsia="B Titr" w:hAnsi="B Titr"/>
          <w:b w:val="false"/>
          <w:bCs w:val="false"/>
          <w:color w:val="000000"/>
          <w:sz w:val="26"/>
          <w:szCs w:val="26"/>
          <w:rtl/>
        </w:rPr>
        <w:t xml:space="preserve">۴.۳.۳ ساختار هزینه‌ای منابع در آمار رسمی</w:t>
      </w:r>
    </w:p>
    <w:p>
      <w:pPr>
        <w:bidi/>
        <w:spacing w:after="160" w:line="312"/>
        <w:jc w:val="left"/>
      </w:pPr>
      <w:r>
        <w:rPr>
          <w:rFonts w:ascii="Cambria" w:cs="B Nazanin" w:eastAsia="B Nazanin" w:hAnsi="Cambria"/>
          <w:color w:val="000000"/>
          <w:sz w:val="22"/>
          <w:szCs w:val="26"/>
          <w:rtl/>
        </w:rPr>
        <w:t xml:space="preserve">آمار رسمی بانک منابع ریالی را در سه گروه نشان می‌دهد: منابع بدون سود (قرض‌الحسنه جاری و پس‌انداز)، سپرده‌ی کوتاه‌مدت و سپرده‌ی بلندمدت. تفکیک انواع سپرده در فایل‌های ماهانه‌ی رسمی تا ۱۰/۱۴۰۴ قابل اتکاست (جدول ۴-۴).</w:t>
      </w:r>
    </w:p>
    <w:p>
      <w:pPr>
        <w:keepNext/>
        <w:bidi/>
        <w:spacing w:after="100" w:before="200"/>
        <w:jc w:val="left"/>
      </w:pPr>
      <w:r>
        <w:rPr>
          <w:rFonts w:ascii="B Nazanin" w:cs="B Nazanin" w:eastAsia="B Nazanin" w:hAnsi="B Nazanin"/>
          <w:b/>
          <w:bCs/>
          <w:color w:val="000000"/>
          <w:sz w:val="22"/>
          <w:szCs w:val="22"/>
          <w:rtl/>
        </w:rPr>
        <w:t xml:space="preserve">جدول ۴-۴: ترکیب منابع ریالی بانک در آمار رسمی (درصد از کل منابع ریالی)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58"/>
        <w:gridCol w:w="2365"/>
        <w:gridCol w:w="2466"/>
        <w:gridCol w:w="2261"/>
      </w:tblGrid>
      <w:tr>
        <w:trPr>
          <w:cantSplit/>
          <w:tblHeader/>
        </w:trPr>
        <w:tc>
          <w:tcPr>
            <w:tcW w:type="dxa" w:w="225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23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بدون سود</w:t>
            </w:r>
          </w:p>
        </w:tc>
        <w:tc>
          <w:tcPr>
            <w:tcW w:type="dxa" w:w="24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کوتاه‌مدت</w:t>
            </w:r>
          </w:p>
        </w:tc>
        <w:tc>
          <w:tcPr>
            <w:tcW w:type="dxa" w:w="22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بلندمدت</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۲۷.۶٪</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۲۸.۱٪</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۴۴.۴٪</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۳۳.۰٪</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۲۴.۶٪</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۴۲.۴٪</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۱۲/۱۴۰۲</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۳۲.۴٪</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۲۴.۱٪</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۴۳.۶٪</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۳۳.۱٪</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۲۰.۹٪</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۴۶.۰٪</w:t>
            </w:r>
          </w:p>
        </w:tc>
      </w:tr>
      <w:tr>
        <w:trPr>
          <w:cantSplit/>
        </w:trPr>
        <w:tc>
          <w:tcPr>
            <w:tcW w:type="dxa" w:w="22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۱۰/۱۴۰۴</w:t>
            </w:r>
          </w:p>
        </w:tc>
        <w:tc>
          <w:tcPr>
            <w:tcW w:type="dxa" w:w="23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۳۳.۴٪</w:t>
            </w:r>
          </w:p>
        </w:tc>
        <w:tc>
          <w:tcPr>
            <w:tcW w:type="dxa" w:w="24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۲۰.۱٪</w:t>
            </w:r>
          </w:p>
        </w:tc>
        <w:tc>
          <w:tcPr>
            <w:tcW w:type="dxa" w:w="22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۴۶.۵٪</w:t>
            </w:r>
          </w:p>
        </w:tc>
      </w:tr>
    </w:tbl>
    <w:p>
      <w:pPr>
        <w:spacing w:after="200"/>
      </w:pPr>
    </w:p>
    <w:p>
      <w:pPr>
        <w:bidi/>
        <w:spacing w:after="160" w:line="312"/>
        <w:jc w:val="left"/>
      </w:pPr>
      <w:r>
        <w:rPr>
          <w:rFonts w:ascii="Cambria" w:cs="B Nazanin" w:eastAsia="B Nazanin" w:hAnsi="Cambria"/>
          <w:color w:val="000000"/>
          <w:sz w:val="22"/>
          <w:szCs w:val="26"/>
          <w:rtl/>
        </w:rPr>
        <w:t xml:space="preserve">یک‌سوم منابع بانک هزینه‌ی سود ندارد. سهم سپرده‌ی بلندمدت از ۴۴.۴ به ۴۶.۵ درصد رسیده و سهم سپرده‌ی کوتاه‌مدت از ۲۸.۱ به ۲۰.۱ درصد کاهش یافته است. در نمونه، سپرده‌ی بدون سود ۳۰.۷ درصد و سپرده‌ی بلندمدت ۳۷.۳ درصد مانده را شامل می‌شود؛ بخشی از این تفاوت به حساب‌های با نوع ثبت‌نشده (۱۱.۸ درصد) برمی‌گردد. نرخ هزینه‌ی تأمین مالی و اثر این ترکیب بر سودآوری در فصل ۸ بررسی شده است.</w:t>
      </w:r>
    </w:p>
    <w:p>
      <w:pPr>
        <w:pStyle w:val="Heading2"/>
        <w:keepNext/>
        <w:bidi/>
        <w:spacing w:after="160" w:before="300"/>
        <w:jc w:val="left"/>
      </w:pPr>
      <w:bookmarkStart w:name="_Toc34" w:id="34"/>
      <w:r>
        <w:rPr>
          <w:rFonts w:ascii="B Titr" w:cs="B Titr" w:eastAsia="B Titr" w:hAnsi="B Titr"/>
          <w:b w:val="false"/>
          <w:bCs w:val="false"/>
          <w:color w:val="000000"/>
          <w:sz w:val="26"/>
          <w:szCs w:val="26"/>
          <w:rtl/>
        </w:rPr>
        <w:t xml:space="preserve">۴.۴ پلکان مانده و تمرکز منابع</w:t>
      </w:r>
      <w:bookmarkEnd w:id="34"/>
    </w:p>
    <w:p>
      <w:pPr>
        <w:pStyle w:val="Heading3"/>
        <w:keepNext/>
        <w:bidi/>
        <w:spacing w:after="160" w:before="300"/>
        <w:jc w:val="left"/>
      </w:pPr>
      <w:r>
        <w:rPr>
          <w:rFonts w:ascii="B Titr" w:cs="B Titr" w:eastAsia="B Titr" w:hAnsi="B Titr"/>
          <w:b w:val="false"/>
          <w:bCs w:val="false"/>
          <w:color w:val="000000"/>
          <w:sz w:val="26"/>
          <w:szCs w:val="26"/>
          <w:rtl/>
        </w:rPr>
        <w:t xml:space="preserve">۴.۴.۱ پلکان مانده‌ی سپرده</w:t>
      </w:r>
    </w:p>
    <w:p>
      <w:pPr>
        <w:bidi/>
        <w:spacing w:after="160" w:line="312"/>
        <w:jc w:val="left"/>
      </w:pPr>
      <w:r>
        <w:rPr>
          <w:rFonts w:ascii="Cambria" w:cs="B Nazanin" w:eastAsia="B Nazanin" w:hAnsi="Cambria"/>
          <w:color w:val="000000"/>
          <w:sz w:val="22"/>
          <w:szCs w:val="26"/>
          <w:rtl/>
        </w:rPr>
        <w:t xml:space="preserve">جدول ۴-۵ و نمودار ۴-۴ سپرده‌گذاران نمونه را بر حسب مانده‌ی ۱۲/۱۴۰۴ در بازه‌های مطلق نشان می‌دهند. مبنای جدول ۶۷۶,۶۲۲ سپرده‌گذار دارای مانده در این ماه است.</w:t>
      </w:r>
    </w:p>
    <w:p>
      <w:pPr>
        <w:keepNext/>
        <w:spacing w:after="60" w:before="160"/>
        <w:jc w:val="center"/>
      </w:pPr>
      <w:r>
        <w:drawing>
          <wp:inline distT="0" distB="0" distL="0" distR="0">
            <wp:extent cx="5715000" cy="24574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4574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۴-۴: پلکان مانده‌ی سپرده: سهم مشتریان و سهم مانده در هر بازه</w:t>
      </w:r>
    </w:p>
    <w:p>
      <w:pPr>
        <w:keepNext/>
        <w:bidi/>
        <w:spacing w:after="100" w:before="200"/>
        <w:jc w:val="left"/>
      </w:pPr>
      <w:r>
        <w:rPr>
          <w:rFonts w:ascii="B Nazanin" w:cs="B Nazanin" w:eastAsia="B Nazanin" w:hAnsi="B Nazanin"/>
          <w:b/>
          <w:bCs/>
          <w:color w:val="000000"/>
          <w:sz w:val="22"/>
          <w:szCs w:val="22"/>
          <w:rtl/>
        </w:rPr>
        <w:t xml:space="preserve">جدول ۴-۵: پلکان مانده‌ی سپرده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83"/>
        <w:gridCol w:w="1905"/>
        <w:gridCol w:w="1503"/>
        <w:gridCol w:w="2254"/>
        <w:gridCol w:w="1505"/>
      </w:tblGrid>
      <w:tr>
        <w:trPr>
          <w:cantSplit/>
          <w:tblHeader/>
        </w:trPr>
        <w:tc>
          <w:tcPr>
            <w:tcW w:type="dxa" w:w="21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بازه‌ی مانده</w:t>
            </w:r>
          </w:p>
        </w:tc>
        <w:tc>
          <w:tcPr>
            <w:tcW w:type="dxa" w:w="19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مشتری نمونه</w:t>
            </w:r>
          </w:p>
        </w:tc>
        <w:tc>
          <w:tcPr>
            <w:tcW w:type="dxa" w:w="150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مشتری</w:t>
            </w:r>
          </w:p>
        </w:tc>
        <w:tc>
          <w:tcPr>
            <w:tcW w:type="dxa" w:w="225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5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مانده</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۰.۵ میلیون تومان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۲۸۲,۱۸۹</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۴۱.۷۱٪</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۰.۰۳</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۰.۰۴٪</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 تا ۲.۵ میلیون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۱۲۸,۱۶۳</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۱۸.۹۴٪</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۰.۱۶</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۰.۱۹٪</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 تا ۱۰ میلیون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۱۰۴,۸۶۵</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۱۵.۵۰٪</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۰.۵۵</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۰.۶۵٪</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 تا ۵۰ میلیون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۸۵,۸۷۴</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۱۲.۶۹٪</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۲.۰۱</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۲.۳۷٪</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 تا ۲۰۰ میلیون</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۴۴,۷۶۶</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۶.۶۲٪</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۴.۴۸</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۵.۲۸٪</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۲۰۰ میلیون تا ۱ میلیارد</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۲۲,۴۶۳</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۳.۳۲٪</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۹.۶۰</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۱۱.۳۲٪</w:t>
            </w:r>
          </w:p>
        </w:tc>
      </w:tr>
      <w:tr>
        <w:trPr>
          <w:cantSplit/>
        </w:trPr>
        <w:tc>
          <w:tcPr>
            <w:tcW w:type="dxa" w:w="21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۱ میلیارد</w:t>
            </w:r>
          </w:p>
        </w:tc>
        <w:tc>
          <w:tcPr>
            <w:tcW w:type="dxa" w:w="19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۸,۳۰۲</w:t>
            </w:r>
          </w:p>
        </w:tc>
        <w:tc>
          <w:tcPr>
            <w:tcW w:type="dxa" w:w="15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۱.۲۳٪</w:t>
            </w:r>
          </w:p>
        </w:tc>
        <w:tc>
          <w:tcPr>
            <w:tcW w:type="dxa" w:w="225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۶۷.۹۵</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۸۰.۱۵٪</w:t>
            </w:r>
          </w:p>
        </w:tc>
      </w:tr>
    </w:tbl>
    <w:p>
      <w:pPr>
        <w:spacing w:after="200"/>
      </w:pPr>
    </w:p>
    <w:p>
      <w:pPr>
        <w:bidi/>
        <w:spacing w:after="160" w:line="312"/>
        <w:jc w:val="left"/>
      </w:pPr>
      <w:r>
        <w:rPr>
          <w:rFonts w:ascii="Cambria" w:cs="B Nazanin" w:eastAsia="B Nazanin" w:hAnsi="Cambria"/>
          <w:color w:val="000000"/>
          <w:sz w:val="22"/>
          <w:szCs w:val="26"/>
          <w:rtl/>
        </w:rPr>
        <w:t xml:space="preserve">ساختار بازار نامتقارن است. ۸,۳۰۲ مشتری، معادل ۱.۲۳ درصد سپرده‌گذاران، ۸۰.۱۵ درصد مانده‌ی نمونه را در اختیار دارند و ۲۸۲,۱۸۹ مشتری (۴۱.۷۱ درصد) روی هم تنها ۰.۰۴ درصد مانده را. سه بازه‌ی پایینی ۷۶.۱۵ درصد مشتریان و ۰.۸۸ درصد مانده را دربر می‌گیرند.</w:t>
      </w:r>
    </w:p>
    <w:p>
      <w:pPr>
        <w:bidi/>
        <w:spacing w:after="160" w:line="312"/>
        <w:jc w:val="left"/>
      </w:pPr>
      <w:r>
        <w:rPr>
          <w:rFonts w:ascii="Cambria" w:cs="B Nazanin" w:eastAsia="B Nazanin" w:hAnsi="Cambria"/>
          <w:color w:val="000000"/>
          <w:sz w:val="22"/>
          <w:szCs w:val="26"/>
          <w:rtl/>
        </w:rPr>
        <w:t xml:space="preserve">این ساختار با بازار هدف فروش تسهیلات (بخش ۳.۳.۱) پیوند دارد. بازه‌های میانی (۱۰ میلیون تا ۱ میلیارد تومان) ۱۵۳,۱۰۳ مشتری و ۱۸.۹۷ درصد مانده را شامل می‌شوند و ظرفیت مالی و تعداد کافی برای برنامه‌ی فروش هدفمند دارند. از این تعداد، ۹۶,۸۶۲ نفر در ۱۲/۱۴۰۴ مانده‌ی تسهیلات ندارند (جدول ۳-۳). ۸,۳۰۲ سپرده‌گذار بزرگ شامل ۴,۳۳۴ نفر بدون هیچ رابطه‌ی تسهیلاتی، ۳,۸۸۴ گیرنده‌ی اصلی تسهیلات و ۸۴ نفر هستند که فقط ضامن یا شریک قراردادهای تسهیلات‌اند. بازار هدف فروش تسهیلات از دو گروه ۹۶,۸۶۲ و ۴,۳۳۴ نفر، یعنی ۱۰۱,۱۹۶ نفر، تشکیل می‌شود؛ این تعداد ویژگی نمونه است.</w:t>
      </w:r>
    </w:p>
    <w:p>
      <w:pPr>
        <w:pStyle w:val="Heading3"/>
        <w:keepNext/>
        <w:bidi/>
        <w:spacing w:after="160" w:before="300"/>
        <w:jc w:val="left"/>
      </w:pPr>
      <w:r>
        <w:rPr>
          <w:rFonts w:ascii="B Titr" w:cs="B Titr" w:eastAsia="B Titr" w:hAnsi="B Titr"/>
          <w:b w:val="false"/>
          <w:bCs w:val="false"/>
          <w:color w:val="000000"/>
          <w:sz w:val="26"/>
          <w:szCs w:val="26"/>
          <w:rtl/>
        </w:rPr>
        <w:t xml:space="preserve">۴.۴.۲ تمرکز سپرده و تسهیلات</w:t>
      </w:r>
    </w:p>
    <w:p>
      <w:pPr>
        <w:bidi/>
        <w:spacing w:after="160" w:line="312"/>
        <w:jc w:val="left"/>
      </w:pPr>
      <w:r>
        <w:rPr>
          <w:rFonts w:ascii="Cambria" w:cs="B Nazanin" w:eastAsia="B Nazanin" w:hAnsi="Cambria"/>
          <w:color w:val="000000"/>
          <w:sz w:val="22"/>
          <w:szCs w:val="26"/>
          <w:rtl/>
        </w:rPr>
        <w:t xml:space="preserve">نمودار ۴-۵ منحنی تمرکز مانده‌ی سپرده و تسهیلات را نشان می‌دهد و جدول ۴-۶ سهم صدک‌های برتر را. مبنای هر دو ستون مشتری است: برای سپرده، سپرده‌گذاران دارای مانده در ۱۲/۱۴۰۴ و برای تسهیلات، گیرنده‌ی اصلی هر قرارداد (که ۹۷.۵ درصد مانده‌ی تسهیلات به او قابل انتساب است).</w:t>
      </w:r>
    </w:p>
    <w:p>
      <w:pPr>
        <w:keepNext/>
        <w:spacing w:after="60" w:before="160"/>
        <w:jc w:val="center"/>
      </w:pPr>
      <w:r>
        <w:drawing>
          <wp:inline distT="0" distB="0" distL="0" distR="0">
            <wp:extent cx="5715000" cy="427672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2767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۴-۵: منحنی تمرکز مانده‌ی سپرده و تسهیلات (گیرنده‌ی اصلی)، ۱۲/۱۴۰۴</w:t>
      </w:r>
    </w:p>
    <w:p>
      <w:pPr>
        <w:keepNext/>
        <w:bidi/>
        <w:spacing w:after="100" w:before="200"/>
        <w:jc w:val="left"/>
      </w:pPr>
      <w:r>
        <w:rPr>
          <w:rFonts w:ascii="B Nazanin" w:cs="B Nazanin" w:eastAsia="B Nazanin" w:hAnsi="B Nazanin"/>
          <w:b/>
          <w:bCs/>
          <w:color w:val="000000"/>
          <w:sz w:val="22"/>
          <w:szCs w:val="22"/>
          <w:rtl/>
        </w:rPr>
        <w:t xml:space="preserve">جدول ۴-۶: سهم صدک‌های برتر مشتریان از مانده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715"/>
        <w:gridCol w:w="2962"/>
        <w:gridCol w:w="3673"/>
      </w:tblGrid>
      <w:tr>
        <w:trPr>
          <w:cantSplit/>
          <w:tblHeader/>
        </w:trPr>
        <w:tc>
          <w:tcPr>
            <w:tcW w:type="dxa" w:w="27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صدک برتر مشتریان</w:t>
            </w:r>
          </w:p>
        </w:tc>
        <w:tc>
          <w:tcPr>
            <w:tcW w:type="dxa" w:w="29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مانده‌ی سپرده</w:t>
            </w:r>
          </w:p>
        </w:tc>
        <w:tc>
          <w:tcPr>
            <w:tcW w:type="dxa" w:w="36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مانده‌ی تسهیلات (گیرنده‌ی اصلی)</w:t>
            </w:r>
          </w:p>
        </w:tc>
      </w:tr>
      <w:tr>
        <w:trPr>
          <w:cantSplit/>
        </w:trPr>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 درصد برتر</w:t>
            </w:r>
          </w:p>
        </w:tc>
        <w:tc>
          <w:tcPr>
            <w:tcW w:type="dxa" w:w="29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۷۸.۲٪</w:t>
            </w:r>
          </w:p>
        </w:tc>
        <w:tc>
          <w:tcPr>
            <w:tcW w:type="dxa" w:w="3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۵۰.۵٪</w:t>
            </w:r>
          </w:p>
        </w:tc>
      </w:tr>
      <w:tr>
        <w:trPr>
          <w:cantSplit/>
        </w:trPr>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 درصد برتر</w:t>
            </w:r>
          </w:p>
        </w:tc>
        <w:tc>
          <w:tcPr>
            <w:tcW w:type="dxa" w:w="29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۹۲.۱٪</w:t>
            </w:r>
          </w:p>
        </w:tc>
        <w:tc>
          <w:tcPr>
            <w:tcW w:type="dxa" w:w="3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۷۰.۳٪</w:t>
            </w:r>
          </w:p>
        </w:tc>
      </w:tr>
      <w:tr>
        <w:trPr>
          <w:cantSplit/>
        </w:trPr>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 درصد برتر</w:t>
            </w:r>
          </w:p>
        </w:tc>
        <w:tc>
          <w:tcPr>
            <w:tcW w:type="dxa" w:w="29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۹۶.۲٪</w:t>
            </w:r>
          </w:p>
        </w:tc>
        <w:tc>
          <w:tcPr>
            <w:tcW w:type="dxa" w:w="3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۷۶.۱٪</w:t>
            </w:r>
          </w:p>
        </w:tc>
      </w:tr>
      <w:tr>
        <w:trPr>
          <w:cantSplit/>
        </w:trPr>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 درصد برتر</w:t>
            </w:r>
          </w:p>
        </w:tc>
        <w:tc>
          <w:tcPr>
            <w:tcW w:type="dxa" w:w="29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۹۸.۷٪</w:t>
            </w:r>
          </w:p>
        </w:tc>
        <w:tc>
          <w:tcPr>
            <w:tcW w:type="dxa" w:w="3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۸۴.۱٪</w:t>
            </w:r>
          </w:p>
        </w:tc>
      </w:tr>
    </w:tbl>
    <w:p>
      <w:pPr>
        <w:spacing w:after="200"/>
      </w:pPr>
    </w:p>
    <w:p>
      <w:pPr>
        <w:bidi/>
        <w:spacing w:after="160" w:line="312"/>
        <w:jc w:val="left"/>
      </w:pPr>
      <w:r>
        <w:rPr>
          <w:rFonts w:ascii="Cambria" w:cs="B Nazanin" w:eastAsia="B Nazanin" w:hAnsi="Cambria"/>
          <w:color w:val="000000"/>
          <w:sz w:val="22"/>
          <w:szCs w:val="26"/>
          <w:rtl/>
        </w:rPr>
        <w:t xml:space="preserve">سپرده متمرکزتر از تسهیلات است: یک درصد برتر سپرده‌گذاران ۷۸.۲ درصد منابع نمونه را در اختیار دارند و یک درصد برتر گیرندگان ۵۰.۵ درصد تسهیلات را. هر دو سمت ترازنامه بر گروه کوچکی از روابط بزرگ تکیه دارند، اما شدت این اتکا در سمت منابع بیشتر است.</w:t>
      </w:r>
    </w:p>
    <w:p>
      <w:pPr>
        <w:bidi/>
        <w:spacing w:after="160" w:line="312"/>
        <w:jc w:val="left"/>
      </w:pPr>
      <w:r>
        <w:rPr>
          <w:rFonts w:ascii="Cambria" w:cs="B Nazanin" w:eastAsia="B Nazanin" w:hAnsi="Cambria"/>
          <w:color w:val="000000"/>
          <w:sz w:val="22"/>
          <w:szCs w:val="26"/>
          <w:rtl/>
        </w:rPr>
        <w:t xml:space="preserve">تمرکز منابع پیامد نقدینگی دارد: خروج تعداد اندکی سپرده‌گذار بزرگ می‌تواند ساختار نقدینگی را جابه‌جا کند. شناسایی این گروه (۸,۳۰۲ مشتری با مانده‌ی بیش از ۱ میلیارد تومان) آسان است و بخش‌بندی آن در فاز ۲ انجام می‌شود. تحلیل ریزش (بخش ۳.۶) درون نمونه نشان می‌دهد خروج کامل مشتریان محدود و عمدتاً مربوط به مشتریان کم‌مانده بوده است؛ سهم مانده‌ی ازدست‌رفته در گذار ۱۴۰۰ به ۱۴۰۱ با ۰.۸۳ درصد بالاتر بوده و در بقیه‌ی گذارها کمتر از نیم درصد است.</w:t>
      </w:r>
    </w:p>
    <w:p>
      <w:pPr>
        <w:pStyle w:val="Heading2"/>
        <w:keepNext/>
        <w:bidi/>
        <w:spacing w:after="160" w:before="300"/>
        <w:jc w:val="left"/>
      </w:pPr>
      <w:bookmarkStart w:name="_Toc35" w:id="35"/>
      <w:r>
        <w:rPr>
          <w:rFonts w:ascii="B Titr" w:cs="B Titr" w:eastAsia="B Titr" w:hAnsi="B Titr"/>
          <w:b w:val="false"/>
          <w:bCs w:val="false"/>
          <w:color w:val="000000"/>
          <w:sz w:val="26"/>
          <w:szCs w:val="26"/>
          <w:rtl/>
        </w:rPr>
        <w:t xml:space="preserve">۴.۵ پایداری منابع</w:t>
      </w:r>
      <w:bookmarkEnd w:id="35"/>
    </w:p>
    <w:p>
      <w:pPr>
        <w:bidi/>
        <w:spacing w:after="160" w:line="312"/>
        <w:jc w:val="left"/>
      </w:pPr>
      <w:r>
        <w:rPr>
          <w:rFonts w:ascii="Cambria" w:cs="B Nazanin" w:eastAsia="B Nazanin" w:hAnsi="Cambria"/>
          <w:color w:val="000000"/>
          <w:sz w:val="22"/>
          <w:szCs w:val="26"/>
          <w:rtl/>
        </w:rPr>
        <w:t xml:space="preserve">آمار رسمی ماهانه‌ی بانک مبنای ارزیابی پایداری منابع است. منابع ریالی بانک در ۶۰ ماه میانگین ماهانه‌ی ۲.۹ درصد رشد داشته و تنها در ۱۱ ماه از ۶۰ ماه کاهش ماهانه ثبت شده است. بزرگ‌ترین کاهش ماهانه ۵.۵ درصد در ۰۱/۱۴۰۳ و دومین آن ۳.۱ درصد در ۰۹/۱۴۰۴ بوده و بقیه‌ی کاهش‌ها کمتر از ۲.۸ درصد است. در سطح مشتری، ماندگاری کوهورت‌های نمونه ۸۹.۰ تا ۹۵.۵ درصد و نرخ ریزش کامل سالانه کمتر از ۰.۵ درصد است (بخش‌های ۳.۵ و ۳.۶)؛ این نرخ‌ها درون نمونه‌ی مشتریان فعال محاسبه شده‌اند و بازتاب ریزش کل بانک نیستند.</w:t>
      </w:r>
    </w:p>
    <w:p>
      <w:pPr>
        <w:bidi/>
        <w:spacing w:after="160" w:line="312"/>
        <w:jc w:val="left"/>
      </w:pPr>
      <w:r>
        <w:rPr>
          <w:rFonts w:ascii="Cambria" w:cs="B Nazanin" w:eastAsia="B Nazanin" w:hAnsi="Cambria"/>
          <w:color w:val="000000"/>
          <w:sz w:val="22"/>
          <w:szCs w:val="26"/>
          <w:rtl/>
        </w:rPr>
        <w:t xml:space="preserve">سنجش دقیق‌تر نوسان مانده‌ی هر مشتری مستلزم تجمیع مانده‌ی همه‌ی حساب‌های هر مشتری در هر ماه و محاسبه‌ی ضریب تغییرات سری ۷۲ ماهه است. این تحلیل با مبنای تجمیع‌شده در فاز ۲ انجام می‌شود و در گزارش حاضر شاخصی از آن ارائه نشده است.</w:t>
      </w:r>
    </w:p>
    <w:p>
      <w:pPr>
        <w:pStyle w:val="Heading2"/>
        <w:keepNext/>
        <w:bidi/>
        <w:spacing w:after="160" w:before="300"/>
        <w:jc w:val="left"/>
      </w:pPr>
      <w:bookmarkStart w:name="_Toc36" w:id="36"/>
      <w:r>
        <w:rPr>
          <w:rFonts w:ascii="B Titr" w:cs="B Titr" w:eastAsia="B Titr" w:hAnsi="B Titr"/>
          <w:b w:val="false"/>
          <w:bCs w:val="false"/>
          <w:color w:val="000000"/>
          <w:sz w:val="26"/>
          <w:szCs w:val="26"/>
          <w:rtl/>
        </w:rPr>
        <w:t xml:space="preserve">۴.۶ تعریف مانده و حساب‌های نزد سایر بانک‌ها</w:t>
      </w:r>
      <w:bookmarkEnd w:id="36"/>
    </w:p>
    <w:p>
      <w:pPr>
        <w:bidi/>
        <w:spacing w:after="160" w:line="312"/>
        <w:jc w:val="left"/>
      </w:pPr>
      <w:r>
        <w:rPr>
          <w:rFonts w:ascii="Cambria" w:cs="B Nazanin" w:eastAsia="B Nazanin" w:hAnsi="Cambria"/>
          <w:color w:val="000000"/>
          <w:sz w:val="22"/>
          <w:szCs w:val="26"/>
          <w:rtl/>
        </w:rPr>
        <w:t xml:space="preserve">مبنای مانده‌ی سپرده در این گزارش ستون میانگین مانده‌ی ماهانه‌ی هر حساب در جدول فعالیت ماهانه‌ی سپرده است. مقایسه‌ی ماهانه‌ی مجموع این ستون با منابع ریالی رسمی در ۵۸ ماه قابل اتکا، پوشش ۶۳.۷ تا ۷۶.۹ درصد را نشان می‌دهد (بخش ۲.۴.۴). ارقام این فصل بر این ستون متکی‌اند. اگر بانک تعریف دیگری (مانند مانده‌ی پایان ماه) را تأیید کند، سطح مطلق مانده‌ها ممکن است تغییر کند و نسبت‌ها و سهم‌ها کمتر اثر می‌پذیرند؛ تعریف دقیق ستون در بخش ۹.۵ پرسیده شده است.</w:t>
      </w:r>
    </w:p>
    <w:p>
      <w:pPr>
        <w:bidi/>
        <w:spacing w:after="160" w:line="312"/>
        <w:jc w:val="left"/>
      </w:pPr>
      <w:r>
        <w:rPr>
          <w:rFonts w:ascii="Cambria" w:cs="B Nazanin" w:eastAsia="B Nazanin" w:hAnsi="Cambria"/>
          <w:color w:val="000000"/>
          <w:sz w:val="22"/>
          <w:szCs w:val="26"/>
          <w:rtl/>
        </w:rPr>
        <w:t xml:space="preserve">در پایگاه ۱,۱۰۰ حساب با نوع «نزد سایر بانک‌ها» ثبت شده است. این حساب‌ها وضعیت باز و تاریخ افتتاح میان سال‌های ۱۳۸۸ تا ۱۴۰۰ دارند. حجم آن‌ها کوچک است و بر نتایج این فصل اثر محسوسی ندارد. طبقه‌بندی ترازنامه‌ای آن‌ها (دارایی یا بدهی) در بخش ۹.۵ پرسیده شده است.</w:t>
      </w:r>
    </w:p>
    <w:p>
      <w:pPr>
        <w:pStyle w:val="Heading2"/>
        <w:keepNext/>
        <w:bidi/>
        <w:spacing w:after="160" w:before="300"/>
        <w:jc w:val="left"/>
      </w:pPr>
      <w:bookmarkStart w:name="_Toc37" w:id="37"/>
      <w:r>
        <w:rPr>
          <w:rFonts w:ascii="B Titr" w:cs="B Titr" w:eastAsia="B Titr" w:hAnsi="B Titr"/>
          <w:b w:val="false"/>
          <w:bCs w:val="false"/>
          <w:color w:val="000000"/>
          <w:sz w:val="26"/>
          <w:szCs w:val="26"/>
          <w:rtl/>
        </w:rPr>
        <w:t xml:space="preserve">۴.۷ جمع‌بندی فصل</w:t>
      </w:r>
      <w:bookmarkEnd w:id="37"/>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مانده‌ی سپرده‌ی نمونه در ۶۰ ماه ۴.۵۸ برابر و منابع ریالی رسمی بانک ۵.۱۲ برابر شده است. رشد منابع رسمی در ۱۴۰۴ به ۴۷.۲ درصد رسیده و از رشد تسهیلات (۴۱.۹ درصد) بیشتر بوده است. رشد اسمی است و پس از تعدیل تورمی حدود ۱.۱ برابر می‌شود.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color w:val="000000"/>
          <w:sz w:val="22"/>
          <w:szCs w:val="26"/>
          <w:rtl/>
        </w:rPr>
        <w:t xml:space="preserve">یک‌سوم منابع بانک هزینه‌ی سود ندارد (۳۳.۴ درصد در ۱۰/۱۴۰۴) و سهم سپرده‌ی بلندمدت به ۴۶.۵ درصد رسیده است. در نمونه، سپرده‌ی بلندمدت با ۲.۲ درصد حساب‌ها ۳۷.۳ درصد مانده را دارد.</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color w:val="000000"/>
          <w:sz w:val="22"/>
          <w:szCs w:val="26"/>
          <w:rtl/>
        </w:rPr>
        <w:t xml:space="preserve">ساختار بازار نامتقارن است: ۱.۲۳ درصد مشتریان ۸۰.۱۵ درصد مانده و ۴۱.۷۱ درصد مشتریان ۰.۰۴ درصد مانده را در اختیار دارند. یک درصد برتر سپرده‌گذاران ۷۸.۲ درصد مانده را دارند، در حالی که یک درصد برتر گیرندگان ۵۰.۵ درصد تسهیلات را.</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color w:val="000000"/>
          <w:sz w:val="22"/>
          <w:szCs w:val="26"/>
          <w:rtl/>
        </w:rPr>
        <w:t xml:space="preserve">بازار هدف فروش تسهیلات ۱۰۱,۱۹۶ سپرده‌گذار فاقد تسهیلات با مانده‌ی بیش از ۱۰ میلیون تومان است (بخش ۳.۳.۱)؛ ۹۶,۸۶۲ نفر در بازه‌ی میانی و ۴,۳۳۴ نفر در گروه بزرگ.</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color w:val="000000"/>
          <w:sz w:val="22"/>
          <w:szCs w:val="26"/>
          <w:rtl/>
        </w:rPr>
        <w:t xml:space="preserve">منابع ریالی بانک در ۴۹ ماه از ۶۰ ماه رشد ماهانه داشته است.</w:t>
      </w:r>
    </w:p>
    <w:p>
      <w:pPr>
        <w:bidi/>
        <w:spacing w:after="120" w:line="300"/>
        <w:ind w:start="300"/>
        <w:jc w:val="left"/>
      </w:pPr>
      <w:r>
        <w:rPr>
          <w:rFonts w:ascii="Cambria" w:cs="B Nazanin" w:eastAsia="B Nazanin" w:hAnsi="Cambria"/>
          <w:color w:val="000000"/>
          <w:sz w:val="22"/>
          <w:szCs w:val="26"/>
          <w:rtl/>
        </w:rPr>
        <w:t xml:space="preserve">۶. </w:t>
      </w:r>
      <w:r>
        <w:rPr>
          <w:rFonts w:ascii="Cambria" w:cs="B Nazanin" w:eastAsia="B Nazanin" w:hAnsi="Cambria"/>
          <w:color w:val="000000"/>
          <w:sz w:val="22"/>
          <w:szCs w:val="26"/>
          <w:rtl/>
        </w:rPr>
        <w:t xml:space="preserve">نوع ۴۰.۳ درصد حساب‌ها (۱۱.۸ درصد مانده) و تعریف دقیق ستون مانده در فهرست پرسش‌های بخش ۹.۵ آمده است؛ ترکیب انواع سپرده فقط برای حساب‌های دارای نوع معتبر است و تفسیر ارقام مانده به پاسخ بانک وابسته است.</w:t>
      </w:r>
    </w:p>
    <w:p>
      <w:pPr>
        <w:pBdr>
          <w:bottom w:val="single" w:color="BBBBBB" w:sz="6"/>
        </w:pBdr>
        <w:spacing w:after="100" w:before="100"/>
      </w:pPr>
    </w:p>
    <w:p>
      <w:pPr>
        <w:pStyle w:val="Heading1"/>
        <w:keepNext/>
        <w:pageBreakBefore/>
        <w:bidi/>
        <w:spacing w:after="160" w:before="0"/>
        <w:jc w:val="left"/>
      </w:pPr>
      <w:bookmarkStart w:name="_Toc38" w:id="38"/>
      <w:r>
        <w:rPr>
          <w:rFonts w:ascii="B Titr" w:cs="B Titr" w:eastAsia="B Titr" w:hAnsi="B Titr"/>
          <w:b w:val="false"/>
          <w:bCs w:val="false"/>
          <w:color w:val="1F4E79"/>
          <w:sz w:val="30"/>
          <w:szCs w:val="30"/>
          <w:rtl/>
        </w:rPr>
        <w:t xml:space="preserve">فصل ۵: بازار تسهیلات</w:t>
      </w:r>
      <w:bookmarkEnd w:id="38"/>
    </w:p>
    <w:p>
      <w:pPr>
        <w:pStyle w:val="Heading2"/>
        <w:keepNext/>
        <w:bidi/>
        <w:spacing w:after="160" w:before="300"/>
        <w:jc w:val="left"/>
      </w:pPr>
      <w:bookmarkStart w:name="_Toc39" w:id="39"/>
      <w:r>
        <w:rPr>
          <w:rFonts w:ascii="B Titr" w:cs="B Titr" w:eastAsia="B Titr" w:hAnsi="B Titr"/>
          <w:b w:val="false"/>
          <w:bCs w:val="false"/>
          <w:color w:val="000000"/>
          <w:sz w:val="26"/>
          <w:szCs w:val="26"/>
          <w:rtl/>
        </w:rPr>
        <w:t xml:space="preserve">۵.۱ هدف و مبنای فصل</w:t>
      </w:r>
      <w:bookmarkEnd w:id="39"/>
    </w:p>
    <w:p>
      <w:pPr>
        <w:bidi/>
        <w:spacing w:after="160" w:line="312"/>
        <w:jc w:val="left"/>
      </w:pPr>
      <w:r>
        <w:rPr>
          <w:rFonts w:ascii="Cambria" w:cs="B Nazanin" w:eastAsia="B Nazanin" w:hAnsi="Cambria"/>
          <w:color w:val="000000"/>
          <w:sz w:val="22"/>
          <w:szCs w:val="26"/>
          <w:rtl/>
        </w:rPr>
        <w:t xml:space="preserve">این فصل سمت دارایی ترازنامه را بررسی می‌کند: پرتفوی تسهیلات با چه سرعتی و در چه ترکیبی رشد کرده، از نظر محصول، بخش اقتصادی، اندازه و سررسید چه ساختاری دارد، بازده قراردادی آن چقدر است و در برابر آن چه وثیقه‌ای اخذ شده است. کیفیت دارایی، مطالبات غیرجاری و ریسک تمرکز در فصل ۶ بررسی می‌شود.</w:t>
      </w:r>
    </w:p>
    <w:p>
      <w:pPr>
        <w:bidi/>
        <w:spacing w:after="160" w:line="312"/>
        <w:jc w:val="left"/>
      </w:pPr>
      <w:r>
        <w:rPr>
          <w:rFonts w:ascii="Cambria" w:cs="B Nazanin" w:eastAsia="B Nazanin" w:hAnsi="Cambria"/>
          <w:color w:val="000000"/>
          <w:sz w:val="22"/>
          <w:szCs w:val="26"/>
          <w:rtl/>
        </w:rPr>
        <w:t xml:space="preserve">با توجه به در دسترس بودن اطلاعات، فصل از سه مبنای محاسبه (جدول ۵-۱) استفاده می‌کند و هر جدول مبنای خود را در عنوان می‌آورد.</w:t>
      </w:r>
    </w:p>
    <w:p>
      <w:pPr>
        <w:keepNext/>
        <w:bidi/>
        <w:spacing w:after="100" w:before="200"/>
        <w:jc w:val="left"/>
      </w:pPr>
      <w:r>
        <w:rPr>
          <w:rFonts w:ascii="B Nazanin" w:cs="B Nazanin" w:eastAsia="B Nazanin" w:hAnsi="B Nazanin"/>
          <w:b/>
          <w:bCs/>
          <w:color w:val="000000"/>
          <w:sz w:val="22"/>
          <w:szCs w:val="22"/>
          <w:rtl/>
        </w:rPr>
        <w:t xml:space="preserve">جدول ۵-۱: مبناهای محاسباتی فصل</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1"/>
        <w:gridCol w:w="2371"/>
        <w:gridCol w:w="2144"/>
        <w:gridCol w:w="2434"/>
      </w:tblGrid>
      <w:tr>
        <w:trPr>
          <w:cantSplit/>
          <w:tblHeader/>
        </w:trPr>
        <w:tc>
          <w:tcPr>
            <w:tcW w:type="dxa" w:w="24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مبنا</w:t>
            </w:r>
          </w:p>
        </w:tc>
        <w:tc>
          <w:tcPr>
            <w:tcW w:type="dxa" w:w="23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مقدار</w:t>
            </w:r>
          </w:p>
        </w:tc>
        <w:tc>
          <w:tcPr>
            <w:tcW w:type="dxa" w:w="214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دامنه‌ی پوشش</w:t>
            </w:r>
          </w:p>
        </w:tc>
        <w:tc>
          <w:tcPr>
            <w:tcW w:type="dxa" w:w="243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تحلیل‌های متکی بر آن</w:t>
            </w:r>
          </w:p>
        </w:tc>
      </w:tr>
      <w:tr>
        <w:trPr>
          <w:cantSplit/>
        </w:trPr>
        <w:tc>
          <w:tcPr>
            <w:tcW w:type="dxa" w:w="2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الف</w:t>
            </w:r>
            <w:r>
              <w:rPr>
                <w:rFonts w:ascii="B Nazanin" w:cs="B Nazanin" w:eastAsia="B Nazanin" w:hAnsi="B Nazanin"/>
                <w:b w:val="false"/>
                <w:bCs w:val="false"/>
                <w:color w:val="000000"/>
                <w:sz w:val="22"/>
                <w:szCs w:val="22"/>
                <w:rtl/>
              </w:rPr>
              <w:t xml:space="preserve">: مانده‌ی کل پرتفوی</w:t>
            </w:r>
          </w:p>
        </w:tc>
        <w:tc>
          <w:tcPr>
            <w:tcW w:type="dxa" w:w="23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۱۲۸.۲ هزار میلیارد تومان</w:t>
            </w:r>
          </w:p>
        </w:tc>
        <w:tc>
          <w:tcPr>
            <w:tcW w:type="dxa" w:w="21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 پرتفوی</w:t>
            </w:r>
          </w:p>
        </w:tc>
        <w:tc>
          <w:tcPr>
            <w:tcW w:type="dxa" w:w="2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روند مانده، رشد سالانه، نسبت تسهیلات به منابع، ترکیب بخش اقتصادی، ترکیب محصولی</w:t>
            </w:r>
          </w:p>
        </w:tc>
      </w:tr>
      <w:tr>
        <w:trPr>
          <w:cantSplit/>
        </w:trPr>
        <w:tc>
          <w:tcPr>
            <w:tcW w:type="dxa" w:w="2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الف-۱</w:t>
            </w:r>
            <w:r>
              <w:rPr>
                <w:rFonts w:ascii="B Nazanin" w:cs="B Nazanin" w:eastAsia="B Nazanin" w:hAnsi="B Nazanin"/>
                <w:b w:val="false"/>
                <w:bCs w:val="false"/>
                <w:color w:val="000000"/>
                <w:sz w:val="22"/>
                <w:szCs w:val="22"/>
                <w:rtl/>
              </w:rPr>
              <w:t xml:space="preserve">: پرتفوی دارای رکورد قرارداد</w:t>
            </w:r>
          </w:p>
        </w:tc>
        <w:tc>
          <w:tcPr>
            <w:tcW w:type="dxa" w:w="23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۹۹.۵ هزار میلیارد تومان (۷۷.۶۰٪)</w:t>
            </w:r>
          </w:p>
        </w:tc>
        <w:tc>
          <w:tcPr>
            <w:tcW w:type="dxa" w:w="21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قراردادهای دارای رکورد</w:t>
            </w:r>
          </w:p>
        </w:tc>
        <w:tc>
          <w:tcPr>
            <w:tcW w:type="dxa" w:w="2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ترکیب محصولی تفصیلی، سررسید، نرخ سود، وثیقه</w:t>
            </w:r>
          </w:p>
        </w:tc>
      </w:tr>
      <w:tr>
        <w:trPr>
          <w:cantSplit/>
        </w:trPr>
        <w:tc>
          <w:tcPr>
            <w:tcW w:type="dxa" w:w="24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مبنای اعطا</w:t>
            </w:r>
          </w:p>
        </w:tc>
        <w:tc>
          <w:tcPr>
            <w:tcW w:type="dxa" w:w="23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۲۰۵.۷ هزار میلیارد تومان</w:t>
            </w:r>
          </w:p>
        </w:tc>
        <w:tc>
          <w:tcPr>
            <w:tcW w:type="dxa" w:w="214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مجموع تجمعی مبالغ اعطاشده</w:t>
            </w:r>
          </w:p>
        </w:tc>
        <w:tc>
          <w:tcPr>
            <w:tcW w:type="dxa" w:w="24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توزیع اندازه‌ی تسهیلات، نرخ سود مؤثر، پوشش وثیقه</w:t>
            </w:r>
          </w:p>
        </w:tc>
      </w:tr>
    </w:tbl>
    <w:p>
      <w:pPr>
        <w:spacing w:after="200"/>
      </w:pPr>
    </w:p>
    <w:p>
      <w:pPr>
        <w:bidi/>
        <w:spacing w:after="160" w:line="312"/>
        <w:jc w:val="left"/>
      </w:pPr>
      <w:r>
        <w:rPr>
          <w:rFonts w:ascii="Cambria" w:cs="B Nazanin" w:eastAsia="B Nazanin" w:hAnsi="Cambria"/>
          <w:color w:val="000000"/>
          <w:sz w:val="22"/>
          <w:szCs w:val="26"/>
          <w:rtl/>
        </w:rPr>
        <w:t xml:space="preserve">مبنای اعطا مجموع مبالغ اعطاشده در کل دوره است و موجودی فعلی را نشان نمی‌دهد. فاصله‌ی ۲۰۵.۷ و ۹۹.۵ هزار میلیارد تومان عمدتاً بازپرداخت اقساط در طول دوره را نشان می‌دهد.</w:t>
      </w:r>
    </w:p>
    <w:p>
      <w:pPr>
        <w:pStyle w:val="Heading2"/>
        <w:keepNext/>
        <w:bidi/>
        <w:spacing w:after="160" w:before="300"/>
        <w:jc w:val="left"/>
      </w:pPr>
      <w:bookmarkStart w:name="_Toc40" w:id="40"/>
      <w:r>
        <w:rPr>
          <w:rFonts w:ascii="B Titr" w:cs="B Titr" w:eastAsia="B Titr" w:hAnsi="B Titr"/>
          <w:b w:val="false"/>
          <w:bCs w:val="false"/>
          <w:color w:val="000000"/>
          <w:sz w:val="26"/>
          <w:szCs w:val="26"/>
          <w:rtl/>
        </w:rPr>
        <w:t xml:space="preserve">۵.۲ روند مانده و رشد پرتفوی</w:t>
      </w:r>
      <w:bookmarkEnd w:id="40"/>
    </w:p>
    <w:p>
      <w:pPr>
        <w:pStyle w:val="Heading3"/>
        <w:keepNext/>
        <w:bidi/>
        <w:spacing w:after="160" w:before="300"/>
        <w:jc w:val="left"/>
      </w:pPr>
      <w:r>
        <w:rPr>
          <w:rFonts w:ascii="B Titr" w:cs="B Titr" w:eastAsia="B Titr" w:hAnsi="B Titr"/>
          <w:b w:val="false"/>
          <w:bCs w:val="false"/>
          <w:color w:val="000000"/>
          <w:sz w:val="26"/>
          <w:szCs w:val="26"/>
          <w:rtl/>
        </w:rPr>
        <w:t xml:space="preserve">۵.۲.۱ تصویر کلان</w:t>
      </w:r>
    </w:p>
    <w:p>
      <w:pPr>
        <w:keepNext/>
        <w:bidi/>
        <w:spacing w:after="100" w:before="200"/>
        <w:jc w:val="left"/>
      </w:pPr>
      <w:r>
        <w:rPr>
          <w:rFonts w:ascii="B Nazanin" w:cs="B Nazanin" w:eastAsia="B Nazanin" w:hAnsi="B Nazanin"/>
          <w:b/>
          <w:bCs/>
          <w:color w:val="000000"/>
          <w:sz w:val="22"/>
          <w:szCs w:val="22"/>
          <w:rtl/>
        </w:rPr>
        <w:t xml:space="preserve">جدول ۵-۲: مقاطع کلیدی روند پرتفوی تسهیلات (مبنای الف)</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14"/>
        <w:gridCol w:w="2951"/>
        <w:gridCol w:w="2951"/>
        <w:gridCol w:w="1834"/>
      </w:tblGrid>
      <w:tr>
        <w:trPr>
          <w:cantSplit/>
          <w:tblHeader/>
        </w:trPr>
        <w:tc>
          <w:tcPr>
            <w:tcW w:type="dxa" w:w="161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29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نمونه (هزار میلیارد تومان)</w:t>
            </w:r>
          </w:p>
        </w:tc>
        <w:tc>
          <w:tcPr>
            <w:tcW w:type="dxa" w:w="29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رسمی بانک (هزار میلیارد تومان)</w:t>
            </w:r>
          </w:p>
        </w:tc>
        <w:tc>
          <w:tcPr>
            <w:tcW w:type="dxa" w:w="183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پوشش نمونه</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۲۱.۰</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۲۸.۰</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۷۴.۹٪</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۴۲.۳</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۵۳.۹</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۷۸.۵٪</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۸۸.۸</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۱۰۴.۴</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۸۵.۰٪</w:t>
            </w:r>
          </w:p>
        </w:tc>
      </w:tr>
      <w:tr>
        <w:trPr>
          <w:cantSplit/>
        </w:trPr>
        <w:tc>
          <w:tcPr>
            <w:tcW w:type="dxa" w:w="16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29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۱۴۸.۲</w:t>
            </w:r>
          </w:p>
        </w:tc>
        <w:tc>
          <w:tcPr>
            <w:tcW w:type="dxa" w:w="183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۸۶.۵٪</w:t>
            </w:r>
          </w:p>
        </w:tc>
      </w:tr>
    </w:tbl>
    <w:p>
      <w:pPr>
        <w:spacing w:after="200"/>
      </w:pPr>
    </w:p>
    <w:p>
      <w:pPr>
        <w:bidi/>
        <w:spacing w:after="160" w:line="312"/>
        <w:jc w:val="left"/>
      </w:pPr>
      <w:r>
        <w:rPr>
          <w:rFonts w:ascii="Cambria" w:cs="B Nazanin" w:eastAsia="B Nazanin" w:hAnsi="Cambria"/>
          <w:color w:val="000000"/>
          <w:sz w:val="22"/>
          <w:szCs w:val="26"/>
          <w:rtl/>
        </w:rPr>
        <w:t xml:space="preserve">در ۶۰ ماه مانده‌ی تسهیلات نمونه ۶.۱۰ برابر و مانده‌ی رسمی بانک ۵.۲۹ برابر شده است (جدول ۵-۲). تفاوت این دو ضریب از افزایش پوشش نمونه (۷۴.۹ به ۸۶.۵ درصد) می‌آید. با تعدیل تورمی، رشد واقعی مانده‌ی نمونه ۱.۴۶ برابر است. رشد منابع ریالی رسمی در همین بازه ۵.۱۲ برابر بوده است (بخش ۴.۲.۱)، یعنی دو سمت ترازنامه با ضرایب نزدیک به هم رشد کرده‌اند.</w:t>
      </w:r>
    </w:p>
    <w:p>
      <w:pPr>
        <w:pStyle w:val="Heading3"/>
        <w:keepNext/>
        <w:bidi/>
        <w:spacing w:after="160" w:before="300"/>
        <w:jc w:val="left"/>
      </w:pPr>
      <w:r>
        <w:rPr>
          <w:rFonts w:ascii="B Titr" w:cs="B Titr" w:eastAsia="B Titr" w:hAnsi="B Titr"/>
          <w:b w:val="false"/>
          <w:bCs w:val="false"/>
          <w:color w:val="000000"/>
          <w:sz w:val="26"/>
          <w:szCs w:val="26"/>
          <w:rtl/>
        </w:rPr>
        <w:t xml:space="preserve">۵.۲.۲ رشد سالانه‌ی تسهیلات و منابع</w:t>
      </w:r>
    </w:p>
    <w:p>
      <w:pPr>
        <w:bidi/>
        <w:spacing w:after="160" w:line="312"/>
        <w:jc w:val="left"/>
      </w:pPr>
      <w:r>
        <w:rPr>
          <w:rFonts w:ascii="Cambria" w:cs="B Nazanin" w:eastAsia="B Nazanin" w:hAnsi="Cambria"/>
          <w:color w:val="000000"/>
          <w:sz w:val="22"/>
          <w:szCs w:val="26"/>
          <w:rtl/>
        </w:rPr>
        <w:t xml:space="preserve">جدول ۵-۳ رشد سالانه‌ی تسهیلات و منابع را بر پایه‌ی آمار رسمی بانک و در کنار رشد تسهیلات نمونه نشان می‌دهد.</w:t>
      </w:r>
    </w:p>
    <w:p>
      <w:pPr>
        <w:keepNext/>
        <w:bidi/>
        <w:spacing w:after="100" w:before="200"/>
        <w:jc w:val="left"/>
      </w:pPr>
      <w:r>
        <w:rPr>
          <w:rFonts w:ascii="B Nazanin" w:cs="B Nazanin" w:eastAsia="B Nazanin" w:hAnsi="B Nazanin"/>
          <w:b/>
          <w:bCs/>
          <w:color w:val="000000"/>
          <w:sz w:val="22"/>
          <w:szCs w:val="22"/>
          <w:rtl/>
        </w:rPr>
        <w:t xml:space="preserve">جدول ۵-۳: رشد سالانه‌ی تسهیلات و منابع ریالی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90"/>
        <w:gridCol w:w="1902"/>
        <w:gridCol w:w="1472"/>
        <w:gridCol w:w="1440"/>
        <w:gridCol w:w="1564"/>
        <w:gridCol w:w="1882"/>
      </w:tblGrid>
      <w:tr>
        <w:trPr>
          <w:cantSplit/>
          <w:tblHeader/>
        </w:trPr>
        <w:tc>
          <w:tcPr>
            <w:tcW w:type="dxa" w:w="10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سال شمسی</w:t>
            </w:r>
          </w:p>
        </w:tc>
        <w:tc>
          <w:tcPr>
            <w:tcW w:type="dxa" w:w="190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تسهیلات نمونه (هزار میلیارد تومان)</w:t>
            </w:r>
          </w:p>
        </w:tc>
        <w:tc>
          <w:tcPr>
            <w:tcW w:type="dxa" w:w="14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تسهیلات، نمونه</w:t>
            </w:r>
          </w:p>
        </w:tc>
        <w:tc>
          <w:tcPr>
            <w:tcW w:type="dxa" w:w="144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تسهیلات، رسمی</w:t>
            </w:r>
          </w:p>
        </w:tc>
        <w:tc>
          <w:tcPr>
            <w:tcW w:type="dxa" w:w="156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منابع ریالی، رسمی</w:t>
            </w:r>
          </w:p>
        </w:tc>
        <w:tc>
          <w:tcPr>
            <w:tcW w:type="dxa" w:w="18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اختلاف رشد تسهیلات و منابع (رسمی)</w:t>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۳۱.۷</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۴۲.۳</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۳۳.۵٪</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۳۷.۷٪</w:t>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۴۶.۶٪</w:t>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۸.۹ واحد درصد کمتر</w:t>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۶۰.۹</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۴۴.۰٪</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۳۵.۳٪</w:t>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۳۹.۹٪</w:t>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 واحد درصد کمتر</w:t>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۸۸.۸</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۴۵.۹٪</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۴۳.۳٪</w:t>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۳۳.۸٪</w:t>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 واحد درصد بیشتر</w:t>
            </w:r>
          </w:p>
        </w:tc>
      </w:tr>
      <w:tr>
        <w:trPr>
          <w:cantSplit/>
        </w:trPr>
        <w:tc>
          <w:tcPr>
            <w:tcW w:type="dxa" w:w="10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190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14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۴۴.۳٪</w:t>
            </w:r>
          </w:p>
        </w:tc>
        <w:tc>
          <w:tcPr>
            <w:tcW w:type="dxa" w:w="14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۴۱.۹٪</w:t>
            </w:r>
          </w:p>
        </w:tc>
        <w:tc>
          <w:tcPr>
            <w:tcW w:type="dxa" w:w="156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۴۷.۲٪</w:t>
            </w:r>
          </w:p>
        </w:tc>
        <w:tc>
          <w:tcPr>
            <w:tcW w:type="dxa" w:w="18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 واحد درصد کمتر</w:t>
            </w:r>
          </w:p>
        </w:tc>
      </w:tr>
    </w:tbl>
    <w:p>
      <w:pPr>
        <w:spacing w:after="200"/>
      </w:pPr>
    </w:p>
    <w:p>
      <w:pPr>
        <w:bidi/>
        <w:spacing w:after="160" w:line="312"/>
        <w:jc w:val="left"/>
      </w:pPr>
      <w:r>
        <w:rPr>
          <w:rFonts w:ascii="Cambria" w:cs="B Nazanin" w:eastAsia="B Nazanin" w:hAnsi="Cambria"/>
          <w:color w:val="000000"/>
          <w:sz w:val="22"/>
          <w:szCs w:val="26"/>
          <w:rtl/>
        </w:rPr>
        <w:t xml:space="preserve">آمار رسمی نشان می‌دهد رشد تسهیلات و منابع در طول دوره در بازه‌ی ۳۳.۸ تا ۴۷.۲ درصد حرکت کرده و شکاف پایداری میان آن‌ها وجود ندارد. تنها در ۱۴۰۳ رشد تسهیلات بیش از رشد منابع بوده و در ۱۴۰۴ منابع با نرخ ۴۷.۲ درصد از تسهیلات (۴۱.۹ درصد) جلو افتاده‌اند. رشد نمونه در ۱۴۰۴ برای منابع کمتر از رقم رسمی (۳۲.۵ در برابر ۴۷.۲ درصد) است، چون پوشش منابع نمونه در آن سال کاهش یافته است؛ برای مقایسه‌ی سرعت رشد دو سمت، آمار رسمی مبنای مناسب‌تری است.</w:t>
      </w:r>
    </w:p>
    <w:p>
      <w:pPr>
        <w:pStyle w:val="Heading3"/>
        <w:keepNext/>
        <w:bidi/>
        <w:spacing w:after="160" w:before="300"/>
        <w:jc w:val="left"/>
      </w:pPr>
      <w:r>
        <w:rPr>
          <w:rFonts w:ascii="B Titr" w:cs="B Titr" w:eastAsia="B Titr" w:hAnsi="B Titr"/>
          <w:b w:val="false"/>
          <w:bCs w:val="false"/>
          <w:color w:val="000000"/>
          <w:sz w:val="26"/>
          <w:szCs w:val="26"/>
          <w:rtl/>
        </w:rPr>
        <w:t xml:space="preserve">۵.۲.۳ الگوی فصلی پایان سال</w:t>
      </w:r>
    </w:p>
    <w:p>
      <w:pPr>
        <w:keepNext/>
        <w:bidi/>
        <w:spacing w:after="100" w:before="200"/>
        <w:jc w:val="left"/>
      </w:pPr>
      <w:r>
        <w:rPr>
          <w:rFonts w:ascii="B Nazanin" w:cs="B Nazanin" w:eastAsia="B Nazanin" w:hAnsi="B Nazanin"/>
          <w:b/>
          <w:bCs/>
          <w:color w:val="000000"/>
          <w:sz w:val="22"/>
          <w:szCs w:val="22"/>
          <w:rtl/>
        </w:rPr>
        <w:t xml:space="preserve">جدول ۵-۴: رشد یک‌ماهه در ماه اسفند هر سال (آمار رسمی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26"/>
        <w:gridCol w:w="3341"/>
        <w:gridCol w:w="3583"/>
      </w:tblGrid>
      <w:tr>
        <w:trPr>
          <w:cantSplit/>
          <w:tblHeader/>
        </w:trPr>
        <w:tc>
          <w:tcPr>
            <w:tcW w:type="dxa" w:w="242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اسفند سال</w:t>
            </w:r>
          </w:p>
        </w:tc>
        <w:tc>
          <w:tcPr>
            <w:tcW w:type="dxa" w:w="334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یک‌ماهه‌ی تسهیلات</w:t>
            </w:r>
          </w:p>
        </w:tc>
        <w:tc>
          <w:tcPr>
            <w:tcW w:type="dxa" w:w="35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رشد یک‌ماهه‌ی منابع ریالی</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۷.۲٪</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۷.۳٪</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w:t>
            </w:r>
          </w:p>
        </w:tc>
      </w:tr>
      <w:tr>
        <w:trPr>
          <w:cantSplit/>
        </w:trPr>
        <w:tc>
          <w:tcPr>
            <w:tcW w:type="dxa" w:w="24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33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w:t>
            </w:r>
          </w:p>
        </w:tc>
        <w:tc>
          <w:tcPr>
            <w:tcW w:type="dxa" w:w="3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۱۴.۶٪</w:t>
            </w:r>
          </w:p>
        </w:tc>
      </w:tr>
    </w:tbl>
    <w:p>
      <w:pPr>
        <w:spacing w:after="200"/>
      </w:pPr>
    </w:p>
    <w:p>
      <w:pPr>
        <w:bidi/>
        <w:spacing w:after="160" w:line="312"/>
        <w:jc w:val="left"/>
      </w:pPr>
      <w:r>
        <w:rPr>
          <w:rFonts w:ascii="Cambria" w:cs="B Nazanin" w:eastAsia="B Nazanin" w:hAnsi="Cambria"/>
          <w:color w:val="000000"/>
          <w:sz w:val="22"/>
          <w:szCs w:val="26"/>
          <w:rtl/>
        </w:rPr>
        <w:t xml:space="preserve">جدول ۵-۴ نشان می‌دهد ماه اسفند در هر پنج سال رشد بالاتری از میانگین ماهانه ثبت کرده است. میانگین رشد یک‌ماهه‌ی تسهیلات در اسفندهای پنج‌ساله ۶.۲ درصد و در دیگر ماه‌ها حدود ۲.۵ درصد است. داده‌های فعلی علت این افزایش فصلی را مشخص نمی‌کنند. چون منابع هم در اسفند اوج می‌گیرند، نسبت تسهیلات به منابع در این ماه بالاتر از میانگین سال نیست (۱۱۱.۳ درصد در ۱۲/۱۴۰۴ در برابر میانگین ۱۱۳.۸ درصد در ۱۴۰۴).</w:t>
      </w:r>
    </w:p>
    <w:p>
      <w:pPr>
        <w:pStyle w:val="Heading2"/>
        <w:keepNext/>
        <w:bidi/>
        <w:spacing w:after="160" w:before="300"/>
        <w:jc w:val="left"/>
      </w:pPr>
      <w:bookmarkStart w:name="_Toc41" w:id="41"/>
      <w:r>
        <w:rPr>
          <w:rFonts w:ascii="B Titr" w:cs="B Titr" w:eastAsia="B Titr" w:hAnsi="B Titr"/>
          <w:b w:val="false"/>
          <w:bCs w:val="false"/>
          <w:color w:val="000000"/>
          <w:sz w:val="26"/>
          <w:szCs w:val="26"/>
          <w:rtl/>
        </w:rPr>
        <w:t xml:space="preserve">۵.۳ نسبت تسهیلات به منابع</w:t>
      </w:r>
      <w:bookmarkEnd w:id="41"/>
    </w:p>
    <w:p>
      <w:pPr>
        <w:pStyle w:val="Heading3"/>
        <w:keepNext/>
        <w:bidi/>
        <w:spacing w:after="160" w:before="300"/>
        <w:jc w:val="left"/>
      </w:pPr>
      <w:r>
        <w:rPr>
          <w:rFonts w:ascii="B Titr" w:cs="B Titr" w:eastAsia="B Titr" w:hAnsi="B Titr"/>
          <w:b w:val="false"/>
          <w:bCs w:val="false"/>
          <w:color w:val="000000"/>
          <w:sz w:val="26"/>
          <w:szCs w:val="26"/>
          <w:rtl/>
        </w:rPr>
        <w:t xml:space="preserve">۵.۳.۱ نسبت رسمی بانک</w:t>
      </w:r>
    </w:p>
    <w:p>
      <w:pPr>
        <w:bidi/>
        <w:spacing w:after="160" w:line="312"/>
        <w:jc w:val="left"/>
      </w:pPr>
      <w:r>
        <w:rPr>
          <w:rFonts w:ascii="Cambria" w:cs="B Nazanin" w:eastAsia="B Nazanin" w:hAnsi="Cambria"/>
          <w:color w:val="000000"/>
          <w:sz w:val="22"/>
          <w:szCs w:val="26"/>
          <w:rtl/>
        </w:rPr>
        <w:t xml:space="preserve">نسبت تسهیلات به منابع ریالی، شاخص متعارف سنجش کفایت منابع و ریسک نقدینگی است. نمودار ۵-۱ این نسبت را در آمار رسمی بانک و در نمونه نشان می‌دهد.</w:t>
      </w:r>
    </w:p>
    <w:p>
      <w:pPr>
        <w:keepNext/>
        <w:spacing w:after="60" w:before="160"/>
        <w:jc w:val="center"/>
      </w:pPr>
      <w:r>
        <w:drawing>
          <wp:inline distT="0" distB="0" distL="0" distR="0">
            <wp:extent cx="5715000" cy="23431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23431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۵-۱: نسبت تسهیلات به منابع ریالی در آمار رسمی بانک و در نمونه، ۰۱/۱۴۰۰ تا ۱۲/۱۴۰۴</w:t>
      </w:r>
    </w:p>
    <w:p>
      <w:pPr>
        <w:bidi/>
        <w:spacing w:after="160" w:line="312"/>
        <w:jc w:val="left"/>
      </w:pPr>
      <w:r>
        <w:rPr>
          <w:rFonts w:ascii="Cambria" w:cs="B Nazanin" w:eastAsia="B Nazanin" w:hAnsi="Cambria"/>
          <w:color w:val="000000"/>
          <w:sz w:val="22"/>
          <w:szCs w:val="26"/>
          <w:rtl/>
        </w:rPr>
        <w:t xml:space="preserve">بر پایه‌ی آمار رسمی، این نسبت در ۶۰ ماه میان ۱۰۵.۱ درصد (۰۶/۱۴۰۲) و ۱۲۸.۳ درصد (۱۰/۱۴۰۳) قرار داشته و میانگین آن ۱۱۵.۸ درصد است. در ۰۱/۱۴۰۰ برابر ۱۰۷.۸ و در ۱۲/۱۴۰۴ برابر ۱۱۱.۳ درصد بوده است. نسبت بالاتر از صد درصد نشان می‌دهد بخشی از تسهیلات از منابعی غیر از سپرده‌های ریالی تأمین شده است؛ ترکیب این منابع در داده‌های در دسترس نیست. روند صعودی پایداری در نسبت دیده نمی‌شود.</w:t>
      </w:r>
    </w:p>
    <w:p>
      <w:pPr>
        <w:pStyle w:val="Heading3"/>
        <w:keepNext/>
        <w:bidi/>
        <w:spacing w:after="160" w:before="300"/>
        <w:jc w:val="left"/>
      </w:pPr>
      <w:r>
        <w:rPr>
          <w:rFonts w:ascii="B Titr" w:cs="B Titr" w:eastAsia="B Titr" w:hAnsi="B Titr"/>
          <w:b w:val="false"/>
          <w:bCs w:val="false"/>
          <w:color w:val="000000"/>
          <w:sz w:val="26"/>
          <w:szCs w:val="26"/>
          <w:rtl/>
        </w:rPr>
        <w:t xml:space="preserve">۵.۳.۲ نسبت در نمونه</w:t>
      </w:r>
    </w:p>
    <w:p>
      <w:pPr>
        <w:keepNext/>
        <w:bidi/>
        <w:spacing w:after="100" w:before="200"/>
        <w:jc w:val="left"/>
      </w:pPr>
      <w:r>
        <w:rPr>
          <w:rFonts w:ascii="B Nazanin" w:cs="B Nazanin" w:eastAsia="B Nazanin" w:hAnsi="B Nazanin"/>
          <w:b/>
          <w:bCs/>
          <w:color w:val="000000"/>
          <w:sz w:val="22"/>
          <w:szCs w:val="22"/>
          <w:rtl/>
        </w:rPr>
        <w:t xml:space="preserve">جدول ۵-۵: نسبت تسهیلات به منابع ریالی، آمار رسمی و نمونه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14"/>
        <w:gridCol w:w="1653"/>
        <w:gridCol w:w="1717"/>
        <w:gridCol w:w="2188"/>
        <w:gridCol w:w="2278"/>
      </w:tblGrid>
      <w:tr>
        <w:trPr>
          <w:cantSplit/>
          <w:tblHeader/>
        </w:trPr>
        <w:tc>
          <w:tcPr>
            <w:tcW w:type="dxa" w:w="151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16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رسمی</w:t>
            </w:r>
          </w:p>
        </w:tc>
        <w:tc>
          <w:tcPr>
            <w:tcW w:type="dxa" w:w="171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نمونه</w:t>
            </w:r>
          </w:p>
        </w:tc>
        <w:tc>
          <w:tcPr>
            <w:tcW w:type="dxa" w:w="21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پوشش منابع در نمونه</w:t>
            </w:r>
          </w:p>
        </w:tc>
        <w:tc>
          <w:tcPr>
            <w:tcW w:type="dxa" w:w="22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پوشش تسهیلات در نمونه</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۱۰۷.۸٪</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۱۱۳.۵٪</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۷۱.۲٪</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۷۴.۹٪</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۱۱۱.۶٪</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۱۲۹.۲٪</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۶۷.۸٪</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۷۸.۵٪</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۱۱۵.۵٪</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۱۳۸.۸٪</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۷۰.۷٪</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۸۵.۰٪</w:t>
            </w:r>
          </w:p>
        </w:tc>
      </w:tr>
      <w:tr>
        <w:trPr>
          <w:cantSplit/>
        </w:trPr>
        <w:tc>
          <w:tcPr>
            <w:tcW w:type="dxa" w:w="151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16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۱۱۱.۳٪</w:t>
            </w:r>
          </w:p>
        </w:tc>
        <w:tc>
          <w:tcPr>
            <w:tcW w:type="dxa" w:w="171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۱۵۱.۲٪</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۶۳.۷٪</w:t>
            </w:r>
          </w:p>
        </w:tc>
        <w:tc>
          <w:tcPr>
            <w:tcW w:type="dxa" w:w="22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۸۶.۵٪</w:t>
            </w:r>
          </w:p>
        </w:tc>
      </w:tr>
    </w:tbl>
    <w:p>
      <w:pPr>
        <w:spacing w:after="200"/>
      </w:pPr>
    </w:p>
    <w:p>
      <w:pPr>
        <w:bidi/>
        <w:spacing w:after="160" w:line="312"/>
        <w:jc w:val="left"/>
      </w:pPr>
      <w:r>
        <w:rPr>
          <w:rFonts w:ascii="Cambria" w:cs="B Nazanin" w:eastAsia="B Nazanin" w:hAnsi="Cambria"/>
          <w:color w:val="000000"/>
          <w:sz w:val="22"/>
          <w:szCs w:val="26"/>
          <w:rtl/>
        </w:rPr>
        <w:t xml:space="preserve">رقم ۱۵۱.۲ درصد در نمونه بازتاب تفاوت پوشش است: نمونه ۸۶.۵ درصد تسهیلات اما تنها ۶۳.۷ درصد منابع بانک را در بر می‌گیرد و نسبت به‌طور طبیعی بالاتر از رقم رسمی می‌شود (جدول ۵-۵). برای ارزیابی نقدینگی، همان آمار رسمی (۱۱۱.۳ درصد) ملاک است و سطح و روند نسبت بر پایه‌ی آن گزارش می‌شود.</w:t>
      </w:r>
    </w:p>
    <w:p>
      <w:pPr>
        <w:pStyle w:val="Heading2"/>
        <w:keepNext/>
        <w:bidi/>
        <w:spacing w:after="160" w:before="300"/>
        <w:jc w:val="left"/>
      </w:pPr>
      <w:bookmarkStart w:name="_Toc42" w:id="42"/>
      <w:r>
        <w:rPr>
          <w:rFonts w:ascii="B Titr" w:cs="B Titr" w:eastAsia="B Titr" w:hAnsi="B Titr"/>
          <w:b w:val="false"/>
          <w:bCs w:val="false"/>
          <w:color w:val="000000"/>
          <w:sz w:val="26"/>
          <w:szCs w:val="26"/>
          <w:rtl/>
        </w:rPr>
        <w:t xml:space="preserve">۵.۴ ترکیب محصولی پرتفوی</w:t>
      </w:r>
      <w:bookmarkEnd w:id="42"/>
    </w:p>
    <w:p>
      <w:pPr>
        <w:pStyle w:val="Heading3"/>
        <w:keepNext/>
        <w:bidi/>
        <w:spacing w:after="160" w:before="300"/>
        <w:jc w:val="left"/>
      </w:pPr>
      <w:r>
        <w:rPr>
          <w:rFonts w:ascii="B Titr" w:cs="B Titr" w:eastAsia="B Titr" w:hAnsi="B Titr"/>
          <w:b w:val="false"/>
          <w:bCs w:val="false"/>
          <w:color w:val="000000"/>
          <w:sz w:val="26"/>
          <w:szCs w:val="26"/>
          <w:rtl/>
        </w:rPr>
        <w:t xml:space="preserve">۵.۴.۱ توزیع بر حسب نوع عقد</w:t>
      </w:r>
    </w:p>
    <w:p>
      <w:pPr>
        <w:keepNext/>
        <w:spacing w:after="60" w:before="160"/>
        <w:jc w:val="center"/>
      </w:pPr>
      <w:r>
        <w:drawing>
          <wp:inline distT="0" distB="0" distL="0" distR="0">
            <wp:extent cx="5715000" cy="25812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25812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۵-۲: توزیع پرتفوی تسهیلات به تفکیک نوع عقد، ۱۲/۱۴۰۴</w:t>
      </w:r>
    </w:p>
    <w:p>
      <w:pPr>
        <w:keepNext/>
        <w:bidi/>
        <w:spacing w:after="100" w:before="200"/>
        <w:jc w:val="left"/>
      </w:pPr>
      <w:r>
        <w:rPr>
          <w:rFonts w:ascii="B Nazanin" w:cs="B Nazanin" w:eastAsia="B Nazanin" w:hAnsi="B Nazanin"/>
          <w:b/>
          <w:bCs/>
          <w:color w:val="000000"/>
          <w:sz w:val="22"/>
          <w:szCs w:val="22"/>
          <w:rtl/>
        </w:rPr>
        <w:t xml:space="preserve">جدول ۵-۶: ترکیب پرتفوی تسهیلات به تفکیک نوع عقد (مبنای الف)</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52"/>
        <w:gridCol w:w="2165"/>
        <w:gridCol w:w="2838"/>
        <w:gridCol w:w="1895"/>
      </w:tblGrid>
      <w:tr>
        <w:trPr>
          <w:cantSplit/>
          <w:tblHeader/>
        </w:trPr>
        <w:tc>
          <w:tcPr>
            <w:tcW w:type="dxa" w:w="24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نوع عقد</w:t>
            </w:r>
          </w:p>
        </w:tc>
        <w:tc>
          <w:tcPr>
            <w:tcW w:type="dxa" w:w="21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28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89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مانده</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مرابحه</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۴۲۶,۲۳۵</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۵۰.۵</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۳۹.۳۷٪</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فاقد رکورد قرارداد</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۶۳۷,۹۷۵</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۲۲.۴۰٪</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فروش اقساطی</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۱۴,۲۲۱</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۲۰.۶</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۱۶.۰۹٪</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قرض‌الحسنه</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۱۹۳,۱۷۴</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۱۴.۹</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۱۱.۵۹٪</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سایر</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۳۴,۰۷۰</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۶.۸۷٪</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مشارکت مدنی</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۷,۳۴۴</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۳.۰۹٪</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جعاله</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۵,۶۰۷</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۰.۵۱٪</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مضاربه</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۳,۶۷۷</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۰.۰۸٪</w:t>
            </w:r>
          </w:p>
        </w:tc>
      </w:tr>
      <w:tr>
        <w:trPr>
          <w:cantSplit/>
        </w:trPr>
        <w:tc>
          <w:tcPr>
            <w:tcW w:type="dxa" w:w="24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21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۱,۳۲۲,۳۰۳</w:t>
            </w:r>
          </w:p>
        </w:tc>
        <w:tc>
          <w:tcPr>
            <w:tcW w:type="dxa" w:w="28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189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۵.۴.۲ تحلیل</w:t>
      </w:r>
    </w:p>
    <w:p>
      <w:pPr>
        <w:bidi/>
        <w:spacing w:after="160" w:line="312"/>
        <w:jc w:val="left"/>
      </w:pPr>
      <w:r>
        <w:rPr>
          <w:rFonts w:ascii="Cambria" w:cs="B Nazanin" w:eastAsia="B Nazanin" w:hAnsi="Cambria"/>
          <w:color w:val="000000"/>
          <w:sz w:val="22"/>
          <w:szCs w:val="26"/>
          <w:rtl/>
        </w:rPr>
        <w:t xml:space="preserve">جدول ۵-۶ و نمودار ۵-۲ نشان می‌دهند نوع عقد برای ۷۷.۶ درصد پرتفوی در جدول قرارداد ثبت شده است؛ ۲۲.۴۰ درصد مانده (۶۳۷,۹۷۵ قرارداد) فاقد رکورد قرارداد است و تحلیل محصولی بر ۷۷.۶ درصد پرتفوی استوار است. تکمیل رکورد این قراردادها در بخش‌های ۲.۵ و ۹.۴ درخواست شده است.</w:t>
      </w:r>
    </w:p>
    <w:p>
      <w:pPr>
        <w:bidi/>
        <w:spacing w:after="160" w:line="312"/>
        <w:jc w:val="left"/>
      </w:pPr>
      <w:r>
        <w:rPr>
          <w:rFonts w:ascii="Cambria" w:cs="B Nazanin" w:eastAsia="B Nazanin" w:hAnsi="Cambria"/>
          <w:color w:val="000000"/>
          <w:sz w:val="22"/>
          <w:szCs w:val="26"/>
          <w:rtl/>
        </w:rPr>
        <w:t xml:space="preserve">مرابحه با ۳۹.۳۷ درصد کل مانده و ۵۰.۷ درصد مانده‌ی دارای رکورد، محور اصلی پرتفوی است. مرابحه و قرض‌الحسنه روی هم ۶۱۹,۴۰۹ قرارداد، یعنی ۹۰.۵ درصد قراردادهای دارای رکورد، و حدود ۵۱ درصد مانده‌ی کل را تشکیل می‌دهند. در مقابل، فروش اقساطی با ۱۴,۲۲۱ قرارداد (۲.۱ درصد قراردادهای دارای رکورد) ۱۶.۰۹ درصد مانده را دارد و میانگین اندازه‌ی قرارداد در آن بسیار بزرگ‌تر است. عقود مشارکتی (مشارکت مدنی و مضاربه) روی هم ۳.۱۷ درصد پرتفوی را شامل می‌شوند و پرتفوی را عمدتاً عقود مبادله‌ای تشکیل می‌دهند.</w:t>
      </w:r>
    </w:p>
    <w:p>
      <w:pPr>
        <w:pStyle w:val="Heading2"/>
        <w:keepNext/>
        <w:bidi/>
        <w:spacing w:after="160" w:before="300"/>
        <w:jc w:val="left"/>
      </w:pPr>
      <w:bookmarkStart w:name="_Toc43" w:id="43"/>
      <w:r>
        <w:rPr>
          <w:rFonts w:ascii="B Titr" w:cs="B Titr" w:eastAsia="B Titr" w:hAnsi="B Titr"/>
          <w:b w:val="false"/>
          <w:bCs w:val="false"/>
          <w:color w:val="000000"/>
          <w:sz w:val="26"/>
          <w:szCs w:val="26"/>
          <w:rtl/>
        </w:rPr>
        <w:t xml:space="preserve">۵.۵ ترکیب بخش اقتصادی</w:t>
      </w:r>
      <w:bookmarkEnd w:id="43"/>
    </w:p>
    <w:p>
      <w:pPr>
        <w:pStyle w:val="Heading3"/>
        <w:keepNext/>
        <w:bidi/>
        <w:spacing w:after="160" w:before="300"/>
        <w:jc w:val="left"/>
      </w:pPr>
      <w:r>
        <w:rPr>
          <w:rFonts w:ascii="B Titr" w:cs="B Titr" w:eastAsia="B Titr" w:hAnsi="B Titr"/>
          <w:b w:val="false"/>
          <w:bCs w:val="false"/>
          <w:color w:val="000000"/>
          <w:sz w:val="26"/>
          <w:szCs w:val="26"/>
          <w:rtl/>
        </w:rPr>
        <w:t xml:space="preserve">۵.۵.۱ توزیع</w:t>
      </w:r>
    </w:p>
    <w:p>
      <w:pPr>
        <w:bidi/>
        <w:spacing w:after="160" w:line="312"/>
        <w:jc w:val="left"/>
      </w:pPr>
      <w:r>
        <w:rPr>
          <w:rFonts w:ascii="Cambria" w:cs="B Nazanin" w:eastAsia="B Nazanin" w:hAnsi="Cambria"/>
          <w:color w:val="000000"/>
          <w:sz w:val="22"/>
          <w:szCs w:val="26"/>
          <w:rtl/>
        </w:rPr>
        <w:t xml:space="preserve">بخش اقتصادی در جدول مانده‌ی تسهیلات ثبت شده است (جدول ۵-۷ و نمودار ۵-۳)؛ اعتبارات اسنادی در این جدول به‌عنوان یکی از بخش‌ها ثبت شده است (تعریف آن در بخش‌های ۶.۴.۴ و ۹.۵ پرسیده شده است). این تحلیل برخلاف تحلیل نوع عقد، ۱۰۰ درصد پرتفوی را پوشش می‌دهد و ارقام آن بر ارقام دیگر بخش‌های این فصل ترجیح دارد.</w:t>
      </w:r>
    </w:p>
    <w:p>
      <w:pPr>
        <w:keepNext/>
        <w:spacing w:after="60" w:before="160"/>
        <w:jc w:val="center"/>
      </w:pPr>
      <w:r>
        <w:drawing>
          <wp:inline distT="0" distB="0" distL="0" distR="0">
            <wp:extent cx="5715000" cy="22479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2479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۵-۳: توزیع مانده و مطالبات غیرجاری به تفکیک بخش اقتصادی، ۱۲/۱۴۰۴</w:t>
      </w:r>
    </w:p>
    <w:p>
      <w:pPr>
        <w:keepNext/>
        <w:bidi/>
        <w:spacing w:after="100" w:before="200"/>
        <w:jc w:val="left"/>
      </w:pPr>
      <w:r>
        <w:rPr>
          <w:rFonts w:ascii="B Nazanin" w:cs="B Nazanin" w:eastAsia="B Nazanin" w:hAnsi="B Nazanin"/>
          <w:b/>
          <w:bCs/>
          <w:color w:val="000000"/>
          <w:sz w:val="22"/>
          <w:szCs w:val="22"/>
          <w:rtl/>
        </w:rPr>
        <w:t xml:space="preserve">جدول ۵-۷: ترکیب پرتفوی به تفکیک بخش اقتصادی (مبنای الف، پوشش ۱۰۰٪)</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90"/>
        <w:gridCol w:w="1686"/>
        <w:gridCol w:w="2210"/>
        <w:gridCol w:w="1473"/>
        <w:gridCol w:w="1991"/>
      </w:tblGrid>
      <w:tr>
        <w:trPr>
          <w:cantSplit/>
          <w:tblHeader/>
        </w:trPr>
        <w:tc>
          <w:tcPr>
            <w:tcW w:type="dxa" w:w="19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 اقتصادی</w:t>
            </w:r>
          </w:p>
        </w:tc>
        <w:tc>
          <w:tcPr>
            <w:tcW w:type="dxa" w:w="168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22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4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مانده</w:t>
            </w:r>
          </w:p>
        </w:tc>
        <w:tc>
          <w:tcPr>
            <w:tcW w:type="dxa" w:w="199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مطالبات غیرجاری</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خدمات</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۶۹۳,۰۳۶</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۵۲.۳</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۴۰.۸۴٪</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۳.۳۱٪</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صنعتی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۱۹۲,۱۳۱</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۳۶.۱</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۲۸.۱۸٪</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۹.۰۹٪</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مسکن و ساختمان</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۱۳۰,۷۴۸</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۱۹.۱</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۱۴.۸۷٪</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۱.۳۰٪</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کشاورزی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۱۷۰,۸۵۶</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۷.۵</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۵.۸۵٪</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۹.۶۰٪</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بازرگانی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۱۱۳,۴۰۸</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۴.۸۵٪</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۹.۸۳٪</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اعتبارات اسنادی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۲۰,۷۳۳</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۴.۲۲٪</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۸۴.۰۱٪</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صنایع تبدیلی کشاورزی</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۱,۳۸۳</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۱.۱۹٪</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۵.۹۲٪</w:t>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متفرقه</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۰.۰۰٪</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1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68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۱,۳۲۲,۳۰۳</w:t>
            </w:r>
          </w:p>
        </w:tc>
        <w:tc>
          <w:tcPr>
            <w:tcW w:type="dxa" w:w="22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14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c>
          <w:tcPr>
            <w:tcW w:type="dxa" w:w="199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۸.۷۶٪</w:t>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۵.۵.۲ تحلیل</w:t>
      </w:r>
    </w:p>
    <w:p>
      <w:pPr>
        <w:bidi/>
        <w:spacing w:after="160" w:line="312"/>
        <w:jc w:val="left"/>
      </w:pPr>
      <w:r>
        <w:rPr>
          <w:rFonts w:ascii="Cambria" w:cs="B Nazanin" w:eastAsia="B Nazanin" w:hAnsi="Cambria"/>
          <w:color w:val="000000"/>
          <w:sz w:val="22"/>
          <w:szCs w:val="26"/>
          <w:rtl/>
        </w:rPr>
        <w:t xml:space="preserve">دو بخش خدمات و صنعتی ۶۹.۰۲ درصد پرتفوی را تشکیل می‌دهند و با افزودن مسکن و ساختمان این سهم به ۸۳.۸۹ درصد می‌رسد؛ پرتفوی در عمل بر سه بخش اصلی مبتنی است. بخش کشاورزی با توجه به مأموریت بانک توسعه تعاون ۵.۸۵ درصد مانده (و ۷.۰۴ درصد با صنایع تبدیلی) را دارد. این بخش ۱۷۰,۸۵۶ قرارداد، یعنی ۱۲.۹ درصد قراردادها را در بر می‌گیرد؛ تسهیلات کشاورزی از نظر تعداد پرشمار و از نظر مبلغ خرد است و بررسی هزینه‌ی پردازش هر قرارداد در برابر درآمد آن در فاز ۲ انجام می‌شود.</w:t>
      </w:r>
    </w:p>
    <w:p>
      <w:pPr>
        <w:bidi/>
        <w:spacing w:after="160" w:line="312"/>
        <w:jc w:val="left"/>
      </w:pPr>
      <w:r>
        <w:rPr>
          <w:rFonts w:ascii="Cambria" w:cs="B Nazanin" w:eastAsia="B Nazanin" w:hAnsi="Cambria"/>
          <w:color w:val="000000"/>
          <w:sz w:val="22"/>
          <w:szCs w:val="26"/>
          <w:rtl/>
        </w:rPr>
        <w:t xml:space="preserve">نسبت مطالبات غیرجاری در شش بخش از هفت بخش میان ۱.۳۰ تا ۹.۸۳ درصد است، اما بخش اعتبارات اسنادی با ۸۴.۰۱ درصد از این طیف جداست. اهمیت این بخش از سهم ۴.۲۲ درصدی آن در پرتفوی دیده نمی‌شود؛ جدول ۵-۸ سهم هر بخش از کل مطالبات غیرجاری را نشان می‌دهد.</w:t>
      </w:r>
    </w:p>
    <w:p>
      <w:pPr>
        <w:keepNext/>
        <w:bidi/>
        <w:spacing w:after="100" w:before="200"/>
        <w:jc w:val="left"/>
      </w:pPr>
      <w:r>
        <w:rPr>
          <w:rFonts w:ascii="B Nazanin" w:cs="B Nazanin" w:eastAsia="B Nazanin" w:hAnsi="B Nazanin"/>
          <w:b/>
          <w:bCs/>
          <w:color w:val="000000"/>
          <w:sz w:val="22"/>
          <w:szCs w:val="22"/>
          <w:rtl/>
        </w:rPr>
        <w:t xml:space="preserve">جدول ۵-۸: سهم هر بخش اقتصادی از مانده‌ی پرتفوی و از کل مطالبات غیرجاری</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3"/>
        <w:gridCol w:w="3062"/>
        <w:gridCol w:w="3285"/>
      </w:tblGrid>
      <w:tr>
        <w:trPr>
          <w:cantSplit/>
          <w:tblHeader/>
        </w:trPr>
        <w:tc>
          <w:tcPr>
            <w:tcW w:type="dxa" w:w="300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 اقتصادی</w:t>
            </w:r>
          </w:p>
        </w:tc>
        <w:tc>
          <w:tcPr>
            <w:tcW w:type="dxa" w:w="30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مانده‌ی پرتفوی</w:t>
            </w:r>
          </w:p>
        </w:tc>
        <w:tc>
          <w:tcPr>
            <w:tcW w:type="dxa" w:w="32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کل مطالبات غیرجاری</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اعتبارات اسنادی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۴.۲۲٪</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۴۰.۴۴٪</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صنعتی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۲۸.۱۸٪</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۲۹.۲۵٪</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خدمات</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۴۰.۸۴٪</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۱۵.۴۳٪</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کشاورزی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۵.۸۵٪</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۶.۴۲٪</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بازرگانی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۴.۸۵٪</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۵.۴۵٪</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مسکن و ساختمان</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۱۴.۸۷٪</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۲.۲۱٪</w:t>
            </w:r>
          </w:p>
        </w:tc>
      </w:tr>
      <w:tr>
        <w:trPr>
          <w:cantSplit/>
        </w:trPr>
        <w:tc>
          <w:tcPr>
            <w:tcW w:type="dxa" w:w="300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صنایع تبدیلی کشاورزی</w:t>
            </w:r>
          </w:p>
        </w:tc>
        <w:tc>
          <w:tcPr>
            <w:tcW w:type="dxa" w:w="3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۱.۱۹٪</w:t>
            </w:r>
          </w:p>
        </w:tc>
        <w:tc>
          <w:tcPr>
            <w:tcW w:type="dxa" w:w="32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۰.۸۱٪</w:t>
            </w:r>
          </w:p>
        </w:tc>
      </w:tr>
    </w:tbl>
    <w:p>
      <w:pPr>
        <w:spacing w:after="200"/>
      </w:pPr>
    </w:p>
    <w:p>
      <w:pPr>
        <w:bidi/>
        <w:spacing w:after="160" w:line="312"/>
        <w:jc w:val="left"/>
      </w:pPr>
      <w:r>
        <w:rPr>
          <w:rFonts w:ascii="Cambria" w:cs="B Nazanin" w:eastAsia="B Nazanin" w:hAnsi="Cambria"/>
          <w:color w:val="000000"/>
          <w:sz w:val="22"/>
          <w:szCs w:val="26"/>
          <w:rtl/>
        </w:rPr>
        <w:t xml:space="preserve">بخش خدمات با ۴۰.۸۴ درصد پرتفوی ۱۵.۴۳ درصد مطالبات غیرجاری را دارد و مسکن و ساختمان با ۱۴.۸۷ درصد پرتفوی تنها ۲.۲۱ درصد را؛ در مقابل اعتبارات اسنادی با ۴.۲۲ درصد پرتفوی ۴۰.۴۴ درصد کل مطالبات غیرجاری بانک را در بر می‌گیرد. تحلیل مستقل این بخش در فصل ۶ آمده است.</w:t>
      </w:r>
    </w:p>
    <w:p>
      <w:pPr>
        <w:pStyle w:val="Heading2"/>
        <w:keepNext/>
        <w:bidi/>
        <w:spacing w:after="160" w:before="300"/>
        <w:jc w:val="left"/>
      </w:pPr>
      <w:bookmarkStart w:name="_Toc44" w:id="44"/>
      <w:r>
        <w:rPr>
          <w:rFonts w:ascii="B Titr" w:cs="B Titr" w:eastAsia="B Titr" w:hAnsi="B Titr"/>
          <w:b w:val="false"/>
          <w:bCs w:val="false"/>
          <w:color w:val="000000"/>
          <w:sz w:val="26"/>
          <w:szCs w:val="26"/>
          <w:rtl/>
        </w:rPr>
        <w:t xml:space="preserve">۵.۶ توزیع اندازه‌ی تسهیلات</w:t>
      </w:r>
      <w:bookmarkEnd w:id="44"/>
    </w:p>
    <w:p>
      <w:pPr>
        <w:keepNext/>
        <w:spacing w:after="60" w:before="160"/>
        <w:jc w:val="center"/>
      </w:pPr>
      <w:r>
        <w:drawing>
          <wp:inline distT="0" distB="0" distL="0" distR="0">
            <wp:extent cx="5715000" cy="24669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۵-۴: توزیع تسهیلات بر اساس مبلغ اعطاشده</w:t>
      </w:r>
    </w:p>
    <w:p>
      <w:pPr>
        <w:keepNext/>
        <w:bidi/>
        <w:spacing w:after="100" w:before="200"/>
        <w:jc w:val="left"/>
      </w:pPr>
      <w:r>
        <w:rPr>
          <w:rFonts w:ascii="B Nazanin" w:cs="B Nazanin" w:eastAsia="B Nazanin" w:hAnsi="B Nazanin"/>
          <w:b/>
          <w:bCs/>
          <w:color w:val="000000"/>
          <w:sz w:val="22"/>
          <w:szCs w:val="22"/>
          <w:rtl/>
        </w:rPr>
        <w:t xml:space="preserve">جدول ۵-۹: توزیع قراردادها بر حسب مبلغ اعطاشده (مبنای اعطا، ۶۸۴,۳۲۸ قرارداد)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84"/>
        <w:gridCol w:w="1430"/>
        <w:gridCol w:w="1249"/>
        <w:gridCol w:w="2066"/>
        <w:gridCol w:w="1198"/>
        <w:gridCol w:w="1623"/>
      </w:tblGrid>
      <w:tr>
        <w:trPr>
          <w:cantSplit/>
          <w:tblHeader/>
        </w:trPr>
        <w:tc>
          <w:tcPr>
            <w:tcW w:type="dxa" w:w="178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بازه‌ی مبلغ اعطا</w:t>
            </w:r>
          </w:p>
        </w:tc>
        <w:tc>
          <w:tcPr>
            <w:tcW w:type="dxa" w:w="14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124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تعداد</w:t>
            </w:r>
          </w:p>
        </w:tc>
        <w:tc>
          <w:tcPr>
            <w:tcW w:type="dxa" w:w="20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مبلغ اعطاشده (هزار میلیارد تومان)</w:t>
            </w:r>
          </w:p>
        </w:tc>
        <w:tc>
          <w:tcPr>
            <w:tcW w:type="dxa" w:w="11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مبلغ</w:t>
            </w:r>
          </w:p>
        </w:tc>
        <w:tc>
          <w:tcPr>
            <w:tcW w:type="dxa" w:w="16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هر قرارداد</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۵۰ میلیون تومان</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۱۴۸,۴۷۴</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۲۱.۷٪</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۳.۸</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۱.۸۵٪</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۲۵.۶ میلیون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 تا ۲۰۰ میلیون</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۳۷۹,۶۵۸</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۵۵.۵٪</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۳۷.۰</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۱۸.۰۰٪</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۹۷.۵ میلیون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۲۰۰ میلیون تا ۱ میلیارد</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۱۳۰,۴۰۵</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۱۹.۱٪</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۴۰.۵</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۱۹.۷۱٪</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 میلیارد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 تا ۵ میلیارد</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۱۸,۵۹۵</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۴۰.۹</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۱۹.۹۰٪</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 میلیارد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۵ میلیارد</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۷,۱۹۶</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۸۳.۴</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۴۰.۵۵٪</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۱۱.۶ میلیارد تومان</w:t>
            </w:r>
          </w:p>
        </w:tc>
      </w:tr>
      <w:tr>
        <w:trPr>
          <w:cantSplit/>
        </w:trPr>
        <w:tc>
          <w:tcPr>
            <w:tcW w:type="dxa" w:w="17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4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۶۸۴,۳۲۸</w:t>
            </w:r>
          </w:p>
        </w:tc>
        <w:tc>
          <w:tcPr>
            <w:tcW w:type="dxa" w:w="124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20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۲۰۵.۷</w:t>
            </w:r>
          </w:p>
        </w:tc>
        <w:tc>
          <w:tcPr>
            <w:tcW w:type="dxa" w:w="11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 میلیارد تومان</w:t>
            </w:r>
          </w:p>
        </w:tc>
      </w:tr>
    </w:tbl>
    <w:p>
      <w:pPr>
        <w:spacing w:after="200"/>
      </w:pPr>
    </w:p>
    <w:p>
      <w:pPr>
        <w:bidi/>
        <w:spacing w:after="160" w:line="312"/>
        <w:jc w:val="left"/>
      </w:pPr>
      <w:r>
        <w:rPr>
          <w:rFonts w:ascii="Cambria" w:cs="B Nazanin" w:eastAsia="B Nazanin" w:hAnsi="Cambria"/>
          <w:color w:val="000000"/>
          <w:sz w:val="22"/>
          <w:szCs w:val="26"/>
          <w:rtl/>
        </w:rPr>
        <w:t xml:space="preserve">جدول ۵-۹ و نمودار ۵-۴ نشان می‌دهند توزیع اندازه‌ی تسهیلات نامتقارن است: ۷,۱۹۶ قرارداد (۱.۱ درصد) ۴۰.۵۵ درصد مبلغ اعطاشده را دارند و ۵۲۸,۱۳۲ قرارداد (۷۷.۲ درصد) روی هم ۱۹.۸۵ درصد را. میانگین اندازه‌ی قرارداد در بالاترین بازه (۱۱.۶ میلیارد تومان) حدود ۴۵۳ برابر پایین‌ترین بازه (۲۵.۶ میلیون تومان) است.</w:t>
      </w:r>
    </w:p>
    <w:p>
      <w:pPr>
        <w:bidi/>
        <w:spacing w:after="160" w:line="312"/>
        <w:jc w:val="left"/>
      </w:pPr>
      <w:r>
        <w:rPr>
          <w:rFonts w:ascii="Cambria" w:cs="B Nazanin" w:eastAsia="B Nazanin" w:hAnsi="Cambria"/>
          <w:color w:val="000000"/>
          <w:sz w:val="22"/>
          <w:szCs w:val="26"/>
          <w:rtl/>
        </w:rPr>
        <w:t xml:space="preserve">این نامتقارنی در سمت تسهیلات ملایم‌تر از سمت منابع است. بر پایه‌ی مانده‌ی ۱۲/۱۴۰۴ و گیرنده‌ی اصلی هر قرارداد، یک درصد برتر گیرندگان ۵۰.۵ درصد مانده‌ی تسهیلات را دارند، در حالی که یک درصد برتر سپرده‌گذاران ۷۸.۲ درصد مانده‌ی سپرده را (جدول ۴-۶). بانک منابع را از گروه کوچک‌تری تأمین می‌کند و آن را در پرتفوی گسترده‌تری با سررسیدهای بلندتر (بخش ۵.۷) به کار می‌گیرد. سنجش کمّی این ساختار به داده‌ی سررسید سپرده نیاز دارد که در بخش ۹.۴ درخواست شده است. ارقام این جدول بر مبنای مبلغ اعطا هستند؛ توزیع مانده‌ی مطالبات غیرجاری به تفکیک اندازه در بخش ۶.۵ آمده است.</w:t>
      </w:r>
    </w:p>
    <w:p>
      <w:pPr>
        <w:pStyle w:val="Heading2"/>
        <w:keepNext/>
        <w:bidi/>
        <w:spacing w:after="160" w:before="300"/>
        <w:jc w:val="left"/>
      </w:pPr>
      <w:bookmarkStart w:name="_Toc45" w:id="45"/>
      <w:r>
        <w:rPr>
          <w:rFonts w:ascii="B Titr" w:cs="B Titr" w:eastAsia="B Titr" w:hAnsi="B Titr"/>
          <w:b w:val="false"/>
          <w:bCs w:val="false"/>
          <w:color w:val="000000"/>
          <w:sz w:val="26"/>
          <w:szCs w:val="26"/>
          <w:rtl/>
        </w:rPr>
        <w:t xml:space="preserve">۵.۷ پروفایل سررسید</w:t>
      </w:r>
      <w:bookmarkEnd w:id="45"/>
    </w:p>
    <w:p>
      <w:pPr>
        <w:bidi/>
        <w:spacing w:after="160" w:line="312"/>
        <w:jc w:val="left"/>
      </w:pPr>
      <w:r>
        <w:rPr>
          <w:rFonts w:ascii="Cambria" w:cs="B Nazanin" w:eastAsia="B Nazanin" w:hAnsi="Cambria"/>
          <w:color w:val="000000"/>
          <w:sz w:val="22"/>
          <w:szCs w:val="26"/>
          <w:rtl/>
        </w:rPr>
        <w:t xml:space="preserve">تحلیل سررسید به تاریخ اعطا و مدت قرارداد نیاز دارد که برای بخشی از پرتفوی در دسترس است؛ جدول ۵-۱۰ دامنه‌ی پوشش آن را نشان می‌دهد.</w:t>
      </w:r>
    </w:p>
    <w:p>
      <w:pPr>
        <w:keepNext/>
        <w:bidi/>
        <w:spacing w:after="100" w:before="200"/>
        <w:jc w:val="left"/>
      </w:pPr>
      <w:r>
        <w:rPr>
          <w:rFonts w:ascii="B Nazanin" w:cs="B Nazanin" w:eastAsia="B Nazanin" w:hAnsi="B Nazanin"/>
          <w:b/>
          <w:bCs/>
          <w:color w:val="000000"/>
          <w:sz w:val="22"/>
          <w:szCs w:val="22"/>
          <w:rtl/>
        </w:rPr>
        <w:t xml:space="preserve">جدول ۵-۱۰: دامنه‌ی پوشش تحلیل سررسید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18"/>
        <w:gridCol w:w="3159"/>
        <w:gridCol w:w="2673"/>
      </w:tblGrid>
      <w:tr>
        <w:trPr>
          <w:cantSplit/>
          <w:tblHeader/>
        </w:trPr>
        <w:tc>
          <w:tcPr>
            <w:tcW w:type="dxa" w:w="351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سنجه</w:t>
            </w:r>
          </w:p>
        </w:tc>
        <w:tc>
          <w:tcPr>
            <w:tcW w:type="dxa" w:w="315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مقدار</w:t>
            </w:r>
          </w:p>
        </w:tc>
        <w:tc>
          <w:tcPr>
            <w:tcW w:type="dxa" w:w="267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w:t>
            </w:r>
          </w:p>
        </w:tc>
      </w:tr>
      <w:tr>
        <w:trPr>
          <w:cantSplit/>
        </w:trPr>
        <w:tc>
          <w:tcPr>
            <w:tcW w:type="dxa" w:w="3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قراردادهای دارای داده‌ی سررسید</w:t>
            </w:r>
          </w:p>
        </w:tc>
        <w:tc>
          <w:tcPr>
            <w:tcW w:type="dxa" w:w="31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۴۶۱,۴۸۷</w:t>
            </w:r>
          </w:p>
        </w:tc>
        <w:tc>
          <w:tcPr>
            <w:tcW w:type="dxa" w:w="2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۶۷.۴٪ از الف-۱</w:t>
            </w:r>
          </w:p>
        </w:tc>
      </w:tr>
      <w:tr>
        <w:trPr>
          <w:cantSplit/>
        </w:trPr>
        <w:tc>
          <w:tcPr>
            <w:tcW w:type="dxa" w:w="3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قابل تحلیل</w:t>
            </w:r>
          </w:p>
        </w:tc>
        <w:tc>
          <w:tcPr>
            <w:tcW w:type="dxa" w:w="31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۹۸.۵ هزار میلیارد تومان</w:t>
            </w:r>
          </w:p>
        </w:tc>
        <w:tc>
          <w:tcPr>
            <w:tcW w:type="dxa" w:w="2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۹۹.۰۲٪ از الف-۱</w:t>
            </w:r>
          </w:p>
        </w:tc>
      </w:tr>
      <w:tr>
        <w:trPr>
          <w:cantSplit/>
        </w:trPr>
        <w:tc>
          <w:tcPr>
            <w:tcW w:type="dxa" w:w="351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به کل پرتفوی</w:t>
            </w:r>
          </w:p>
        </w:tc>
        <w:tc>
          <w:tcPr>
            <w:tcW w:type="dxa" w:w="31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267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۷۶.۸۴٪ از الف</w:t>
            </w:r>
          </w:p>
        </w:tc>
      </w:tr>
    </w:tbl>
    <w:p>
      <w:pPr>
        <w:spacing w:after="200"/>
      </w:pPr>
    </w:p>
    <w:p>
      <w:pPr>
        <w:bidi/>
        <w:spacing w:after="160" w:line="312"/>
        <w:jc w:val="left"/>
      </w:pPr>
      <w:r>
        <w:rPr>
          <w:rFonts w:ascii="Cambria" w:cs="B Nazanin" w:eastAsia="B Nazanin" w:hAnsi="Cambria"/>
          <w:color w:val="000000"/>
          <w:sz w:val="22"/>
          <w:szCs w:val="26"/>
          <w:rtl/>
        </w:rPr>
        <w:t xml:space="preserve">پوشش تعدادی ۶۷.۴ درصد است، اما پوشش ارزشی ۹۹.۰۲ درصد پرتفوی دارای رکورد را شامل می‌شود؛ قراردادهای فاقد داده‌ی سررسید عمدتاً خرد هستند.</w:t>
      </w:r>
    </w:p>
    <w:p>
      <w:pPr>
        <w:keepNext/>
        <w:spacing w:after="60" w:before="160"/>
        <w:jc w:val="center"/>
      </w:pPr>
      <w:r>
        <w:drawing>
          <wp:inline distT="0" distB="0" distL="0" distR="0">
            <wp:extent cx="5715000" cy="24669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۵-۵: پروفایل سررسید پرتفوی تسهیلات بر حسب عمر باقی‌مانده</w:t>
      </w:r>
    </w:p>
    <w:p>
      <w:pPr>
        <w:keepNext/>
        <w:bidi/>
        <w:spacing w:after="100" w:before="200"/>
        <w:jc w:val="left"/>
      </w:pPr>
      <w:r>
        <w:rPr>
          <w:rFonts w:ascii="B Nazanin" w:cs="B Nazanin" w:eastAsia="B Nazanin" w:hAnsi="B Nazanin"/>
          <w:b/>
          <w:bCs/>
          <w:color w:val="000000"/>
          <w:sz w:val="22"/>
          <w:szCs w:val="22"/>
          <w:rtl/>
        </w:rPr>
        <w:t xml:space="preserve">جدول ۵-۱۱: توزیع مانده بر حسب عمر باقی‌مانده‌ی قرارداد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63"/>
        <w:gridCol w:w="2130"/>
        <w:gridCol w:w="2792"/>
        <w:gridCol w:w="1865"/>
      </w:tblGrid>
      <w:tr>
        <w:trPr>
          <w:cantSplit/>
          <w:tblHeader/>
        </w:trPr>
        <w:tc>
          <w:tcPr>
            <w:tcW w:type="dxa" w:w="25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بازه‌ی عمر باقی‌مانده</w:t>
            </w:r>
          </w:p>
        </w:tc>
        <w:tc>
          <w:tcPr>
            <w:tcW w:type="dxa" w:w="213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27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186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مانده</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سررسیدگذشته</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۳۷,۷۸۶</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۴.۰۴٪</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۹۰ روز</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۱۸,۰۲۹</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۴.۳۱٪</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۹۱ تا ۳۶۵ روز</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۹۸,۴۵۵</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۳۴.۰</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۳۴.۵۰٪</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 تا ۳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۱۸۷,۴۹۷</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۲۵.۷۶٪</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 تا ۵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۴۷,۸۲۵</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۱۴.۶۵٪</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 تا ۱۰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۵۱,۴۲۶</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۱۰.۲۳٪</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۱۰ سال</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۲۰,۴۶۹</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۶.۵۲٪</w:t>
            </w:r>
          </w:p>
        </w:tc>
      </w:tr>
      <w:tr>
        <w:trPr>
          <w:cantSplit/>
        </w:trPr>
        <w:tc>
          <w:tcPr>
            <w:tcW w:type="dxa" w:w="25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213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۴۶۱,۴۸۷</w:t>
            </w:r>
          </w:p>
        </w:tc>
        <w:tc>
          <w:tcPr>
            <w:tcW w:type="dxa" w:w="27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۹۸.۵</w:t>
            </w:r>
          </w:p>
        </w:tc>
        <w:tc>
          <w:tcPr>
            <w:tcW w:type="dxa" w:w="186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r>
    </w:tbl>
    <w:p>
      <w:pPr>
        <w:spacing w:after="200"/>
      </w:pPr>
    </w:p>
    <w:p>
      <w:pPr>
        <w:bidi/>
        <w:spacing w:after="160" w:line="312"/>
        <w:jc w:val="left"/>
      </w:pPr>
      <w:r>
        <w:rPr>
          <w:rFonts w:ascii="Cambria" w:cs="B Nazanin" w:eastAsia="B Nazanin" w:hAnsi="Cambria"/>
          <w:color w:val="000000"/>
          <w:sz w:val="22"/>
          <w:szCs w:val="26"/>
          <w:rtl/>
        </w:rPr>
        <w:t xml:space="preserve">۴۲.۸۵ درصد مانده ظرف یک سال سررسید می‌شود یا سررسید آن گذشته است، ۲۵.۷۶ درصد در بازه‌ی یک تا سه سال و ۳۱.۴۰ درصد بیش از سه سال سررسید دارد (جدول ۵-۱۱ و نمودار ۵-۵). بزرگ‌ترین بازه، ۹۱ تا ۳۶۵ روز با ۳۴.۵۰ درصد است و بازگشت نقدینگی قابل‌توجهی را در افق یک‌ساله نشان می‌دهد.</w:t>
      </w:r>
    </w:p>
    <w:p>
      <w:pPr>
        <w:bidi/>
        <w:spacing w:after="160" w:line="312"/>
        <w:jc w:val="left"/>
      </w:pPr>
      <w:r>
        <w:rPr>
          <w:rFonts w:ascii="Cambria" w:cs="B Nazanin" w:eastAsia="B Nazanin" w:hAnsi="Cambria"/>
          <w:color w:val="000000"/>
          <w:sz w:val="22"/>
          <w:szCs w:val="26"/>
          <w:rtl/>
        </w:rPr>
        <w:t xml:space="preserve">سهم سررسیدگذشته (۴.۰۴ درصد) با نسبت مطالبات غیرجاری برابر نیست؛ قراردادی که تاریخ سررسید اولیه‌ی آن گذشته ممکن است با تمدید یا استمهال در طبقه‌ی جاری قرار داشته باشد. تطابق سررسید منابع و مصارف با داده‌ی سررسید سپرده بررسی می‌شود (بخش ۹.۴).</w:t>
      </w:r>
    </w:p>
    <w:p>
      <w:pPr>
        <w:pStyle w:val="Heading2"/>
        <w:keepNext/>
        <w:bidi/>
        <w:spacing w:after="160" w:before="300"/>
        <w:jc w:val="left"/>
      </w:pPr>
      <w:bookmarkStart w:name="_Toc46" w:id="46"/>
      <w:r>
        <w:rPr>
          <w:rFonts w:ascii="B Titr" w:cs="B Titr" w:eastAsia="B Titr" w:hAnsi="B Titr"/>
          <w:b w:val="false"/>
          <w:bCs w:val="false"/>
          <w:color w:val="000000"/>
          <w:sz w:val="26"/>
          <w:szCs w:val="26"/>
          <w:rtl/>
        </w:rPr>
        <w:t xml:space="preserve">۵.۸ نرخ سود مؤثر قراردادی</w:t>
      </w:r>
      <w:bookmarkEnd w:id="46"/>
    </w:p>
    <w:p>
      <w:pPr>
        <w:bidi/>
        <w:spacing w:after="160" w:line="312"/>
        <w:jc w:val="left"/>
      </w:pPr>
      <w:r>
        <w:rPr>
          <w:rFonts w:ascii="Cambria" w:cs="B Nazanin" w:eastAsia="B Nazanin" w:hAnsi="Cambria"/>
          <w:color w:val="000000"/>
          <w:sz w:val="22"/>
          <w:szCs w:val="26"/>
          <w:rtl/>
        </w:rPr>
        <w:t xml:space="preserve">نرخ‌های این بخش نرخ قراردادی‌اند، یعنی بازدهی که در متن قرارداد درج شده است؛ بازده محقق‌شده به نکول، تمدید و بخشودگی نیز بستگی دارد (فصل ۸). نرخ هر قرارداد مجموع نرخ سود مصوب و نرخ ترجیحی آن است و میانگین هر گروه با وزن مانده‌ی ۱۲/۱۴۰۴ محاسبه شده است. وزن‌دهی با مانده، نرخ را برای قراردادهای در جریان نشان می‌دهد؛ وزن‌دهی با مبلغ اعطای تجمعی (که قراردادهای تسویه‌شده را هم دربرمی‌گیرد) میانگین کل را ۱۸.۰۸ درصد می‌دهد.</w:t>
      </w:r>
    </w:p>
    <w:p>
      <w:pPr>
        <w:keepNext/>
        <w:spacing w:after="60" w:before="160"/>
        <w:jc w:val="center"/>
      </w:pPr>
      <w:r>
        <w:drawing>
          <wp:inline distT="0" distB="0" distL="0" distR="0">
            <wp:extent cx="5715000" cy="24669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۵-۶: نرخ سود مؤثر قراردادی تسهیلات به تفکیک نوع عقد (وزن مانده‌ی ۱۲/۱۴۰۴)</w:t>
      </w:r>
    </w:p>
    <w:p>
      <w:pPr>
        <w:keepNext/>
        <w:bidi/>
        <w:spacing w:after="100" w:before="200"/>
        <w:jc w:val="left"/>
      </w:pPr>
      <w:r>
        <w:rPr>
          <w:rFonts w:ascii="B Nazanin" w:cs="B Nazanin" w:eastAsia="B Nazanin" w:hAnsi="B Nazanin"/>
          <w:b/>
          <w:bCs/>
          <w:color w:val="000000"/>
          <w:sz w:val="22"/>
          <w:szCs w:val="22"/>
          <w:rtl/>
        </w:rPr>
        <w:t xml:space="preserve">جدول ۵-۱۲: نرخ سود مؤثر قراردادی به تفکیک نوع عقد (قراردادهای دارای رکورد، وزن مانده‌ی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62"/>
        <w:gridCol w:w="2561"/>
        <w:gridCol w:w="2561"/>
        <w:gridCol w:w="2166"/>
      </w:tblGrid>
      <w:tr>
        <w:trPr>
          <w:cantSplit/>
          <w:tblHeader/>
        </w:trPr>
        <w:tc>
          <w:tcPr>
            <w:tcW w:type="dxa" w:w="20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نوع عقد</w:t>
            </w:r>
          </w:p>
        </w:tc>
        <w:tc>
          <w:tcPr>
            <w:tcW w:type="dxa" w:w="25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 (هزار میلیارد تومان)</w:t>
            </w:r>
          </w:p>
        </w:tc>
        <w:tc>
          <w:tcPr>
            <w:tcW w:type="dxa" w:w="25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مانده‌ی دارای رکورد</w:t>
            </w:r>
          </w:p>
        </w:tc>
        <w:tc>
          <w:tcPr>
            <w:tcW w:type="dxa" w:w="21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نرخ مؤثر قراردادی</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مضاربه</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۲۲.۷۷٪</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مشارکت مدنی</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۲۲.۰۲٪</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مرابحه</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۵۰.۵</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۵۰.۷٪</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۲۱.۲۷٪</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سایر</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۸.۹٪</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۱۶.۹۱٪</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جعاله</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۱۶.۵۱٪</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فروش اقساطی</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۲۰.۶</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۲۰.۷٪</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۱۵.۳۷٪</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قرض‌الحسنه</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۱۴.۹</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۱۴.۹٪</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۳.۹۹٪</w:t>
            </w:r>
          </w:p>
        </w:tc>
      </w:tr>
      <w:tr>
        <w:trPr>
          <w:cantSplit/>
        </w:trPr>
        <w:tc>
          <w:tcPr>
            <w:tcW w:type="dxa" w:w="20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وزنی کل</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۹۹.۵</w:t>
            </w:r>
          </w:p>
        </w:tc>
        <w:tc>
          <w:tcPr>
            <w:tcW w:type="dxa" w:w="25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21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۱۷.۰۸٪</w:t>
            </w:r>
          </w:p>
        </w:tc>
      </w:tr>
    </w:tbl>
    <w:p>
      <w:pPr>
        <w:spacing w:after="200"/>
      </w:pPr>
    </w:p>
    <w:p>
      <w:pPr>
        <w:bidi/>
        <w:spacing w:after="160" w:line="312"/>
        <w:jc w:val="left"/>
      </w:pPr>
      <w:r>
        <w:rPr>
          <w:rFonts w:ascii="Cambria" w:cs="B Nazanin" w:eastAsia="B Nazanin" w:hAnsi="Cambria"/>
          <w:color w:val="000000"/>
          <w:sz w:val="22"/>
          <w:szCs w:val="26"/>
          <w:rtl/>
        </w:rPr>
        <w:t xml:space="preserve">تسهیلات قرض‌الحسنه با ۱۴.۹ درصد سهم از مانده و نرخ ۳.۹۹ درصد، میانگین وزنی کل را کاهش می‌دهد. بدون این عقد، نرخ میانگین ۱۹.۳۸ درصد، یعنی ۲.۳۰ واحد درصد بیشتر است. قرض‌الحسنه بخشی از مأموریت اجتماعی بانک است؛ برای ارزیابی عملکرد تجاری، نرخ ۱۹.۳۸ درصد (پرتفوی تجاری) و برای اثر هم‌زمان عملکرد و مأموریت اجتماعی، نرخ ۱۷.۰۸ درصد (کل پرتفوی) به کار می‌رود. هر دو رقم در فصل ۸ در محاسبه‌ی حاشیه استفاده شده‌اند.</w:t>
      </w:r>
    </w:p>
    <w:p>
      <w:pPr>
        <w:bidi/>
        <w:spacing w:after="160" w:line="312"/>
        <w:jc w:val="left"/>
      </w:pPr>
      <w:r>
        <w:rPr>
          <w:rFonts w:ascii="Cambria" w:cs="B Nazanin" w:eastAsia="B Nazanin" w:hAnsi="Cambria"/>
          <w:color w:val="000000"/>
          <w:sz w:val="22"/>
          <w:szCs w:val="26"/>
          <w:rtl/>
        </w:rPr>
        <w:t xml:space="preserve">به‌جز قرض‌الحسنه، نرخ سایر عقود در بازه‌ی ۱۵.۳۷ تا ۲۲.۷۷ درصد قرار دارد. مضاربه، مشارکت مدنی و مرابحه بیش از ۱۰ واحد درصد بالاتر از هزینه‌ی تأمین مالی ۱۴۰۴ (۱۰.۴۶ درصد) نرخ دارند. ارقام این بخش بر پایه‌ی قراردادهای دارای رکورد (مبنای الف-۱) محاسبه شده‌اند و برای ۲۲.۴ درصد پرتفوی که رکورد قرارداد ندارد، نرخ قراردادی در دسترس نیست.</w:t>
      </w:r>
    </w:p>
    <w:p>
      <w:pPr>
        <w:pStyle w:val="Heading2"/>
        <w:keepNext/>
        <w:bidi/>
        <w:spacing w:after="160" w:before="300"/>
        <w:jc w:val="left"/>
      </w:pPr>
      <w:bookmarkStart w:name="_Toc47" w:id="47"/>
      <w:r>
        <w:rPr>
          <w:rFonts w:ascii="B Titr" w:cs="B Titr" w:eastAsia="B Titr" w:hAnsi="B Titr"/>
          <w:b w:val="false"/>
          <w:bCs w:val="false"/>
          <w:color w:val="000000"/>
          <w:sz w:val="26"/>
          <w:szCs w:val="26"/>
          <w:rtl/>
        </w:rPr>
        <w:t xml:space="preserve">۵.۹ پوشش وثیقه</w:t>
      </w:r>
      <w:bookmarkEnd w:id="47"/>
    </w:p>
    <w:p>
      <w:pPr>
        <w:bidi/>
        <w:spacing w:after="160" w:line="312"/>
        <w:jc w:val="left"/>
      </w:pPr>
      <w:r>
        <w:rPr>
          <w:rFonts w:ascii="Cambria" w:cs="B Nazanin" w:eastAsia="B Nazanin" w:hAnsi="Cambria"/>
          <w:color w:val="000000"/>
          <w:sz w:val="22"/>
          <w:szCs w:val="26"/>
          <w:rtl/>
        </w:rPr>
        <w:t xml:space="preserve">نسبت پوشش وثیقه از تقسیم ارزش وثایق اخذشده بر مبلغ اعطاشده به دست می‌آید (جدول‌های ۵-۱۳ و ۵-۱۴ و نمودارهای ۵-۷ و ۵-۸). مقادیر بالاتر از ۱۰۰ درصد به معنای اخذ وثیقه‌ای بیش از اصل تسهیلات است و در رویه‌ی بانکی متعارف است.</w:t>
      </w:r>
    </w:p>
    <w:p>
      <w:pPr>
        <w:pStyle w:val="Heading3"/>
        <w:keepNext/>
        <w:bidi/>
        <w:spacing w:after="160" w:before="300"/>
        <w:jc w:val="left"/>
      </w:pPr>
      <w:r>
        <w:rPr>
          <w:rFonts w:ascii="B Titr" w:cs="B Titr" w:eastAsia="B Titr" w:hAnsi="B Titr"/>
          <w:b w:val="false"/>
          <w:bCs w:val="false"/>
          <w:color w:val="000000"/>
          <w:sz w:val="26"/>
          <w:szCs w:val="26"/>
          <w:rtl/>
        </w:rPr>
        <w:t xml:space="preserve">۵.۹.۱ به تفکیک نوع عقد</w:t>
      </w:r>
    </w:p>
    <w:p>
      <w:pPr>
        <w:keepNext/>
        <w:spacing w:after="60" w:before="160"/>
        <w:jc w:val="center"/>
      </w:pPr>
      <w:r>
        <w:drawing>
          <wp:inline distT="0" distB="0" distL="0" distR="0">
            <wp:extent cx="5715000" cy="24669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۵-۷: نسبت پوشش وثیقه به تفکیک نوع عقد</w:t>
      </w:r>
    </w:p>
    <w:p>
      <w:pPr>
        <w:keepNext/>
        <w:bidi/>
        <w:spacing w:after="100" w:before="200"/>
        <w:jc w:val="left"/>
      </w:pPr>
      <w:r>
        <w:rPr>
          <w:rFonts w:ascii="B Nazanin" w:cs="B Nazanin" w:eastAsia="B Nazanin" w:hAnsi="B Nazanin"/>
          <w:b/>
          <w:bCs/>
          <w:color w:val="000000"/>
          <w:sz w:val="22"/>
          <w:szCs w:val="22"/>
          <w:rtl/>
        </w:rPr>
        <w:t xml:space="preserve">جدول ۵-۱۳: نسبت پوشش وثیقه به تفکیک نوع عقد (مبنای اعطا)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63"/>
        <w:gridCol w:w="2824"/>
        <w:gridCol w:w="2753"/>
        <w:gridCol w:w="1710"/>
      </w:tblGrid>
      <w:tr>
        <w:trPr>
          <w:cantSplit/>
          <w:tblHeader/>
        </w:trPr>
        <w:tc>
          <w:tcPr>
            <w:tcW w:type="dxa" w:w="20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نوع عقد</w:t>
            </w:r>
          </w:p>
        </w:tc>
        <w:tc>
          <w:tcPr>
            <w:tcW w:type="dxa" w:w="282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مبلغ اعطاشده (هزار میلیارد تومان)</w:t>
            </w:r>
          </w:p>
        </w:tc>
        <w:tc>
          <w:tcPr>
            <w:tcW w:type="dxa" w:w="27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ارزش وثیقه (هزار میلیارد تومان)</w:t>
            </w:r>
          </w:p>
        </w:tc>
        <w:tc>
          <w:tcPr>
            <w:tcW w:type="dxa" w:w="171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پوشش</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جعاله</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۱۶۱.۱۹٪</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مرابحه</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۱۲۶.۷</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۱۵۲.۲</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۱۲۰.۱۴٪</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قرض‌الحسنه</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۲۱.۴</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۲۵.۴</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۱۱۸.۴۱٪</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سایر</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۲۷.۶</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۳۲.۴</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۱۱۷.۴۷٪</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فروش اقساطی</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۱۲.۹</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۱۳.۵</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۱۰۴.۹۰٪</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مضاربه</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۱۰۲.۹۵٪</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مشارکت مدنی</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۱۵.۴</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۱۲.۴</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۸۰.۸۷٪</w:t>
            </w:r>
          </w:p>
        </w:tc>
      </w:tr>
      <w:tr>
        <w:trPr>
          <w:cantSplit/>
        </w:trPr>
        <w:tc>
          <w:tcPr>
            <w:tcW w:type="dxa" w:w="20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وزنی کل</w:t>
            </w:r>
          </w:p>
        </w:tc>
        <w:tc>
          <w:tcPr>
            <w:tcW w:type="dxa" w:w="282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۲۰۵.۷</w:t>
            </w:r>
          </w:p>
        </w:tc>
        <w:tc>
          <w:tcPr>
            <w:tcW w:type="dxa" w:w="27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۲۳۸.۱</w:t>
            </w:r>
          </w:p>
        </w:tc>
        <w:tc>
          <w:tcPr>
            <w:tcW w:type="dxa" w:w="171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۱۱۵.۷۵٪</w:t>
            </w:r>
          </w:p>
        </w:tc>
      </w:tr>
    </w:tbl>
    <w:p>
      <w:pPr>
        <w:spacing w:after="200"/>
      </w:pPr>
    </w:p>
    <w:p>
      <w:pPr>
        <w:bidi/>
        <w:spacing w:after="160" w:line="312"/>
        <w:jc w:val="left"/>
      </w:pPr>
      <w:r>
        <w:rPr>
          <w:rFonts w:ascii="Cambria" w:cs="B Nazanin" w:eastAsia="B Nazanin" w:hAnsi="Cambria"/>
          <w:color w:val="000000"/>
          <w:sz w:val="22"/>
          <w:szCs w:val="26"/>
          <w:rtl/>
        </w:rPr>
        <w:t xml:space="preserve">ارقام جدول گرد شده‌اند؛ تفاضل‌ها، جمع‌ها و نسبت‌ها از ارقام دقیق پیش از گردکردن محاسبه شده‌اند.</w:t>
      </w:r>
    </w:p>
    <w:p>
      <w:pPr>
        <w:pStyle w:val="Heading3"/>
        <w:keepNext/>
        <w:bidi/>
        <w:spacing w:after="160" w:before="300"/>
        <w:jc w:val="left"/>
      </w:pPr>
      <w:r>
        <w:rPr>
          <w:rFonts w:ascii="B Titr" w:cs="B Titr" w:eastAsia="B Titr" w:hAnsi="B Titr"/>
          <w:b w:val="false"/>
          <w:bCs w:val="false"/>
          <w:color w:val="000000"/>
          <w:sz w:val="26"/>
          <w:szCs w:val="26"/>
          <w:rtl/>
        </w:rPr>
        <w:t xml:space="preserve">۵.۹.۲ به تفکیک بخش اقتصادی</w:t>
      </w:r>
    </w:p>
    <w:p>
      <w:pPr>
        <w:keepNext/>
        <w:spacing w:after="60" w:before="160"/>
        <w:jc w:val="center"/>
      </w:pPr>
      <w:r>
        <w:drawing>
          <wp:inline distT="0" distB="0" distL="0" distR="0">
            <wp:extent cx="5715000" cy="24669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۵-۸: نسبت پوشش وثیقه به تفکیک بخش اقتصادی</w:t>
      </w:r>
    </w:p>
    <w:p>
      <w:pPr>
        <w:keepNext/>
        <w:bidi/>
        <w:spacing w:after="100" w:before="200"/>
        <w:jc w:val="left"/>
      </w:pPr>
      <w:r>
        <w:rPr>
          <w:rFonts w:ascii="B Nazanin" w:cs="B Nazanin" w:eastAsia="B Nazanin" w:hAnsi="B Nazanin"/>
          <w:b/>
          <w:bCs/>
          <w:color w:val="000000"/>
          <w:sz w:val="22"/>
          <w:szCs w:val="22"/>
          <w:rtl/>
        </w:rPr>
        <w:t xml:space="preserve">جدول ۵-۱۴: نسبت پوشش وثیقه به تفکیک بخش اقتصادی (مبنای اعطا)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53"/>
        <w:gridCol w:w="3861"/>
        <w:gridCol w:w="2336"/>
      </w:tblGrid>
      <w:tr>
        <w:trPr>
          <w:cantSplit/>
          <w:tblHeader/>
        </w:trPr>
        <w:tc>
          <w:tcPr>
            <w:tcW w:type="dxa" w:w="31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 اقتصادی</w:t>
            </w:r>
          </w:p>
        </w:tc>
        <w:tc>
          <w:tcPr>
            <w:tcW w:type="dxa" w:w="38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مبلغ اعطاشده (هزار میلیارد تومان)</w:t>
            </w:r>
          </w:p>
        </w:tc>
        <w:tc>
          <w:tcPr>
            <w:tcW w:type="dxa" w:w="233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پوشش</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مسکن و ساختمان</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۱۷۶.۹۹٪</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خدمات</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۷۱.۶</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۱۲۹.۷۱٪</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بازرگانی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۱۵.۰</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۱۱۶.۶۲٪</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کشاورزی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۱۹.۵</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۱۰۹.۹۴٪</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صنعتی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۸۵.۱</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۱۰۲.۰۴٪</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صنایع تبدیلی کشاورزی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۸۸.۷۶٪</w:t>
            </w:r>
          </w:p>
        </w:tc>
      </w:tr>
      <w:tr>
        <w:trPr>
          <w:cantSplit/>
        </w:trPr>
        <w:tc>
          <w:tcPr>
            <w:tcW w:type="dxa" w:w="31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اعتبارات اسنادی</w:t>
            </w:r>
          </w:p>
        </w:tc>
        <w:tc>
          <w:tcPr>
            <w:tcW w:type="dxa" w:w="38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23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۷۹.۳۰٪</w:t>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۵.۹.۳ تحلیل</w:t>
      </w:r>
    </w:p>
    <w:p>
      <w:pPr>
        <w:bidi/>
        <w:spacing w:after="160" w:line="312"/>
        <w:jc w:val="left"/>
      </w:pPr>
      <w:r>
        <w:rPr>
          <w:rFonts w:ascii="Cambria" w:cs="B Nazanin" w:eastAsia="B Nazanin" w:hAnsi="Cambria"/>
          <w:color w:val="000000"/>
          <w:sz w:val="22"/>
          <w:szCs w:val="26"/>
          <w:rtl/>
        </w:rPr>
        <w:t xml:space="preserve">میانگین وزنی پوشش وثیقه ۱۱۵.۷۵ درصد است. شش عقد از هفت عقد و پنج بخش از هفت بخش اقتصادی پوشش ثبت‌شده‌ی بالاتر از ۱۰۰ درصد دارند. این نسبت اسمی است و کیفیت، اولویت، نقدشوندگی و ارزش روز وثیقه را نشان نمی‌دهد؛ این موارد با داده‌ی ارزش‌گذاری و بازیافت سنجیده می‌شوند.</w:t>
      </w:r>
    </w:p>
    <w:p>
      <w:pPr>
        <w:bidi/>
        <w:spacing w:after="160" w:line="312"/>
        <w:jc w:val="left"/>
      </w:pPr>
      <w:r>
        <w:rPr>
          <w:rFonts w:ascii="Cambria" w:cs="B Nazanin" w:eastAsia="B Nazanin" w:hAnsi="Cambria"/>
          <w:color w:val="000000"/>
          <w:sz w:val="22"/>
          <w:szCs w:val="26"/>
          <w:rtl/>
        </w:rPr>
        <w:t xml:space="preserve">گروه‌های با پوشش کمتر از ۱۰۰ درصد سه گروه‌اند. مشارکت مدنی (۸۰.۸۷ درصد، ۱۵.۴ هزار میلیارد تومان اعطا) هم‌زمان نرخ قراردادی بالا (بخش ۵.۸) و کمترین پوشش وثیقه را دارد و بازیافت در صورت نکول در آن دشوارتر است. صنایع تبدیلی کشاورزی (۸۸.۷۶ درصد) مبلغ کوچکی (۴.۳ هزار میلیارد تومان) و نسبت مطالبات غیرجاری ۵.۹۲ درصد دارد. اعتبارات اسنادی (۷۹.۳۰ درصد) کمترین پوشش را در میان بخش‌ها دارد. این رقم بر پایه‌ی ۲۱۱ قرارداد از ۲۰,۷۳۳ قرارداد بخش (حدود یک درصد) محاسبه شده است و ارزیابی نمونه‌ای محسوب می‌شود؛ جهت آن با شاخص‌های ریسک بخش در فصل ۶ هم‌سو است. در فروش اقساطی مانده (۲۰.۶) به بهای فروش (۱۹.۵) نزدیک است و از مبلغ اعطاشده (۱۲.۹) بیشتر است؛ مبلغ اعطا در این عقد با بهای فروش هم‌مبنا نیست. مانده‌ی بخش‌ها در جدول ۵-۷ ۱۰۰ درصد پرتفوی را دربرمی‌گیرد، اما مبلغ اعطا فقط قراردادهای دارای رکورد را؛ این دو را نمی‌توان با هم مقایسه کرد.</w:t>
      </w:r>
    </w:p>
    <w:p>
      <w:pPr>
        <w:pStyle w:val="Heading2"/>
        <w:keepNext/>
        <w:bidi/>
        <w:spacing w:after="160" w:before="300"/>
        <w:jc w:val="left"/>
      </w:pPr>
      <w:bookmarkStart w:name="_Toc48" w:id="48"/>
      <w:r>
        <w:rPr>
          <w:rFonts w:ascii="B Titr" w:cs="B Titr" w:eastAsia="B Titr" w:hAnsi="B Titr"/>
          <w:b w:val="false"/>
          <w:bCs w:val="false"/>
          <w:color w:val="000000"/>
          <w:sz w:val="26"/>
          <w:szCs w:val="26"/>
          <w:rtl/>
        </w:rPr>
        <w:t xml:space="preserve">۵.۱۰ جمع‌بندی فصل</w:t>
      </w:r>
      <w:bookmarkEnd w:id="48"/>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مانده‌ی تسهیلات نمونه در ۶۰ ماه ۶.۱۰ برابر و مانده‌ی رسمی بانک ۵.۲۹ برابر شده و به ۱۴۸.۲ هزار میلیارد تومان (۱۲۸.۲ در نمونه) رسیده است. رشد واقعی مانده‌ی نمونه ۱.۴۶ برابر است.</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color w:val="000000"/>
          <w:sz w:val="22"/>
          <w:szCs w:val="26"/>
          <w:rtl/>
        </w:rPr>
        <w:t xml:space="preserve">رشد تسهیلات و منابع در آمار رسمی نزدیک به هم است و در بازه‌ی ۳۳.۸ تا ۴۷.۲ درصد حرکت می‌کند. نسبت تسهیلات به منابع در آمار رسمی میان ۱۰۵.۱ و ۱۲۸.۳ درصد (میانگین ۱۱۵.۸ و ۱۱۱.۳ در ۱۲/۱۴۰۴) قرار دارد و روند صعودی پایداری ندارد. رقم ۱۵۱.۲ درصد نمونه حاصل تفاوت پوشش منابع و تسهیلات در نمونه است.</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color w:val="000000"/>
          <w:sz w:val="22"/>
          <w:szCs w:val="26"/>
          <w:rtl/>
        </w:rPr>
        <w:t xml:space="preserve">ماه اسفند اوج فصلی رشد است: میانگین رشد یک‌ماهه‌ی تسهیلات در اسفند ۶.۲ درصد و در دیگر ماه‌ها حدود ۲.۵ درصد است.</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color w:val="000000"/>
          <w:sz w:val="22"/>
          <w:szCs w:val="26"/>
          <w:rtl/>
        </w:rPr>
        <w:t xml:space="preserve">مرابحه با ۳۹.۳۷ درصد کل مانده (۵۰.۷ درصد مانده‌ی دارای رکورد) محور پرتفوی است و عقود مشارکتی حدود ۳.۲ درصد را شامل می‌شوند. سه بخش خدمات، صنعتی و مسکن و ساختمان ۸۳.۸۹ درصد پرتفوی را تشکیل می‌دهند.</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color w:val="000000"/>
          <w:sz w:val="22"/>
          <w:szCs w:val="26"/>
          <w:rtl/>
        </w:rPr>
        <w:t xml:space="preserve">توزیع اندازه نامتقارن است: ۱.۱ درصد قراردادها ۴۰.۵۵ درصد مبلغ اعطا را دارند. ۴۲.۸۵ درصد مانده ظرف یک سال و ۳۱.۴۰ درصد بیش از سه سال سررسید دارد.</w:t>
      </w:r>
    </w:p>
    <w:p>
      <w:pPr>
        <w:bidi/>
        <w:spacing w:after="120" w:line="300"/>
        <w:ind w:start="300"/>
        <w:jc w:val="left"/>
      </w:pPr>
      <w:r>
        <w:rPr>
          <w:rFonts w:ascii="Cambria" w:cs="B Nazanin" w:eastAsia="B Nazanin" w:hAnsi="Cambria"/>
          <w:color w:val="000000"/>
          <w:sz w:val="22"/>
          <w:szCs w:val="26"/>
          <w:rtl/>
        </w:rPr>
        <w:t xml:space="preserve">۶. </w:t>
      </w:r>
      <w:r>
        <w:rPr>
          <w:rFonts w:ascii="Cambria" w:cs="B Nazanin" w:eastAsia="B Nazanin" w:hAnsi="Cambria"/>
          <w:color w:val="000000"/>
          <w:sz w:val="22"/>
          <w:szCs w:val="26"/>
          <w:rtl/>
        </w:rPr>
        <w:t xml:space="preserve">بازده قراردادی کل پرتفوی ۱۷.۰۸ درصد و پرتفوی تجاری (بدون قرض‌الحسنه) ۱۹.۳۸ درصد است. پوشش وثیقه ثبت‌شده ۱۱۵.۷۵ درصد است و مشارکت مدنی، صنایع تبدیلی کشاورزی و اعتبارات اسنادی پوشش کمتر از ۱۰۰ درصد دارند.</w:t>
      </w:r>
    </w:p>
    <w:p>
      <w:pPr>
        <w:bidi/>
        <w:spacing w:after="120" w:line="300"/>
        <w:ind w:start="300"/>
        <w:jc w:val="left"/>
      </w:pPr>
      <w:r>
        <w:rPr>
          <w:rFonts w:ascii="Cambria" w:cs="B Nazanin" w:eastAsia="B Nazanin" w:hAnsi="Cambria"/>
          <w:color w:val="000000"/>
          <w:sz w:val="22"/>
          <w:szCs w:val="26"/>
          <w:rtl/>
        </w:rPr>
        <w:t xml:space="preserve">۷. </w:t>
      </w:r>
      <w:r>
        <w:rPr>
          <w:rFonts w:ascii="Cambria" w:cs="B Nazanin" w:eastAsia="B Nazanin" w:hAnsi="Cambria"/>
          <w:color w:val="000000"/>
          <w:sz w:val="22"/>
          <w:szCs w:val="26"/>
          <w:rtl/>
        </w:rPr>
        <w:t xml:space="preserve">اعتبارات اسنادی با ۴.۲۲ درصد پرتفوی ۴۰.۴۴ درصد کل مطالبات غیرجاری را دارد و در فصل ۶ بررسی می‌شود.</w:t>
      </w:r>
    </w:p>
    <w:p>
      <w:pPr>
        <w:bidi/>
        <w:spacing w:after="120" w:line="300"/>
        <w:ind w:start="300"/>
        <w:jc w:val="left"/>
      </w:pPr>
      <w:r>
        <w:rPr>
          <w:rFonts w:ascii="Cambria" w:cs="B Nazanin" w:eastAsia="B Nazanin" w:hAnsi="Cambria"/>
          <w:color w:val="000000"/>
          <w:sz w:val="22"/>
          <w:szCs w:val="26"/>
          <w:rtl/>
        </w:rPr>
        <w:t xml:space="preserve">۸. </w:t>
      </w:r>
      <w:r>
        <w:rPr>
          <w:rFonts w:ascii="Cambria" w:cs="B Nazanin" w:eastAsia="B Nazanin" w:hAnsi="Cambria"/>
          <w:color w:val="000000"/>
          <w:sz w:val="22"/>
          <w:szCs w:val="26"/>
          <w:rtl/>
        </w:rPr>
        <w:t xml:space="preserve">تحلیل‌های نوع عقد، سررسید، نرخ و وثیقه بر ۷۷.۶ درصد پرتفوی متکی‌اند؛ تحلیل بخش اقتصادی ۱۰۰ درصد پرتفوی را پوشش می‌دهد.</w:t>
      </w:r>
    </w:p>
    <w:p>
      <w:pPr>
        <w:pBdr>
          <w:bottom w:val="single" w:color="BBBBBB" w:sz="6"/>
        </w:pBdr>
        <w:spacing w:after="100" w:before="100"/>
      </w:pPr>
    </w:p>
    <w:p>
      <w:pPr>
        <w:pStyle w:val="Heading1"/>
        <w:keepNext/>
        <w:pageBreakBefore/>
        <w:bidi/>
        <w:spacing w:after="160" w:before="0"/>
        <w:jc w:val="left"/>
      </w:pPr>
      <w:bookmarkStart w:name="_Toc49" w:id="49"/>
      <w:r>
        <w:rPr>
          <w:rFonts w:ascii="B Titr" w:cs="B Titr" w:eastAsia="B Titr" w:hAnsi="B Titr"/>
          <w:b w:val="false"/>
          <w:bCs w:val="false"/>
          <w:color w:val="1F4E79"/>
          <w:sz w:val="30"/>
          <w:szCs w:val="30"/>
          <w:rtl/>
        </w:rPr>
        <w:t xml:space="preserve">فصل ۶: کیفیت دارایی، ریسک اعتباری و تمرکز</w:t>
      </w:r>
      <w:bookmarkEnd w:id="49"/>
    </w:p>
    <w:p>
      <w:pPr>
        <w:pStyle w:val="Heading2"/>
        <w:keepNext/>
        <w:bidi/>
        <w:spacing w:after="160" w:before="300"/>
        <w:jc w:val="left"/>
      </w:pPr>
      <w:bookmarkStart w:name="_Toc50" w:id="50"/>
      <w:r>
        <w:rPr>
          <w:rFonts w:ascii="B Titr" w:cs="B Titr" w:eastAsia="B Titr" w:hAnsi="B Titr"/>
          <w:b w:val="false"/>
          <w:bCs w:val="false"/>
          <w:color w:val="000000"/>
          <w:sz w:val="26"/>
          <w:szCs w:val="26"/>
          <w:rtl/>
        </w:rPr>
        <w:t xml:space="preserve">۶.۱ هدف و ساختار فصل</w:t>
      </w:r>
      <w:bookmarkEnd w:id="50"/>
    </w:p>
    <w:p>
      <w:pPr>
        <w:bidi/>
        <w:spacing w:after="160" w:line="312"/>
        <w:jc w:val="left"/>
      </w:pPr>
      <w:r>
        <w:rPr>
          <w:rFonts w:ascii="Cambria" w:cs="B Nazanin" w:eastAsia="B Nazanin" w:hAnsi="Cambria"/>
          <w:color w:val="000000"/>
          <w:sz w:val="22"/>
          <w:szCs w:val="26"/>
          <w:rtl/>
        </w:rPr>
        <w:t xml:space="preserve">فصل ۵ ساختار پرتفوی تسهیلات را توصیف کرد. این فصل کیفیت پرتفوی و ریسک‌های آن را می‌سنجد: کیفیت دارایی در پنج سال گذشته چه مسیری داشته، افزایش مطالبات غیرجاری از کدام بخش‌ها می‌آید، شاخص‌های پیش‌نگر چه جهتی را نشان می‌دهند و ریسک تمرکز در دست چه تعداد مشتری است.</w:t>
      </w:r>
    </w:p>
    <w:p>
      <w:pPr>
        <w:bidi/>
        <w:spacing w:after="160" w:line="312"/>
        <w:jc w:val="left"/>
      </w:pPr>
      <w:r>
        <w:rPr>
          <w:rFonts w:ascii="Cambria" w:cs="B Nazanin" w:eastAsia="B Nazanin" w:hAnsi="Cambria"/>
          <w:color w:val="000000"/>
          <w:sz w:val="22"/>
          <w:szCs w:val="26"/>
          <w:rtl/>
        </w:rPr>
        <w:t xml:space="preserve">فصل در چهار گروه تحلیل پیش می‌رود: تصویر کلان (بخش‌های ۶.۲ و ۶.۳)، منابع ریسک (بخش‌های ۶.۴ تا ۶.۷)، شاخص‌های پیش‌نگر (بخش‌های ۶.۸ و ۶.۹) و تمرکز (بخش‌های ۶.۱۰ و ۶.۱۱).</w:t>
      </w:r>
    </w:p>
    <w:p>
      <w:pPr>
        <w:bidi/>
        <w:spacing w:after="160" w:line="312"/>
        <w:jc w:val="left"/>
      </w:pPr>
      <w:r>
        <w:rPr>
          <w:rFonts w:ascii="Cambria" w:cs="B Nazanin" w:eastAsia="B Nazanin" w:hAnsi="Cambria"/>
          <w:color w:val="000000"/>
          <w:sz w:val="22"/>
          <w:szCs w:val="26"/>
          <w:rtl/>
        </w:rPr>
        <w:t xml:space="preserve">مطالبات غیرجاری در این گزارش مجموع سه طبقه‌ی سررسیدگذشته، معوق و مشکوک‌الوصول است و برابر با اختلاف مانده‌ی کل و مانده‌ی جاری هر قرارداد است. بر این پایه مطالبات غیرجاری نمونه در ۱۲/۱۴۰۴ برابر ۱۱.۲ هزار میلیارد تومان و ۸.۷۶ درصد مانده‌ی پرتفوی است. نسبت رسمی بانک در همین ماه ۸.۰۰ درصد است و دو سری در ۵۸ ماه قابل مقایسه همبستگی ۰.۹۶ دارند (بخش ۲.۴.۵). همه‌ی مبالغ این فصل بر حسب هزار میلیارد تومان است.</w:t>
      </w:r>
    </w:p>
    <w:p>
      <w:pPr>
        <w:pStyle w:val="Heading2"/>
        <w:keepNext/>
        <w:bidi/>
        <w:spacing w:after="160" w:before="300"/>
        <w:jc w:val="left"/>
      </w:pPr>
      <w:bookmarkStart w:name="_Toc51" w:id="51"/>
      <w:r>
        <w:rPr>
          <w:rFonts w:ascii="B Titr" w:cs="B Titr" w:eastAsia="B Titr" w:hAnsi="B Titr"/>
          <w:b w:val="false"/>
          <w:bCs w:val="false"/>
          <w:color w:val="000000"/>
          <w:sz w:val="26"/>
          <w:szCs w:val="26"/>
          <w:rtl/>
        </w:rPr>
        <w:t xml:space="preserve">۶.۲ روند طبقه‌بندی مطالبات</w:t>
      </w:r>
      <w:bookmarkEnd w:id="51"/>
    </w:p>
    <w:p>
      <w:pPr>
        <w:pStyle w:val="Heading3"/>
        <w:keepNext/>
        <w:bidi/>
        <w:spacing w:after="160" w:before="300"/>
        <w:jc w:val="left"/>
      </w:pPr>
      <w:r>
        <w:rPr>
          <w:rFonts w:ascii="B Titr" w:cs="B Titr" w:eastAsia="B Titr" w:hAnsi="B Titr"/>
          <w:b w:val="false"/>
          <w:bCs w:val="false"/>
          <w:color w:val="000000"/>
          <w:sz w:val="26"/>
          <w:szCs w:val="26"/>
          <w:rtl/>
        </w:rPr>
        <w:t xml:space="preserve">۶.۲.۱ سری زمانی</w:t>
      </w:r>
    </w:p>
    <w:p>
      <w:pPr>
        <w:keepNext/>
        <w:spacing w:after="60" w:before="160"/>
        <w:jc w:val="center"/>
      </w:pPr>
      <w:r>
        <w:drawing>
          <wp:inline distT="0" distB="0" distL="0" distR="0">
            <wp:extent cx="5715000" cy="21526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۶-۱: روند طبقه‌بندی مانده‌ی تسهیلات نمونه، ۰۱/۱۴۰۰ تا ۱۲/۱۴۰۴</w:t>
      </w:r>
    </w:p>
    <w:p>
      <w:pPr>
        <w:keepNext/>
        <w:bidi/>
        <w:spacing w:after="100" w:before="200"/>
        <w:jc w:val="left"/>
      </w:pPr>
      <w:r>
        <w:rPr>
          <w:rFonts w:ascii="B Nazanin" w:cs="B Nazanin" w:eastAsia="B Nazanin" w:hAnsi="B Nazanin"/>
          <w:b/>
          <w:bCs/>
          <w:color w:val="000000"/>
          <w:sz w:val="22"/>
          <w:szCs w:val="22"/>
          <w:rtl/>
        </w:rPr>
        <w:t xml:space="preserve">جدول ۶-۱: طبقه‌بندی مطالبات در مقاطع منتخب (مبنای الف،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37"/>
        <w:gridCol w:w="1174"/>
        <w:gridCol w:w="1453"/>
        <w:gridCol w:w="1029"/>
        <w:gridCol w:w="1500"/>
        <w:gridCol w:w="1453"/>
        <w:gridCol w:w="1504"/>
      </w:tblGrid>
      <w:tr>
        <w:trPr>
          <w:cantSplit/>
          <w:tblHeader/>
        </w:trPr>
        <w:tc>
          <w:tcPr>
            <w:tcW w:type="dxa" w:w="12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117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جاری</w:t>
            </w:r>
          </w:p>
        </w:tc>
        <w:tc>
          <w:tcPr>
            <w:tcW w:type="dxa" w:w="14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سررسیدگذشته</w:t>
            </w:r>
          </w:p>
        </w:tc>
        <w:tc>
          <w:tcPr>
            <w:tcW w:type="dxa" w:w="102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معوق</w:t>
            </w:r>
          </w:p>
        </w:tc>
        <w:tc>
          <w:tcPr>
            <w:tcW w:type="dxa" w:w="15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مشکوک‌الوصول</w:t>
            </w:r>
          </w:p>
        </w:tc>
        <w:tc>
          <w:tcPr>
            <w:tcW w:type="dxa" w:w="145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 غیرجاری</w:t>
            </w:r>
          </w:p>
        </w:tc>
        <w:tc>
          <w:tcPr>
            <w:tcW w:type="dxa" w:w="150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۱۹.۹۴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۰.۳۸</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۰.۱۳</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۱.۰۶</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۵.۰۴٪</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۱۲/۱۴۰۰</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۳۰.۷۱</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۰.۲۵</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۰.۲۰</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۰.۵۲</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۰.۹۷</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۳.۰۷٪</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۴۱.۰۴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۰.۴۴</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۰.۲۰</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۰.۶۲</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۱.۲۵</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۲.۹۶٪</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۱۲/۱۴۰۲</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۵۹.۱۶</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۰.۴۶</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۰.۴۲</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۰.۸۵</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۱.۷۳</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۲.۸۴٪</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۸۴.۴۳</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۰.۸۶</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۰.۷۰</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۲.۸۲</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۴.۳۷</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۴.۹۳٪</w:t>
            </w:r>
          </w:p>
        </w:tc>
      </w:tr>
      <w:tr>
        <w:trPr>
          <w:cantSplit/>
        </w:trPr>
        <w:tc>
          <w:tcPr>
            <w:tcW w:type="dxa" w:w="12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11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۱۱۶.۹۴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۲.۳۷</w:t>
            </w:r>
          </w:p>
        </w:tc>
        <w:tc>
          <w:tcPr>
            <w:tcW w:type="dxa" w:w="10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۵.۰۲</w:t>
            </w:r>
          </w:p>
        </w:tc>
        <w:tc>
          <w:tcPr>
            <w:tcW w:type="dxa" w:w="15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۳.۸۴</w:t>
            </w:r>
          </w:p>
        </w:tc>
        <w:tc>
          <w:tcPr>
            <w:tcW w:type="dxa" w:w="145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۱۱.۲۲</w:t>
            </w:r>
          </w:p>
        </w:tc>
        <w:tc>
          <w:tcPr>
            <w:tcW w:type="dxa" w:w="15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۸.۷۶٪</w:t>
            </w:r>
          </w:p>
        </w:tc>
      </w:tr>
    </w:tbl>
    <w:p>
      <w:pPr>
        <w:spacing w:after="200"/>
      </w:pPr>
    </w:p>
    <w:p>
      <w:pPr>
        <w:pStyle w:val="Heading3"/>
        <w:keepNext/>
        <w:bidi/>
        <w:spacing w:after="160" w:before="300"/>
        <w:jc w:val="left"/>
      </w:pPr>
      <w:r>
        <w:rPr>
          <w:rFonts w:ascii="B Titr" w:cs="B Titr" w:eastAsia="B Titr" w:hAnsi="B Titr"/>
          <w:b w:val="false"/>
          <w:bCs w:val="false"/>
          <w:color w:val="000000"/>
          <w:sz w:val="26"/>
          <w:szCs w:val="26"/>
          <w:rtl/>
        </w:rPr>
        <w:t xml:space="preserve">۶.۲.۲ تحلیل</w:t>
      </w:r>
    </w:p>
    <w:p>
      <w:pPr>
        <w:bidi/>
        <w:spacing w:after="160" w:line="312"/>
        <w:jc w:val="left"/>
      </w:pPr>
      <w:r>
        <w:rPr>
          <w:rFonts w:ascii="Cambria" w:cs="B Nazanin" w:eastAsia="B Nazanin" w:hAnsi="Cambria"/>
          <w:color w:val="000000"/>
          <w:sz w:val="22"/>
          <w:szCs w:val="26"/>
          <w:rtl/>
        </w:rPr>
        <w:t xml:space="preserve">مسیر کیفیت دارایی دو مرحله دارد (جدول ۶-۱ و نمودار ۶-۱). در مرحله‌ی نخست (۰۱/۱۴۰۰ تا ۱۲/۱۴۰۲) نسبت مطالبات غیرجاری از ۵.۰۴ به ۲.۸۴ درصد بهبود یافته است. این بهبود از رشد سریع مخرج می‌آید: مانده‌ی غیرجاری از ۱.۱ به ۱.۷ هزار میلیارد تومان رسیده، در حالی که پرتفوی نزدیک به سه برابر شده است.</w:t>
      </w:r>
    </w:p>
    <w:p>
      <w:pPr>
        <w:bidi/>
        <w:spacing w:after="160" w:line="312"/>
        <w:jc w:val="left"/>
      </w:pPr>
      <w:r>
        <w:rPr>
          <w:rFonts w:ascii="Cambria" w:cs="B Nazanin" w:eastAsia="B Nazanin" w:hAnsi="Cambria"/>
          <w:color w:val="000000"/>
          <w:sz w:val="22"/>
          <w:szCs w:val="26"/>
          <w:rtl/>
        </w:rPr>
        <w:t xml:space="preserve">در مرحله‌ی دوم (۱۲/۱۴۰۲ تا ۱۲/۱۴۰۴) نسبت بیش از سه برابر شده و از ۲.۸۴ به ۸.۷۶ درصد رسیده است. مانده‌ی غیرجاری در این دو سال از ۱.۷ به ۱۱.۲ هزار میلیارد تومان، یعنی ۶.۵ برابر شده و پرتفوی ۲.۱ برابر. افزایش نسبت در آمار رسمی بانک هم دیده می‌شود: نسبت رسمی از ۳.۵ درصد در ۰۱/۱۴۰۳ به حدود ۸.۵ درصد در میانه‌ی ۱۴۰۴ رسیده و در ۱۲/۱۴۰۴ برابر ۸.۰ درصد است. نسبت ۴.۶ درصد در ۱۲/۱۴۰۳ کف فصلی است (۱۱/۱۴۰۳ برابر ۷.۳ درصد بود)، پس کاهش کیفیت دارایی در دو سال اخیر رخ داده است.</w:t>
      </w:r>
    </w:p>
    <w:p>
      <w:pPr>
        <w:bidi/>
        <w:spacing w:after="160" w:line="312"/>
        <w:jc w:val="left"/>
      </w:pPr>
      <w:r>
        <w:rPr>
          <w:rFonts w:ascii="Cambria" w:cs="B Nazanin" w:eastAsia="B Nazanin" w:hAnsi="Cambria"/>
          <w:color w:val="000000"/>
          <w:sz w:val="22"/>
          <w:szCs w:val="26"/>
          <w:rtl/>
        </w:rPr>
        <w:t xml:space="preserve">ترکیب طبقات نیز تغییر کرده است: در ۱۲/۱۴۰۲ طبقه‌ی مشکوک‌الوصول ۴۹ درصد مطالبات غیرجاری را شامل می‌شد و در ۱۲/۱۴۰۴ طبقه‌ی معوق با ۴۴.۷ درصد بزرگ‌ترین طبقه است و مشکوک‌الوصول ۳۴.۲ درصد را دارد.</w:t>
      </w:r>
    </w:p>
    <w:p>
      <w:pPr>
        <w:pStyle w:val="Heading3"/>
        <w:keepNext/>
        <w:bidi/>
        <w:spacing w:after="160" w:before="300"/>
        <w:jc w:val="left"/>
      </w:pPr>
      <w:r>
        <w:rPr>
          <w:rFonts w:ascii="B Titr" w:cs="B Titr" w:eastAsia="B Titr" w:hAnsi="B Titr"/>
          <w:b w:val="false"/>
          <w:bCs w:val="false"/>
          <w:color w:val="000000"/>
          <w:sz w:val="26"/>
          <w:szCs w:val="26"/>
          <w:rtl/>
        </w:rPr>
        <w:t xml:space="preserve">۶.۲.۳ جابه‌جایی طبقات در ماه‌های پایانی ۱۴۰۴</w:t>
      </w:r>
    </w:p>
    <w:p>
      <w:pPr>
        <w:bidi/>
        <w:spacing w:after="160" w:line="312"/>
        <w:jc w:val="left"/>
      </w:pPr>
      <w:r>
        <w:rPr>
          <w:rFonts w:ascii="Cambria" w:cs="B Nazanin" w:eastAsia="B Nazanin" w:hAnsi="Cambria"/>
          <w:color w:val="000000"/>
          <w:sz w:val="22"/>
          <w:szCs w:val="26"/>
          <w:rtl/>
        </w:rPr>
        <w:t xml:space="preserve">در سری ماهانه، میان دی و بهمن ۱۴۰۴ بخشی از مانده‌ی مشکوک‌الوصول به طبقه‌ی معوق منتقل شده و مجموع مطالبات غیرجاری تقریباً ثابت مانده است (جدول ۶-۲).</w:t>
      </w:r>
    </w:p>
    <w:p>
      <w:pPr>
        <w:keepNext/>
        <w:bidi/>
        <w:spacing w:after="100" w:before="200"/>
        <w:jc w:val="left"/>
      </w:pPr>
      <w:r>
        <w:rPr>
          <w:rFonts w:ascii="B Nazanin" w:cs="B Nazanin" w:eastAsia="B Nazanin" w:hAnsi="B Nazanin"/>
          <w:b/>
          <w:bCs/>
          <w:color w:val="000000"/>
          <w:sz w:val="22"/>
          <w:szCs w:val="22"/>
          <w:rtl/>
        </w:rPr>
        <w:t xml:space="preserve">جدول ۶-۲: جابه‌جایی میان طبقات در ماه‌های پایانی 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67"/>
        <w:gridCol w:w="2345"/>
        <w:gridCol w:w="2507"/>
        <w:gridCol w:w="2431"/>
      </w:tblGrid>
      <w:tr>
        <w:trPr>
          <w:cantSplit/>
          <w:tblHeader/>
        </w:trPr>
        <w:tc>
          <w:tcPr>
            <w:tcW w:type="dxa" w:w="20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234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معوق</w:t>
            </w:r>
          </w:p>
        </w:tc>
        <w:tc>
          <w:tcPr>
            <w:tcW w:type="dxa" w:w="250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مشکوک‌الوصول</w:t>
            </w:r>
          </w:p>
        </w:tc>
        <w:tc>
          <w:tcPr>
            <w:tcW w:type="dxa" w:w="243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 غیرجاری</w:t>
            </w:r>
          </w:p>
        </w:tc>
      </w:tr>
      <w:tr>
        <w:trPr>
          <w:cantSplit/>
        </w:trPr>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۱۰/۱۴۰۴</w:t>
            </w:r>
          </w:p>
        </w:tc>
        <w:tc>
          <w:tcPr>
            <w:tcW w:type="dxa" w:w="23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۲.۲۴</w:t>
            </w:r>
          </w:p>
        </w:tc>
        <w:tc>
          <w:tcPr>
            <w:tcW w:type="dxa" w:w="25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۶.۱۸</w:t>
            </w:r>
          </w:p>
        </w:tc>
        <w:tc>
          <w:tcPr>
            <w:tcW w:type="dxa" w:w="24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۱۰.۵۹</w:t>
            </w:r>
          </w:p>
        </w:tc>
      </w:tr>
      <w:tr>
        <w:trPr>
          <w:cantSplit/>
        </w:trPr>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۱۱/۱۴۰۴</w:t>
            </w:r>
          </w:p>
        </w:tc>
        <w:tc>
          <w:tcPr>
            <w:tcW w:type="dxa" w:w="23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۴.۷۶</w:t>
            </w:r>
          </w:p>
        </w:tc>
        <w:tc>
          <w:tcPr>
            <w:tcW w:type="dxa" w:w="25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۳.۲۷</w:t>
            </w:r>
          </w:p>
        </w:tc>
        <w:tc>
          <w:tcPr>
            <w:tcW w:type="dxa" w:w="24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۱۰.۵۳</w:t>
            </w:r>
          </w:p>
        </w:tc>
      </w:tr>
      <w:tr>
        <w:trPr>
          <w:cantSplit/>
        </w:trPr>
        <w:tc>
          <w:tcPr>
            <w:tcW w:type="dxa" w:w="20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تغییر</w:t>
            </w:r>
          </w:p>
        </w:tc>
        <w:tc>
          <w:tcPr>
            <w:tcW w:type="dxa" w:w="234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۲.۵۲ بیشتر</w:t>
            </w:r>
          </w:p>
        </w:tc>
        <w:tc>
          <w:tcPr>
            <w:tcW w:type="dxa" w:w="250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۲.۹۱ کمتر</w:t>
            </w:r>
          </w:p>
        </w:tc>
        <w:tc>
          <w:tcPr>
            <w:tcW w:type="dxa" w:w="243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۰.۰۶ کمتر</w:t>
            </w:r>
          </w:p>
        </w:tc>
      </w:tr>
    </w:tbl>
    <w:p>
      <w:pPr>
        <w:spacing w:after="200"/>
      </w:pPr>
    </w:p>
    <w:p>
      <w:pPr>
        <w:bidi/>
        <w:spacing w:after="160" w:line="312"/>
        <w:jc w:val="left"/>
      </w:pPr>
      <w:r>
        <w:rPr>
          <w:rFonts w:ascii="Cambria" w:cs="B Nazanin" w:eastAsia="B Nazanin" w:hAnsi="Cambria"/>
          <w:color w:val="000000"/>
          <w:sz w:val="22"/>
          <w:szCs w:val="26"/>
          <w:rtl/>
        </w:rPr>
        <w:t xml:space="preserve">این الگو با تغییر طبقه‌بندی سازگار است و نه با نکول جدید یا وصول. به همین دلیل تحلیل‌های این فصل بر مجموع مطالبات غیرجاری استوارند که از جابه‌جایی میان طبقات اثر نمی‌پذیرد، و روند تفکیکی طبقات در ماه‌های پایانی ۱۴۰۴ با احتیاط تفسیر می‌شود. علت این جابه‌جایی در بخش ۹.۵ پرسیده شده است.</w:t>
      </w:r>
    </w:p>
    <w:p>
      <w:pPr>
        <w:pStyle w:val="Heading2"/>
        <w:keepNext/>
        <w:bidi/>
        <w:spacing w:after="160" w:before="300"/>
        <w:jc w:val="left"/>
      </w:pPr>
      <w:bookmarkStart w:name="_Toc52" w:id="52"/>
      <w:r>
        <w:rPr>
          <w:rFonts w:ascii="B Titr" w:cs="B Titr" w:eastAsia="B Titr" w:hAnsi="B Titr"/>
          <w:b w:val="false"/>
          <w:bCs w:val="false"/>
          <w:color w:val="000000"/>
          <w:sz w:val="26"/>
          <w:szCs w:val="26"/>
          <w:rtl/>
        </w:rPr>
        <w:t xml:space="preserve">۶.۳ تجزیه‌ی مطالبات غیرجاری بر مبنای پوشش داده</w:t>
      </w:r>
      <w:bookmarkEnd w:id="52"/>
    </w:p>
    <w:p>
      <w:pPr>
        <w:bidi/>
        <w:spacing w:after="160" w:line="312"/>
        <w:jc w:val="left"/>
      </w:pPr>
      <w:r>
        <w:rPr>
          <w:rFonts w:ascii="Cambria" w:cs="B Nazanin" w:eastAsia="B Nazanin" w:hAnsi="Cambria"/>
          <w:color w:val="000000"/>
          <w:sz w:val="22"/>
          <w:szCs w:val="26"/>
          <w:rtl/>
        </w:rPr>
        <w:t xml:space="preserve">برای ۲۲.۴۰ درصد پرتفوی رکورد قرارداد و نگاشت شعبه موجود نیست و این دو مجموعه کاملاً بر هم منطبق‌اند (بخش ۲.۵). جدول ۶-۳ کیفیت دارایی را در دو بخش پرتفوی مقایسه می‌کند.</w:t>
      </w:r>
    </w:p>
    <w:p>
      <w:pPr>
        <w:keepNext/>
        <w:bidi/>
        <w:spacing w:after="100" w:before="200"/>
        <w:jc w:val="left"/>
      </w:pPr>
      <w:r>
        <w:rPr>
          <w:rFonts w:ascii="B Nazanin" w:cs="B Nazanin" w:eastAsia="B Nazanin" w:hAnsi="B Nazanin"/>
          <w:b/>
          <w:bCs/>
          <w:color w:val="000000"/>
          <w:sz w:val="22"/>
          <w:szCs w:val="22"/>
          <w:rtl/>
        </w:rPr>
        <w:t xml:space="preserve">جدول ۶-۳: کیفیت دارایی بر حسب وضعیت پوشش داده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47"/>
        <w:gridCol w:w="1389"/>
        <w:gridCol w:w="1475"/>
        <w:gridCol w:w="2051"/>
        <w:gridCol w:w="1888"/>
      </w:tblGrid>
      <w:tr>
        <w:trPr>
          <w:cantSplit/>
          <w:tblHeader/>
        </w:trPr>
        <w:tc>
          <w:tcPr>
            <w:tcW w:type="dxa" w:w="25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 پرتفوی</w:t>
            </w:r>
          </w:p>
        </w:tc>
        <w:tc>
          <w:tcPr>
            <w:tcW w:type="dxa" w:w="13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w:t>
            </w:r>
          </w:p>
        </w:tc>
        <w:tc>
          <w:tcPr>
            <w:tcW w:type="dxa" w:w="14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w:t>
            </w:r>
          </w:p>
        </w:tc>
        <w:tc>
          <w:tcPr>
            <w:tcW w:type="dxa" w:w="20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مطالبات غیرجاری</w:t>
            </w:r>
          </w:p>
        </w:tc>
        <w:tc>
          <w:tcPr>
            <w:tcW w:type="dxa" w:w="18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w:t>
            </w:r>
          </w:p>
        </w:tc>
      </w:tr>
      <w:tr>
        <w:trPr>
          <w:cantSplit/>
        </w:trPr>
        <w:tc>
          <w:tcPr>
            <w:tcW w:type="dxa" w:w="25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دارای رکورد قرارداد و شعبه</w:t>
            </w:r>
          </w:p>
        </w:tc>
        <w:tc>
          <w:tcPr>
            <w:tcW w:type="dxa" w:w="13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۹۹.۵</w:t>
            </w:r>
          </w:p>
        </w:tc>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۷۷.۶۰٪</w:t>
            </w:r>
          </w:p>
        </w:tc>
        <w:tc>
          <w:tcPr>
            <w:tcW w:type="dxa" w:w="20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w:t>
            </w:r>
          </w:p>
        </w:tc>
        <w:tc>
          <w:tcPr>
            <w:tcW w:type="dxa" w:w="18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۵.۲۱٪</w:t>
            </w:r>
          </w:p>
        </w:tc>
      </w:tr>
      <w:tr>
        <w:trPr>
          <w:cantSplit/>
        </w:trPr>
        <w:tc>
          <w:tcPr>
            <w:tcW w:type="dxa" w:w="25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فاقد رکورد قرارداد و شعبه</w:t>
            </w:r>
          </w:p>
        </w:tc>
        <w:tc>
          <w:tcPr>
            <w:tcW w:type="dxa" w:w="13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۲۸.۷</w:t>
            </w:r>
          </w:p>
        </w:tc>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۲۲.۴۰٪</w:t>
            </w:r>
          </w:p>
        </w:tc>
        <w:tc>
          <w:tcPr>
            <w:tcW w:type="dxa" w:w="20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w:t>
            </w:r>
          </w:p>
        </w:tc>
        <w:tc>
          <w:tcPr>
            <w:tcW w:type="dxa" w:w="18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۲۱.۰۴٪</w:t>
            </w:r>
          </w:p>
        </w:tc>
      </w:tr>
      <w:tr>
        <w:trPr>
          <w:cantSplit/>
        </w:trPr>
        <w:tc>
          <w:tcPr>
            <w:tcW w:type="dxa" w:w="25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 پرتفوی</w:t>
            </w:r>
          </w:p>
        </w:tc>
        <w:tc>
          <w:tcPr>
            <w:tcW w:type="dxa" w:w="13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14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20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۱۱.۲</w:t>
            </w:r>
          </w:p>
        </w:tc>
        <w:tc>
          <w:tcPr>
            <w:tcW w:type="dxa" w:w="18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۸.۷۶٪</w:t>
            </w:r>
          </w:p>
        </w:tc>
      </w:tr>
    </w:tbl>
    <w:p>
      <w:pPr>
        <w:spacing w:after="200"/>
      </w:pPr>
    </w:p>
    <w:p>
      <w:pPr>
        <w:bidi/>
        <w:spacing w:after="160" w:line="312"/>
        <w:jc w:val="left"/>
      </w:pPr>
      <w:r>
        <w:rPr>
          <w:rFonts w:ascii="Cambria" w:cs="B Nazanin" w:eastAsia="B Nazanin" w:hAnsi="Cambria"/>
          <w:color w:val="000000"/>
          <w:sz w:val="22"/>
          <w:szCs w:val="26"/>
          <w:rtl/>
        </w:rPr>
        <w:t xml:space="preserve">نسبت غیرجاری بخش فاقد رکورد بیش از چهار برابر بخش دارای رکورد است و این بخش با کمتر از یک‌چهارم پرتفوی، ۵۳.۸ درصد کل مطالبات غیرجاری را در خود دارد. جدول ۶-۴ پس از جداسازی اعتبارات اسنادی، که بیشتر در بخش فاقد رکورد قرار دارند، ساختار ریسک را دقیق‌تر نشان می‌دهد.</w:t>
      </w:r>
    </w:p>
    <w:p>
      <w:pPr>
        <w:keepNext/>
        <w:bidi/>
        <w:spacing w:after="100" w:before="200"/>
        <w:jc w:val="left"/>
      </w:pPr>
      <w:r>
        <w:rPr>
          <w:rFonts w:ascii="B Nazanin" w:cs="B Nazanin" w:eastAsia="B Nazanin" w:hAnsi="B Nazanin"/>
          <w:b/>
          <w:bCs/>
          <w:color w:val="000000"/>
          <w:sz w:val="22"/>
          <w:szCs w:val="22"/>
          <w:rtl/>
        </w:rPr>
        <w:t xml:space="preserve">جدول ۶-۴: تجزیه‌ی سه‌گانه‌ی پرتفوی بر حسب ریسک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2"/>
        <w:gridCol w:w="1312"/>
        <w:gridCol w:w="1666"/>
        <w:gridCol w:w="1937"/>
        <w:gridCol w:w="1783"/>
      </w:tblGrid>
      <w:tr>
        <w:trPr>
          <w:cantSplit/>
          <w:tblHeader/>
        </w:trPr>
        <w:tc>
          <w:tcPr>
            <w:tcW w:type="dxa" w:w="26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w:t>
            </w:r>
          </w:p>
        </w:tc>
        <w:tc>
          <w:tcPr>
            <w:tcW w:type="dxa" w:w="131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w:t>
            </w:r>
          </w:p>
        </w:tc>
        <w:tc>
          <w:tcPr>
            <w:tcW w:type="dxa" w:w="166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پرتفوی</w:t>
            </w:r>
          </w:p>
        </w:tc>
        <w:tc>
          <w:tcPr>
            <w:tcW w:type="dxa" w:w="19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مطالبات غیرجاری</w:t>
            </w:r>
          </w:p>
        </w:tc>
        <w:tc>
          <w:tcPr>
            <w:tcW w:type="dxa" w:w="17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w:t>
            </w:r>
          </w:p>
        </w:tc>
      </w:tr>
      <w:tr>
        <w:trPr>
          <w:cantSplit/>
        </w:trPr>
        <w:tc>
          <w:tcPr>
            <w:tcW w:type="dxa" w:w="2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دارای رکورد، بدون اعتبارات اسنادی</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۹۸.۸</w:t>
            </w:r>
          </w:p>
        </w:tc>
        <w:tc>
          <w:tcPr>
            <w:tcW w:type="dxa" w:w="16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۷۷.۱٪</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17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۴.۵۹٪</w:t>
            </w:r>
          </w:p>
        </w:tc>
      </w:tr>
      <w:tr>
        <w:trPr>
          <w:cantSplit/>
        </w:trPr>
        <w:tc>
          <w:tcPr>
            <w:tcW w:type="dxa" w:w="2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فاقد رکورد، بدون اعتبارات اسنادی</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۲۴.۰</w:t>
            </w:r>
          </w:p>
        </w:tc>
        <w:tc>
          <w:tcPr>
            <w:tcW w:type="dxa" w:w="16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۱۸.۷٪</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7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۸.۹۹٪</w:t>
            </w:r>
          </w:p>
        </w:tc>
      </w:tr>
      <w:tr>
        <w:trPr>
          <w:cantSplit/>
        </w:trPr>
        <w:tc>
          <w:tcPr>
            <w:tcW w:type="dxa" w:w="2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اعتبارات اسنادی (کل)</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c>
          <w:tcPr>
            <w:tcW w:type="dxa" w:w="16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17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۸۴.۰۱٪</w:t>
            </w:r>
          </w:p>
        </w:tc>
      </w:tr>
      <w:tr>
        <w:trPr>
          <w:cantSplit/>
        </w:trPr>
        <w:tc>
          <w:tcPr>
            <w:tcW w:type="dxa" w:w="2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31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166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۱۱.۲</w:t>
            </w:r>
          </w:p>
        </w:tc>
        <w:tc>
          <w:tcPr>
            <w:tcW w:type="dxa" w:w="17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۸.۷۶٪</w:t>
            </w:r>
          </w:p>
        </w:tc>
      </w:tr>
    </w:tbl>
    <w:p>
      <w:pPr>
        <w:spacing w:after="200"/>
      </w:pPr>
    </w:p>
    <w:p>
      <w:pPr>
        <w:bidi/>
        <w:spacing w:after="160" w:line="312"/>
        <w:jc w:val="left"/>
      </w:pPr>
      <w:r>
        <w:rPr>
          <w:rFonts w:ascii="Cambria" w:cs="B Nazanin" w:eastAsia="B Nazanin" w:hAnsi="Cambria"/>
          <w:color w:val="000000"/>
          <w:sz w:val="22"/>
          <w:szCs w:val="26"/>
          <w:rtl/>
        </w:rPr>
        <w:t xml:space="preserve">نسبت کل ۸.۷۶ درصد میانگین سه پرتفوی با ماهیت متفاوت است. بخش اصلی پرتفوی (۷۷.۱ درصد) نسبت ۴.۵۹ درصد دارد که برای بانک توسعه‌ای در شرایط اقتصادی کشور قابل‌قبول است. بخش فاقد رکورد بدون اعتبارات اسنادی ۸.۹۹ درصد و اعتبارات اسنادی ۸۴.۰۱ درصد نسبت دارند. از این رو در گزارش‌های مدیریتی، ارائه‌ی همین تفکیک سه‌گانه در کنار شاخص واحد پیشنهاد می‌شود.</w:t>
      </w:r>
    </w:p>
    <w:p>
      <w:pPr>
        <w:bidi/>
        <w:spacing w:after="160" w:line="312"/>
        <w:jc w:val="left"/>
      </w:pPr>
      <w:r>
        <w:rPr>
          <w:rFonts w:ascii="Cambria" w:cs="B Nazanin" w:eastAsia="B Nazanin" w:hAnsi="Cambria"/>
          <w:color w:val="000000"/>
          <w:sz w:val="22"/>
          <w:szCs w:val="26"/>
          <w:rtl/>
        </w:rPr>
        <w:t xml:space="preserve">نسبت ۸.۹۹ درصدِ بخش فاقد رکورد حدود دو برابر بخش اصلی است و دو تبیین دارد: قراردادهای قدیمی‌تر یا آرشیوشده ممکن است از جدول قرارداد خارج شده باشند، که با رابطه‌ی قدمت و نکول سازگار است؛ یا این بخش پرتفویی با ریسک بالاتر است. تفکیک این دو به پاسخ بانک درباره‌ی ۶۳۷,۹۷۵ قرارداد فاقد رکورد وابسته است (بخش ۹.۵). تحلیل‌های اندازه (بخش ۶.۵)، نسل (بخش ۶.۶) و تمرکز تک‌نامی (بخش ۶.۱۰) بر مبنای الف-۱ هستند و نسبت غیرجاری آن‌ها حول ۵.۲۱ درصد، و نه ۸.۷۶ درصد، قرار می‌گیرد.</w:t>
      </w:r>
    </w:p>
    <w:p>
      <w:pPr>
        <w:pStyle w:val="Heading2"/>
        <w:keepNext/>
        <w:bidi/>
        <w:spacing w:after="160" w:before="300"/>
        <w:jc w:val="left"/>
      </w:pPr>
      <w:bookmarkStart w:name="_Toc53" w:id="53"/>
      <w:r>
        <w:rPr>
          <w:rFonts w:ascii="B Titr" w:cs="B Titr" w:eastAsia="B Titr" w:hAnsi="B Titr"/>
          <w:b w:val="false"/>
          <w:bCs w:val="false"/>
          <w:color w:val="000000"/>
          <w:sz w:val="26"/>
          <w:szCs w:val="26"/>
          <w:rtl/>
        </w:rPr>
        <w:t xml:space="preserve">۶.۴ اعتبارات اسنادی</w:t>
      </w:r>
      <w:bookmarkEnd w:id="53"/>
    </w:p>
    <w:p>
      <w:pPr>
        <w:pStyle w:val="Heading3"/>
        <w:keepNext/>
        <w:bidi/>
        <w:spacing w:after="160" w:before="300"/>
        <w:jc w:val="left"/>
      </w:pPr>
      <w:r>
        <w:rPr>
          <w:rFonts w:ascii="B Titr" w:cs="B Titr" w:eastAsia="B Titr" w:hAnsi="B Titr"/>
          <w:b w:val="false"/>
          <w:bCs w:val="false"/>
          <w:color w:val="000000"/>
          <w:sz w:val="26"/>
          <w:szCs w:val="26"/>
          <w:rtl/>
        </w:rPr>
        <w:t xml:space="preserve">۶.۴.۱ جایگاه بخش</w:t>
      </w:r>
    </w:p>
    <w:p>
      <w:pPr>
        <w:bidi/>
        <w:spacing w:after="160" w:line="312"/>
        <w:jc w:val="left"/>
      </w:pPr>
      <w:r>
        <w:rPr>
          <w:rFonts w:ascii="Cambria" w:cs="B Nazanin" w:eastAsia="B Nazanin" w:hAnsi="Cambria"/>
          <w:color w:val="000000"/>
          <w:sz w:val="22"/>
          <w:szCs w:val="26"/>
          <w:rtl/>
        </w:rPr>
        <w:t xml:space="preserve">اعتبارات اسنادی ۴.۲۲ درصد پرتفوی را تشکیل می‌دهد، اما چهار ویژگی اختصاص یک بخش مستقل به آن را ایجاب می‌کند: ۴۰.۴۴ درصد کل مطالبات غیرجاری بانک را شامل می‌شود (جدول ۵-۸)، نسبت غیرجاری آن ۸۴.۰۱ درصد و بیش از هشت برابر هر بخش دیگر است، مانده‌ی آن سریع‌تر از کل پرتفوی رشد کرده (جدول ۶-۵) و کمترین پوشش وثیقه را دارد (بخش ۵.۹.۳).</w:t>
      </w:r>
    </w:p>
    <w:p>
      <w:pPr>
        <w:pStyle w:val="Heading3"/>
        <w:keepNext/>
        <w:bidi/>
        <w:spacing w:after="160" w:before="300"/>
        <w:jc w:val="left"/>
      </w:pPr>
      <w:r>
        <w:rPr>
          <w:rFonts w:ascii="B Titr" w:cs="B Titr" w:eastAsia="B Titr" w:hAnsi="B Titr"/>
          <w:b w:val="false"/>
          <w:bCs w:val="false"/>
          <w:color w:val="000000"/>
          <w:sz w:val="26"/>
          <w:szCs w:val="26"/>
          <w:rtl/>
        </w:rPr>
        <w:t xml:space="preserve">۶.۴.۲ مسیر وخامت</w:t>
      </w:r>
    </w:p>
    <w:p>
      <w:pPr>
        <w:keepNext/>
        <w:spacing w:after="60" w:before="160"/>
        <w:jc w:val="center"/>
      </w:pPr>
      <w:r>
        <w:drawing>
          <wp:inline distT="0" distB="0" distL="0" distR="0">
            <wp:extent cx="5715000" cy="22383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2383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۶-۲: روند نسبت مطالبات غیرجاری اعتبارات اسنادی و سایر پرتفوی، ۰۱/۱۴۰۰ تا ۱۲/۱۴۰۴</w:t>
      </w:r>
    </w:p>
    <w:p>
      <w:pPr>
        <w:keepNext/>
        <w:bidi/>
        <w:spacing w:after="100" w:before="200"/>
        <w:jc w:val="left"/>
      </w:pPr>
      <w:r>
        <w:rPr>
          <w:rFonts w:ascii="B Nazanin" w:cs="B Nazanin" w:eastAsia="B Nazanin" w:hAnsi="B Nazanin"/>
          <w:b/>
          <w:bCs/>
          <w:color w:val="000000"/>
          <w:sz w:val="22"/>
          <w:szCs w:val="22"/>
          <w:rtl/>
        </w:rPr>
        <w:t xml:space="preserve">جدول ۶-۵: روند اعتبارات اسنادی و سایر پرتفوی (مانده بر حسب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11"/>
        <w:gridCol w:w="2667"/>
        <w:gridCol w:w="2257"/>
        <w:gridCol w:w="2715"/>
      </w:tblGrid>
      <w:tr>
        <w:trPr>
          <w:cantSplit/>
          <w:tblHeader/>
        </w:trPr>
        <w:tc>
          <w:tcPr>
            <w:tcW w:type="dxa" w:w="171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مقطع</w:t>
            </w:r>
          </w:p>
        </w:tc>
        <w:tc>
          <w:tcPr>
            <w:tcW w:type="dxa" w:w="266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اعتبارات اسنادی</w:t>
            </w:r>
          </w:p>
        </w:tc>
        <w:tc>
          <w:tcPr>
            <w:tcW w:type="dxa" w:w="225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 آن</w:t>
            </w:r>
          </w:p>
        </w:tc>
        <w:tc>
          <w:tcPr>
            <w:tcW w:type="dxa" w:w="27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 سایر پرتفوی</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۰۱/۱۴۰۰</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۰.۴۳</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۱۶.۸٪</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۱۲/۱۴۰۰</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۰.۲۹</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۳۵.۳٪</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۱۲/۱۴۰۱</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۰.۶۴</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۳۶.۰٪</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۱۲/۱۴۰۲</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۲.۲۴</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۱۸.۰٪</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۱۲/۱۴۰۳</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۳.۹۹</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۵۴.۴٪</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۱۲/۱۴۰۴</w:t>
            </w:r>
          </w:p>
        </w:tc>
        <w:tc>
          <w:tcPr>
            <w:tcW w:type="dxa" w:w="266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۵.۴۰</w:t>
            </w:r>
          </w:p>
        </w:tc>
        <w:tc>
          <w:tcPr>
            <w:tcW w:type="dxa" w:w="225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۸۴.۰٪</w:t>
            </w:r>
          </w:p>
        </w:tc>
        <w:tc>
          <w:tcPr>
            <w:tcW w:type="dxa" w:w="27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r>
    </w:tbl>
    <w:p>
      <w:pPr>
        <w:spacing w:after="200"/>
      </w:pPr>
    </w:p>
    <w:p>
      <w:pPr>
        <w:bidi/>
        <w:spacing w:after="160" w:line="312"/>
        <w:jc w:val="left"/>
      </w:pPr>
      <w:r>
        <w:rPr>
          <w:rFonts w:ascii="Cambria" w:cs="B Nazanin" w:eastAsia="B Nazanin" w:hAnsi="Cambria"/>
          <w:color w:val="000000"/>
          <w:sz w:val="22"/>
          <w:szCs w:val="26"/>
          <w:rtl/>
        </w:rPr>
        <w:t xml:space="preserve">مانده‌ی اعتبارات اسنادی از ۰.۴ به ۵.۴ هزار میلیارد تومان، یعنی ۱۲.۵ برابر رسیده، در حالی که کل پرتفوی ۶.۱ برابر شده است (جدول ۶-۵ و نمودار ۶-۲). نسبت غیرجاری آن از ۱۶.۸ به ۸۴.۰ درصد افزایش یافته و در ابتدای دوره نیز بیش از سه برابر سایر پرتفوی بوده است. کاهش موقت نسبت در ۱۲/۱۴۰۲ به ۱۸.۰ درصد نتیجه‌ی رشد مخرج (مانده از ۰.۶ به ۲.۲ هزار میلیارد تومان) است و مانده‌ی غیرجاری در همان سال از ۰.۲ به ۰.۴ هزار میلیارد تومان افزایش یافته است.</w:t>
      </w:r>
    </w:p>
    <w:p>
      <w:pPr>
        <w:pStyle w:val="Heading3"/>
        <w:keepNext/>
        <w:bidi/>
        <w:spacing w:after="160" w:before="300"/>
        <w:jc w:val="left"/>
      </w:pPr>
      <w:r>
        <w:rPr>
          <w:rFonts w:ascii="B Titr" w:cs="B Titr" w:eastAsia="B Titr" w:hAnsi="B Titr"/>
          <w:b w:val="false"/>
          <w:bCs w:val="false"/>
          <w:color w:val="000000"/>
          <w:sz w:val="26"/>
          <w:szCs w:val="26"/>
          <w:rtl/>
        </w:rPr>
        <w:t xml:space="preserve">۶.۴.۳ سهم اعتبارات اسنادی از افزایش مطالبات غیرجاری</w:t>
      </w:r>
    </w:p>
    <w:p>
      <w:pPr>
        <w:keepNext/>
        <w:bidi/>
        <w:spacing w:after="100" w:before="200"/>
        <w:jc w:val="left"/>
      </w:pPr>
      <w:r>
        <w:rPr>
          <w:rFonts w:ascii="B Nazanin" w:cs="B Nazanin" w:eastAsia="B Nazanin" w:hAnsi="B Nazanin"/>
          <w:b/>
          <w:bCs/>
          <w:color w:val="000000"/>
          <w:sz w:val="22"/>
          <w:szCs w:val="22"/>
          <w:rtl/>
        </w:rPr>
        <w:t xml:space="preserve">جدول ۶-۶: سهم هر بخش از افزایش مطالبات غیرجاری (۰۱/۱۴۰۰ تا ۱۲/۱۴۰۴،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21"/>
        <w:gridCol w:w="2423"/>
        <w:gridCol w:w="1652"/>
        <w:gridCol w:w="1382"/>
        <w:gridCol w:w="1972"/>
      </w:tblGrid>
      <w:tr>
        <w:trPr>
          <w:cantSplit/>
          <w:tblHeader/>
        </w:trPr>
        <w:tc>
          <w:tcPr>
            <w:tcW w:type="dxa" w:w="192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بخش</w:t>
            </w:r>
          </w:p>
        </w:tc>
        <w:tc>
          <w:tcPr>
            <w:tcW w:type="dxa" w:w="24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مطالبات غیرجاری ابتدای دوره</w:t>
            </w:r>
          </w:p>
        </w:tc>
        <w:tc>
          <w:tcPr>
            <w:tcW w:type="dxa" w:w="165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پایان دوره</w:t>
            </w:r>
          </w:p>
        </w:tc>
        <w:tc>
          <w:tcPr>
            <w:tcW w:type="dxa" w:w="13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افزایش</w:t>
            </w:r>
          </w:p>
        </w:tc>
        <w:tc>
          <w:tcPr>
            <w:tcW w:type="dxa" w:w="19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کل افزایش</w:t>
            </w:r>
          </w:p>
        </w:tc>
      </w:tr>
      <w:tr>
        <w:trPr>
          <w:cantSplit/>
        </w:trPr>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اعتبارات اسنادی</w:t>
            </w:r>
          </w:p>
        </w:tc>
        <w:tc>
          <w:tcPr>
            <w:tcW w:type="dxa" w:w="24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19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۴۳.۹٪</w:t>
            </w:r>
          </w:p>
        </w:tc>
      </w:tr>
      <w:tr>
        <w:trPr>
          <w:cantSplit/>
        </w:trPr>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سایر پرتفوی</w:t>
            </w:r>
          </w:p>
        </w:tc>
        <w:tc>
          <w:tcPr>
            <w:tcW w:type="dxa" w:w="24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w:t>
            </w:r>
          </w:p>
        </w:tc>
        <w:tc>
          <w:tcPr>
            <w:tcW w:type="dxa" w:w="19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۵۶.۱٪</w:t>
            </w:r>
          </w:p>
        </w:tc>
      </w:tr>
      <w:tr>
        <w:trPr>
          <w:cantSplit/>
        </w:trPr>
        <w:tc>
          <w:tcPr>
            <w:tcW w:type="dxa" w:w="192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24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w:t>
            </w:r>
          </w:p>
        </w:tc>
        <w:tc>
          <w:tcPr>
            <w:tcW w:type="dxa" w:w="165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۱۱.۲</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۱۰.۲</w:t>
            </w:r>
          </w:p>
        </w:tc>
        <w:tc>
          <w:tcPr>
            <w:tcW w:type="dxa" w:w="19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r>
    </w:tbl>
    <w:p>
      <w:pPr>
        <w:spacing w:after="200"/>
      </w:pPr>
    </w:p>
    <w:p>
      <w:pPr>
        <w:bidi/>
        <w:spacing w:after="160" w:line="312"/>
        <w:jc w:val="left"/>
      </w:pPr>
      <w:r>
        <w:rPr>
          <w:rFonts w:ascii="Cambria" w:cs="B Nazanin" w:eastAsia="B Nazanin" w:hAnsi="Cambria"/>
          <w:color w:val="000000"/>
          <w:sz w:val="22"/>
          <w:szCs w:val="26"/>
          <w:rtl/>
        </w:rPr>
        <w:t xml:space="preserve">ارقام جدول گرد شده‌اند؛ تفاضل‌ها، جمع‌ها و نسبت‌ها از ارقام دقیق پیش از گردکردن محاسبه شده‌اند.</w:t>
      </w:r>
    </w:p>
    <w:p>
      <w:pPr>
        <w:bidi/>
        <w:spacing w:after="160" w:line="312"/>
        <w:jc w:val="left"/>
      </w:pPr>
      <w:r>
        <w:rPr>
          <w:rFonts w:ascii="Cambria" w:cs="B Nazanin" w:eastAsia="B Nazanin" w:hAnsi="Cambria"/>
          <w:color w:val="000000"/>
          <w:sz w:val="22"/>
          <w:szCs w:val="26"/>
          <w:rtl/>
        </w:rPr>
        <w:t xml:space="preserve">رکوردهای دارای برچسب اعتبارات اسنادی بالاترین نسبت غیرجاری را دارند، اما بزرگ‌ترین منبع افزایش مطلق مطالبات غیرجاری سایر پرتفوی است که ۵۶.۱ درصد افزایش را تشکیل می‌دهد (جدول ۶-۶). نسبت غیرجاری سایر پرتفوی از ۴.۸ به ۵.۴ درصد تغییر اندکی داشته، چون مخرج هم رشد کرده است، اما مانده‌ی غیرجاری آن ۶.۸ برابر شده است. نسبت غیرجاری سایر پرتفوی در ۱۴۰۴ از ۲.۶ به ۵.۴ درصد رسیده و در یک سال دو برابر شده است. برنامه‌ی اصلاحی باید هر دو کانون را پوشش دهد.</w:t>
      </w:r>
    </w:p>
    <w:p>
      <w:pPr>
        <w:pStyle w:val="Heading3"/>
        <w:keepNext/>
        <w:bidi/>
        <w:spacing w:after="160" w:before="300"/>
        <w:jc w:val="left"/>
      </w:pPr>
      <w:r>
        <w:rPr>
          <w:rFonts w:ascii="B Titr" w:cs="B Titr" w:eastAsia="B Titr" w:hAnsi="B Titr"/>
          <w:b w:val="false"/>
          <w:bCs w:val="false"/>
          <w:color w:val="000000"/>
          <w:sz w:val="26"/>
          <w:szCs w:val="26"/>
          <w:rtl/>
        </w:rPr>
        <w:t xml:space="preserve">۶.۴.۴ شفافیت اطلاعات مشتری در این بخش</w:t>
      </w:r>
    </w:p>
    <w:p>
      <w:pPr>
        <w:bidi/>
        <w:spacing w:after="160" w:line="312"/>
        <w:jc w:val="left"/>
      </w:pPr>
      <w:r>
        <w:rPr>
          <w:rFonts w:ascii="Cambria" w:cs="B Nazanin" w:eastAsia="B Nazanin" w:hAnsi="Cambria"/>
          <w:color w:val="000000"/>
          <w:sz w:val="22"/>
          <w:szCs w:val="26"/>
          <w:rtl/>
        </w:rPr>
        <w:t xml:space="preserve">۱۲.۸۶ درصد از مانده‌ی اعتبارات اسنادی (۲۱۱ قرارداد از ۲۰,۷۳۳ قرارداد بخش) به مشتری مشخصی قابل انتساب است و باقی مانده، رکورد قرارداد و مشتری ندارد. به همین دلیل تحلیل تمرکز مشتری و پوشش وثیقه برای این بخش نمونه‌ای است. دریافت فهرست کامل قراردادها با مشتری، وثیقه و طبقه‌ی هر یک (بخش ۹.۴) امکان تحلیل کامل این بخش را فراهم می‌کند. تعداد اعتبارات اسنادی در آمار رسمی ۱۲/۱۴۰۴ (۸۵۳ فقره) با تعداد قراردادهای دارای این برچسب در پایگاه (۲۰,۷۳۳) متفاوت است و تعریف این دو در بخش ۹.۵ پرسیده شده است.</w:t>
      </w:r>
    </w:p>
    <w:p>
      <w:pPr>
        <w:pStyle w:val="Heading2"/>
        <w:keepNext/>
        <w:bidi/>
        <w:spacing w:after="160" w:before="300"/>
        <w:jc w:val="left"/>
      </w:pPr>
      <w:bookmarkStart w:name="_Toc54" w:id="54"/>
      <w:r>
        <w:rPr>
          <w:rFonts w:ascii="B Titr" w:cs="B Titr" w:eastAsia="B Titr" w:hAnsi="B Titr"/>
          <w:b w:val="false"/>
          <w:bCs w:val="false"/>
          <w:color w:val="000000"/>
          <w:sz w:val="26"/>
          <w:szCs w:val="26"/>
          <w:rtl/>
        </w:rPr>
        <w:t xml:space="preserve">۶.۵ کیفیت دارایی بر حسب اندازه</w:t>
      </w:r>
      <w:bookmarkEnd w:id="54"/>
    </w:p>
    <w:p>
      <w:pPr>
        <w:pStyle w:val="Heading3"/>
        <w:keepNext/>
        <w:bidi/>
        <w:spacing w:after="160" w:before="300"/>
        <w:jc w:val="left"/>
      </w:pPr>
      <w:r>
        <w:rPr>
          <w:rFonts w:ascii="B Titr" w:cs="B Titr" w:eastAsia="B Titr" w:hAnsi="B Titr"/>
          <w:b w:val="false"/>
          <w:bCs w:val="false"/>
          <w:color w:val="000000"/>
          <w:sz w:val="26"/>
          <w:szCs w:val="26"/>
          <w:rtl/>
        </w:rPr>
        <w:t xml:space="preserve">۶.۵.۱ اندازه‌ی وام</w:t>
      </w:r>
    </w:p>
    <w:p>
      <w:pPr>
        <w:keepNext/>
        <w:spacing w:after="60" w:before="160"/>
        <w:jc w:val="center"/>
      </w:pPr>
      <w:r>
        <w:drawing>
          <wp:inline distT="0" distB="0" distL="0" distR="0">
            <wp:extent cx="5715000" cy="21431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21431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۶-۳: نسبت مطالبات غیرجاری به تفکیک اندازه‌ی وام</w:t>
      </w:r>
    </w:p>
    <w:p>
      <w:pPr>
        <w:keepNext/>
        <w:bidi/>
        <w:spacing w:after="100" w:before="200"/>
        <w:jc w:val="left"/>
      </w:pPr>
      <w:r>
        <w:rPr>
          <w:rFonts w:ascii="B Nazanin" w:cs="B Nazanin" w:eastAsia="B Nazanin" w:hAnsi="B Nazanin"/>
          <w:b/>
          <w:bCs/>
          <w:color w:val="000000"/>
          <w:sz w:val="22"/>
          <w:szCs w:val="22"/>
          <w:rtl/>
        </w:rPr>
        <w:t xml:space="preserve">جدول ۶-۷: مطالبات غیرجاری به تفکیک اندازه‌ی وام (مبنای الف-۱،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38"/>
        <w:gridCol w:w="1874"/>
        <w:gridCol w:w="1340"/>
        <w:gridCol w:w="1978"/>
        <w:gridCol w:w="1820"/>
      </w:tblGrid>
      <w:tr>
        <w:trPr>
          <w:cantSplit/>
          <w:tblHeader/>
        </w:trPr>
        <w:tc>
          <w:tcPr>
            <w:tcW w:type="dxa" w:w="23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بازه‌ی مبلغ اعطا</w:t>
            </w:r>
          </w:p>
        </w:tc>
        <w:tc>
          <w:tcPr>
            <w:tcW w:type="dxa" w:w="187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134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w:t>
            </w:r>
          </w:p>
        </w:tc>
        <w:tc>
          <w:tcPr>
            <w:tcW w:type="dxa" w:w="197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مطالبات غیرجاری</w:t>
            </w:r>
          </w:p>
        </w:tc>
        <w:tc>
          <w:tcPr>
            <w:tcW w:type="dxa" w:w="182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کمتر از ۵۰ میلیون تومان</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۷۶,۵۱۶</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۷.۲</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۰.۰۴</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۰.۶٪</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 تا ۲۰۰ میلیون</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۲۷۳,۵۳۴</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۲۱.۴</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۰.۴۹</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۲۰۰ میلیون تا ۱ میلیارد</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۱۰۳,۹۱۱</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۲۶.۲</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۰.۵۲</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 تا ۵ میلیارد</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۵,۳۶۳</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۰.۵۹</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۵.۷٪</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۵ میلیارد</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۲,۲۹۵</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۳۴.۲</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۳.۵۴</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۱۰.۴٪</w:t>
            </w:r>
          </w:p>
        </w:tc>
      </w:tr>
      <w:tr>
        <w:trPr>
          <w:cantSplit/>
        </w:trPr>
        <w:tc>
          <w:tcPr>
            <w:tcW w:type="dxa" w:w="23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87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۴۶۱,۶۱۹</w:t>
            </w:r>
          </w:p>
        </w:tc>
        <w:tc>
          <w:tcPr>
            <w:tcW w:type="dxa" w:w="134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۹۹.۵</w:t>
            </w:r>
          </w:p>
        </w:tc>
        <w:tc>
          <w:tcPr>
            <w:tcW w:type="dxa" w:w="197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۵.۱۹</w:t>
            </w:r>
          </w:p>
        </w:tc>
        <w:tc>
          <w:tcPr>
            <w:tcW w:type="dxa" w:w="18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۵.۲۱٪</w:t>
            </w:r>
          </w:p>
        </w:tc>
      </w:tr>
    </w:tbl>
    <w:p>
      <w:pPr>
        <w:spacing w:after="200"/>
      </w:pPr>
    </w:p>
    <w:p>
      <w:pPr>
        <w:bidi/>
        <w:spacing w:after="160" w:line="312"/>
        <w:jc w:val="left"/>
      </w:pPr>
      <w:r>
        <w:rPr>
          <w:rFonts w:ascii="Cambria" w:cs="B Nazanin" w:eastAsia="B Nazanin" w:hAnsi="Cambria"/>
          <w:color w:val="000000"/>
          <w:sz w:val="22"/>
          <w:szCs w:val="26"/>
          <w:rtl/>
        </w:rPr>
        <w:t xml:space="preserve">جدول ۶-۷ و نمودار ۶-۳ نشان می‌دهند نسبت غیرجاری با اندازه‌ی وام تقریباً یکنواخت افزایش می‌یابد و از ۰.۶ درصد در کوچک‌ترین بازه به ۱۰.۴ درصد در بزرگ‌ترین بازه می‌رسد (حدود هفده برابر). بزرگ‌ترین بازه با ۲,۲۹۵ قرارداد، یعنی حدود نیم درصد قراردادهای جدول، ۳.۵ هزار میلیارد تومان، معادل ۶۸.۳ درصد مطالبات غیرجاری بخش دارای رکورد را شامل می‌شود. ریسک اعتباری این بخش به تعداد اندکی وام بزرگ تعلق دارد و در بخش دارای رکورد، تسهیلات خرد کمتر از ۵۰ میلیون تومان با ۰.۶ درصد کمترین نسبت غیرجاری را دارند. بخش ۶.۱۰ تمرکز تک‌نامی را در همین پیوند بررسی می‌کند.</w:t>
      </w:r>
    </w:p>
    <w:p>
      <w:pPr>
        <w:pStyle w:val="Heading3"/>
        <w:keepNext/>
        <w:bidi/>
        <w:spacing w:after="160" w:before="300"/>
        <w:jc w:val="left"/>
      </w:pPr>
      <w:r>
        <w:rPr>
          <w:rFonts w:ascii="B Titr" w:cs="B Titr" w:eastAsia="B Titr" w:hAnsi="B Titr"/>
          <w:b w:val="false"/>
          <w:bCs w:val="false"/>
          <w:color w:val="000000"/>
          <w:sz w:val="26"/>
          <w:szCs w:val="26"/>
          <w:rtl/>
        </w:rPr>
        <w:t xml:space="preserve">۶.۵.۲ اندازه‌ی شعبه</w:t>
      </w:r>
    </w:p>
    <w:p>
      <w:pPr>
        <w:keepNext/>
        <w:spacing w:after="60" w:before="160"/>
        <w:jc w:val="center"/>
      </w:pPr>
      <w:r>
        <w:drawing>
          <wp:inline distT="0" distB="0" distL="0" distR="0">
            <wp:extent cx="5715000" cy="21431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1431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۶-۴: نسبت مطالبات غیرجاری به تفکیک چارک اندازه‌ی شعبه</w:t>
      </w:r>
    </w:p>
    <w:p>
      <w:pPr>
        <w:keepNext/>
        <w:bidi/>
        <w:spacing w:after="100" w:before="200"/>
        <w:jc w:val="left"/>
      </w:pPr>
      <w:r>
        <w:rPr>
          <w:rFonts w:ascii="B Nazanin" w:cs="B Nazanin" w:eastAsia="B Nazanin" w:hAnsi="B Nazanin"/>
          <w:b/>
          <w:bCs/>
          <w:color w:val="000000"/>
          <w:sz w:val="22"/>
          <w:szCs w:val="22"/>
          <w:rtl/>
        </w:rPr>
        <w:t xml:space="preserve">جدول ۶-۸: مطالبات غیرجاری به تفکیک اندازه‌ی شعبه (مبنای الف-۱، ۴۴۷ شعبه، مانده بر حسب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42"/>
        <w:gridCol w:w="2277"/>
        <w:gridCol w:w="1794"/>
        <w:gridCol w:w="2437"/>
      </w:tblGrid>
      <w:tr>
        <w:trPr>
          <w:cantSplit/>
          <w:tblHeader/>
        </w:trPr>
        <w:tc>
          <w:tcPr>
            <w:tcW w:type="dxa" w:w="284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چارک اندازه‌ی شعبه</w:t>
            </w:r>
          </w:p>
        </w:tc>
        <w:tc>
          <w:tcPr>
            <w:tcW w:type="dxa" w:w="22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شعبه</w:t>
            </w:r>
          </w:p>
        </w:tc>
        <w:tc>
          <w:tcPr>
            <w:tcW w:type="dxa" w:w="179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w:t>
            </w:r>
          </w:p>
        </w:tc>
        <w:tc>
          <w:tcPr>
            <w:tcW w:type="dxa" w:w="24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w:t>
            </w:r>
          </w:p>
        </w:tc>
      </w:tr>
      <w:tr>
        <w:trPr>
          <w:cantSplit/>
        </w:trPr>
        <w:tc>
          <w:tcPr>
            <w:tcW w:type="dxa" w:w="28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کوچک‌ترین چارک</w:t>
            </w:r>
          </w:p>
        </w:tc>
        <w:tc>
          <w:tcPr>
            <w:tcW w:type="dxa" w:w="22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w:t>
            </w:r>
          </w:p>
        </w:tc>
        <w:tc>
          <w:tcPr>
            <w:tcW w:type="dxa" w:w="17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c>
          <w:tcPr>
            <w:tcW w:type="dxa" w:w="24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۲.۹٪</w:t>
            </w:r>
          </w:p>
        </w:tc>
      </w:tr>
      <w:tr>
        <w:trPr>
          <w:cantSplit/>
        </w:trPr>
        <w:tc>
          <w:tcPr>
            <w:tcW w:type="dxa" w:w="28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چارک دوم</w:t>
            </w:r>
          </w:p>
        </w:tc>
        <w:tc>
          <w:tcPr>
            <w:tcW w:type="dxa" w:w="22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w:t>
            </w:r>
          </w:p>
        </w:tc>
        <w:tc>
          <w:tcPr>
            <w:tcW w:type="dxa" w:w="17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w:t>
            </w:r>
          </w:p>
        </w:tc>
        <w:tc>
          <w:tcPr>
            <w:tcW w:type="dxa" w:w="24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r>
      <w:tr>
        <w:trPr>
          <w:cantSplit/>
        </w:trPr>
        <w:tc>
          <w:tcPr>
            <w:tcW w:type="dxa" w:w="28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چارک سوم</w:t>
            </w:r>
          </w:p>
        </w:tc>
        <w:tc>
          <w:tcPr>
            <w:tcW w:type="dxa" w:w="22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۱۱۱</w:t>
            </w:r>
          </w:p>
        </w:tc>
        <w:tc>
          <w:tcPr>
            <w:tcW w:type="dxa" w:w="17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۱۸.۲</w:t>
            </w:r>
          </w:p>
        </w:tc>
        <w:tc>
          <w:tcPr>
            <w:tcW w:type="dxa" w:w="24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r>
      <w:tr>
        <w:trPr>
          <w:cantSplit/>
        </w:trPr>
        <w:tc>
          <w:tcPr>
            <w:tcW w:type="dxa" w:w="284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بزرگ‌ترین چارک</w:t>
            </w:r>
          </w:p>
        </w:tc>
        <w:tc>
          <w:tcPr>
            <w:tcW w:type="dxa" w:w="22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w:t>
            </w:r>
          </w:p>
        </w:tc>
        <w:tc>
          <w:tcPr>
            <w:tcW w:type="dxa" w:w="17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۶۳.۸</w:t>
            </w:r>
          </w:p>
        </w:tc>
        <w:tc>
          <w:tcPr>
            <w:tcW w:type="dxa" w:w="24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۵.۸٪</w:t>
            </w:r>
          </w:p>
        </w:tc>
      </w:tr>
    </w:tbl>
    <w:p>
      <w:pPr>
        <w:spacing w:after="200"/>
      </w:pPr>
    </w:p>
    <w:p>
      <w:pPr>
        <w:bidi/>
        <w:spacing w:after="160" w:line="312"/>
        <w:jc w:val="left"/>
      </w:pPr>
      <w:r>
        <w:rPr>
          <w:rFonts w:ascii="Cambria" w:cs="B Nazanin" w:eastAsia="B Nazanin" w:hAnsi="Cambria"/>
          <w:color w:val="000000"/>
          <w:sz w:val="22"/>
          <w:szCs w:val="26"/>
          <w:rtl/>
        </w:rPr>
        <w:t xml:space="preserve">طبق جدول ۶-۸ و نمودار ۶-۴ نسبت غیرجاری از ۲.۹ به ۵.۸ درصد، یعنی حدود دو برابر، افزایش می‌یابد؛ شیب این الگو از شیب اندازه‌ی وام (حدود هفده برابر) ملایم‌تر است. چون شعب بزرگ‌تر وام‌های بزرگ‌تر می‌دهند، بخش مهمی از این الگو ممکن است بازتاب اثر اندازه‌ی وام باشد و بر ارزیابی عملکرد شعب دلالت نمی‌کند. بزرگ‌ترین چارک ۶۴.۱ درصد مانده‌ی جدول (۶۳.۸ از ۹۹.۵) را دارد و معرف بخش عمده‌ی پرتفوی است. تفکیک اثر اندازه‌ی وام از اثر شعبه با تحلیل چندمتغیره در فاز ۲ انجام می‌شود.</w:t>
      </w:r>
    </w:p>
    <w:p>
      <w:pPr>
        <w:pStyle w:val="Heading2"/>
        <w:keepNext/>
        <w:bidi/>
        <w:spacing w:after="160" w:before="300"/>
        <w:jc w:val="left"/>
      </w:pPr>
      <w:bookmarkStart w:name="_Toc55" w:id="55"/>
      <w:r>
        <w:rPr>
          <w:rFonts w:ascii="B Titr" w:cs="B Titr" w:eastAsia="B Titr" w:hAnsi="B Titr"/>
          <w:b w:val="false"/>
          <w:bCs w:val="false"/>
          <w:color w:val="000000"/>
          <w:sz w:val="26"/>
          <w:szCs w:val="26"/>
          <w:rtl/>
        </w:rPr>
        <w:t xml:space="preserve">۶.۶ کیفیت دارایی بر حسب نسل اعطا</w:t>
      </w:r>
      <w:bookmarkEnd w:id="55"/>
    </w:p>
    <w:p>
      <w:pPr>
        <w:bidi/>
        <w:spacing w:after="160" w:line="312"/>
        <w:jc w:val="left"/>
      </w:pPr>
      <w:r>
        <w:rPr>
          <w:rFonts w:ascii="Cambria" w:cs="B Nazanin" w:eastAsia="B Nazanin" w:hAnsi="Cambria"/>
          <w:color w:val="000000"/>
          <w:sz w:val="22"/>
          <w:szCs w:val="26"/>
          <w:rtl/>
        </w:rPr>
        <w:t xml:space="preserve">تحلیل نسل، قراردادها را بر اساس سال اعطا گروه‌بندی می‌کند و اثر رشد پرتفوی را خنثی می‌کند؛ برای ارزیابی سیاست اعتباری هر سال سنجه‌ی مناسبی است.</w:t>
      </w:r>
    </w:p>
    <w:p>
      <w:pPr>
        <w:keepNext/>
        <w:spacing w:after="60" w:before="160"/>
        <w:jc w:val="center"/>
      </w:pPr>
      <w:r>
        <w:drawing>
          <wp:inline distT="0" distB="0" distL="0" distR="0">
            <wp:extent cx="5715000" cy="214312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21431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۶-۵: نسبت مطالبات غیرجاری به تفکیک سال اعطای تسهیلات</w:t>
      </w:r>
    </w:p>
    <w:p>
      <w:pPr>
        <w:keepNext/>
        <w:bidi/>
        <w:spacing w:after="100" w:before="200"/>
        <w:jc w:val="left"/>
      </w:pPr>
      <w:r>
        <w:rPr>
          <w:rFonts w:ascii="B Nazanin" w:cs="B Nazanin" w:eastAsia="B Nazanin" w:hAnsi="B Nazanin"/>
          <w:b/>
          <w:bCs/>
          <w:color w:val="000000"/>
          <w:sz w:val="22"/>
          <w:szCs w:val="22"/>
          <w:rtl/>
        </w:rPr>
        <w:t xml:space="preserve">جدول ۶-۹: کیفیت نسل‌های اعطا (مبنای الف-۱، ۱۲/۱۴۰۴،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11"/>
        <w:gridCol w:w="2041"/>
        <w:gridCol w:w="1459"/>
        <w:gridCol w:w="2155"/>
        <w:gridCol w:w="1984"/>
      </w:tblGrid>
      <w:tr>
        <w:trPr>
          <w:cantSplit/>
          <w:tblHeader/>
        </w:trPr>
        <w:tc>
          <w:tcPr>
            <w:tcW w:type="dxa" w:w="171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سال اعطا</w:t>
            </w:r>
          </w:p>
        </w:tc>
        <w:tc>
          <w:tcPr>
            <w:tcW w:type="dxa" w:w="204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145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w:t>
            </w:r>
          </w:p>
        </w:tc>
        <w:tc>
          <w:tcPr>
            <w:tcW w:type="dxa" w:w="21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مطالبات غیرجاری</w:t>
            </w:r>
          </w:p>
        </w:tc>
        <w:tc>
          <w:tcPr>
            <w:tcW w:type="dxa" w:w="198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۱۳۹۹</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۱۰,۰۴۸</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۵.۸۷</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۰.۰۹</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۱.۵۷٪</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۲۹,۳۳۷</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۱.۹۵</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۰.۰۸</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۴.۳۲٪</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۶۲,۰۷۹</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۴.۴۲</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۰.۳۸</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۸.۵۶٪</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۹۶,۷۴۰</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۷.۶۸</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۰.۷۲</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۹.۳۳٪</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۱۱۶,۵۵۱</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۲۰.۳۴</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۲.۶۵</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۱۳.۰۵٪</w:t>
            </w:r>
          </w:p>
        </w:tc>
      </w:tr>
      <w:tr>
        <w:trPr>
          <w:cantSplit/>
        </w:trPr>
        <w:tc>
          <w:tcPr>
            <w:tcW w:type="dxa" w:w="17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204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۱۴۶,۸۶۴</w:t>
            </w:r>
          </w:p>
        </w:tc>
        <w:tc>
          <w:tcPr>
            <w:tcW w:type="dxa" w:w="14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۵۹.۲۰</w:t>
            </w:r>
          </w:p>
        </w:tc>
        <w:tc>
          <w:tcPr>
            <w:tcW w:type="dxa" w:w="21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w:t>
            </w:r>
          </w:p>
        </w:tc>
        <w:tc>
          <w:tcPr>
            <w:tcW w:type="dxa" w:w="198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۲.۱۳٪</w:t>
            </w:r>
          </w:p>
        </w:tc>
      </w:tr>
    </w:tbl>
    <w:p>
      <w:pPr>
        <w:spacing w:after="200"/>
      </w:pPr>
    </w:p>
    <w:p>
      <w:pPr>
        <w:bidi/>
        <w:spacing w:after="160" w:line="312"/>
        <w:jc w:val="left"/>
      </w:pPr>
      <w:r>
        <w:rPr>
          <w:rFonts w:ascii="Cambria" w:cs="B Nazanin" w:eastAsia="B Nazanin" w:hAnsi="Cambria"/>
          <w:color w:val="000000"/>
          <w:sz w:val="22"/>
          <w:szCs w:val="26"/>
          <w:rtl/>
        </w:rPr>
        <w:t xml:space="preserve">جدول ۶-۹ و نمودار ۶-۵ نشان می‌دهند نسل ۱۴۰۳ با نسبت ۱۳.۰۵ درصد بدترین عملکرد را دارد و ۲.۶۵ هزار میلیارد تومان مطالبات غیرجاری آن ۵۱.۱ درصد مطالبات غیرجاری بخش دارای رکورد را شامل می‌شود. نسبت نسل‌های ۱۳۹۹ تا ۱۴۰۳ پیوسته از ۱.۵۷ به ۱۳.۰۵ درصد افزایش یافته است. داده‌ی فعلی سهم سیاست اعطا و شرایط اقتصادی را در این روند جدا نمی‌کند.</w:t>
      </w:r>
    </w:p>
    <w:p>
      <w:pPr>
        <w:bidi/>
        <w:spacing w:after="160" w:line="312"/>
        <w:jc w:val="left"/>
      </w:pPr>
      <w:r>
        <w:rPr>
          <w:rFonts w:ascii="Cambria" w:cs="B Nazanin" w:eastAsia="B Nazanin" w:hAnsi="Cambria"/>
          <w:color w:val="000000"/>
          <w:sz w:val="22"/>
          <w:szCs w:val="26"/>
          <w:rtl/>
        </w:rPr>
        <w:t xml:space="preserve">نسبت ۲.۱۳ درصد نسل ۱۴۰۴ بهبود کیفیت نیست: تسهیلات این نسل حداکثر دوازده ماه عمر دارند و بخش عمده‌ی آن‌ها هنوز به مرحله‌ی نکول نرسیده‌اند. نسبت غیرجاری نسل‌های جدید با گذشت زمان بالا می‌رود و رقم ۱۴۰۴ هنوز بیانگر ریسک نهایی این نسل نیست.</w:t>
      </w:r>
    </w:p>
    <w:p>
      <w:pPr>
        <w:bidi/>
        <w:spacing w:after="160" w:line="312"/>
        <w:jc w:val="left"/>
      </w:pPr>
      <w:r>
        <w:rPr>
          <w:rFonts w:ascii="Cambria" w:cs="B Nazanin" w:eastAsia="B Nazanin" w:hAnsi="Cambria"/>
          <w:color w:val="000000"/>
          <w:sz w:val="22"/>
          <w:szCs w:val="26"/>
          <w:rtl/>
        </w:rPr>
        <w:t xml:space="preserve">نسل ۱۴۰۴ با ۵۹.۲ هزار میلیارد تومان بزرگ‌ترین نسل در داده‌ی قرارداد (از ۱۳۹۹) و بزرگ‌تر از مجموع پنج نسل پیشین (۴۰.۳ هزار میلیارد تومان) است. در یک تمرین حساسیت، اگر این نسل به نسبت ۱۳.۰۵ درصد نسل ۱۴۰۳ برسد، مطالبات غیرجاری آن حدود ۷.۷ هزار میلیارد تومان، یعنی حدود ۶۹ درصد مطالبات غیرجاری فعلی نمونه (۱۱.۲)، می‌شود؛ این محاسبه پیش‌بینی نیست. این یافته با شاخص‌های بخش ۶.۸ پیوند دارد.</w:t>
      </w:r>
    </w:p>
    <w:p>
      <w:pPr>
        <w:pStyle w:val="Heading2"/>
        <w:keepNext/>
        <w:bidi/>
        <w:spacing w:after="160" w:before="300"/>
        <w:jc w:val="left"/>
      </w:pPr>
      <w:bookmarkStart w:name="_Toc56" w:id="56"/>
      <w:r>
        <w:rPr>
          <w:rFonts w:ascii="B Titr" w:cs="B Titr" w:eastAsia="B Titr" w:hAnsi="B Titr"/>
          <w:b w:val="false"/>
          <w:bCs w:val="false"/>
          <w:color w:val="000000"/>
          <w:sz w:val="26"/>
          <w:szCs w:val="26"/>
          <w:rtl/>
        </w:rPr>
        <w:t xml:space="preserve">۶.۷ تعداد طرف‌های قرارداد و ریسک</w:t>
      </w:r>
      <w:bookmarkEnd w:id="56"/>
    </w:p>
    <w:p>
      <w:pPr>
        <w:bidi/>
        <w:spacing w:after="160" w:line="312"/>
        <w:jc w:val="left"/>
      </w:pPr>
      <w:r>
        <w:rPr>
          <w:rFonts w:ascii="Cambria" w:cs="B Nazanin" w:eastAsia="B Nazanin" w:hAnsi="Cambria"/>
          <w:color w:val="000000"/>
          <w:sz w:val="22"/>
          <w:szCs w:val="26"/>
          <w:rtl/>
        </w:rPr>
        <w:t xml:space="preserve">در جدول مانده‌ی تسهیلات، هر قرارداد به‌ازای هر طرف (وام‌گیرنده، ضامن و شریک) یک ردیف دارد. گروه «یک طرف» یعنی تنها یک طرف برای قرارداد ثبت شده است.</w:t>
      </w:r>
    </w:p>
    <w:p>
      <w:pPr>
        <w:keepNext/>
        <w:spacing w:after="60" w:before="160"/>
        <w:jc w:val="center"/>
      </w:pPr>
      <w:r>
        <w:drawing>
          <wp:inline distT="0" distB="0" distL="0" distR="0">
            <wp:extent cx="5715000" cy="22383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2383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۶-۶: نسبت مطالبات غیرجاری بر حسب تعداد طرف‌های قرارداد، با و بدون اعتبارات اسنادی</w:t>
      </w:r>
    </w:p>
    <w:p>
      <w:pPr>
        <w:keepNext/>
        <w:bidi/>
        <w:spacing w:after="100" w:before="200"/>
        <w:jc w:val="left"/>
      </w:pPr>
      <w:r>
        <w:rPr>
          <w:rFonts w:ascii="B Nazanin" w:cs="B Nazanin" w:eastAsia="B Nazanin" w:hAnsi="B Nazanin"/>
          <w:b/>
          <w:bCs/>
          <w:color w:val="000000"/>
          <w:sz w:val="22"/>
          <w:szCs w:val="22"/>
          <w:rtl/>
        </w:rPr>
        <w:t xml:space="preserve">جدول ۶-۱۰: مطالبات غیرجاری بر حسب تعداد طرف‌های قرارداد (مبنای الف، ۱۲/۱۴۰۴،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4"/>
        <w:gridCol w:w="1499"/>
        <w:gridCol w:w="1072"/>
        <w:gridCol w:w="1583"/>
        <w:gridCol w:w="1455"/>
        <w:gridCol w:w="1937"/>
      </w:tblGrid>
      <w:tr>
        <w:trPr>
          <w:cantSplit/>
          <w:tblHeader/>
        </w:trPr>
        <w:tc>
          <w:tcPr>
            <w:tcW w:type="dxa" w:w="180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طرف‌های قرارداد</w:t>
            </w:r>
          </w:p>
        </w:tc>
        <w:tc>
          <w:tcPr>
            <w:tcW w:type="dxa" w:w="149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قرارداد</w:t>
            </w:r>
          </w:p>
        </w:tc>
        <w:tc>
          <w:tcPr>
            <w:tcW w:type="dxa" w:w="107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w:t>
            </w:r>
          </w:p>
        </w:tc>
        <w:tc>
          <w:tcPr>
            <w:tcW w:type="dxa" w:w="15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مطالبات غیرجاری</w:t>
            </w:r>
          </w:p>
        </w:tc>
        <w:tc>
          <w:tcPr>
            <w:tcW w:type="dxa" w:w="14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غیرجاری</w:t>
            </w:r>
          </w:p>
        </w:tc>
        <w:tc>
          <w:tcPr>
            <w:tcW w:type="dxa" w:w="19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بدون اعتبارات اسنادی</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یک</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۹۷۲,۷۳۴</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۸۰.۹</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۸.۵۶</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۱۰.۵۸٪</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۵.۴۵٪</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دو تا سه</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۳۳۲,۹۲۲</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۴۲.۹</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۲.۲۸</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۵.۳۳٪</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۵.۱۱٪</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چهار تا شش</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۱۶,۵۸۹</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۰.۳۸</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۸.۸۵٪</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۸.۷۱٪</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هفت تا ده</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۰.۰۰</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w:t>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یازده و بیشتر</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۰.۰۰</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180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جمع</w:t>
            </w:r>
          </w:p>
        </w:tc>
        <w:tc>
          <w:tcPr>
            <w:tcW w:type="dxa" w:w="149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۱,۳۲۲,۳۰۳</w:t>
            </w:r>
          </w:p>
        </w:tc>
        <w:tc>
          <w:tcPr>
            <w:tcW w:type="dxa" w:w="107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۱۲۸.۲</w:t>
            </w:r>
          </w:p>
        </w:tc>
        <w:tc>
          <w:tcPr>
            <w:tcW w:type="dxa" w:w="15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۱۱.۲۲</w:t>
            </w:r>
          </w:p>
        </w:tc>
        <w:tc>
          <w:tcPr>
            <w:tcW w:type="dxa" w:w="14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۸.۷۶٪</w:t>
            </w:r>
          </w:p>
        </w:tc>
        <w:tc>
          <w:tcPr>
            <w:tcW w:type="dxa" w:w="19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۵.۴۴٪</w:t>
            </w:r>
          </w:p>
        </w:tc>
      </w:tr>
    </w:tbl>
    <w:p>
      <w:pPr>
        <w:spacing w:after="200"/>
      </w:pPr>
    </w:p>
    <w:p>
      <w:pPr>
        <w:bidi/>
        <w:spacing w:after="160" w:line="312"/>
        <w:jc w:val="left"/>
      </w:pPr>
      <w:r>
        <w:rPr>
          <w:rFonts w:ascii="Cambria" w:cs="B Nazanin" w:eastAsia="B Nazanin" w:hAnsi="Cambria"/>
          <w:color w:val="000000"/>
          <w:sz w:val="22"/>
          <w:szCs w:val="26"/>
          <w:rtl/>
        </w:rPr>
        <w:t xml:space="preserve">جدول ۶-۱۰ و نمودار ۶-۶ ۱۰۰ درصد پرتفوی را پوشش می‌دهند. گروه «یک طرف» بالاترین نسبت (۱۰.۵۸ درصد) را دارد، اما ۲۰,۵۱۹ از ۲۰,۷۳۳ قرارداد اعتبارات اسنادی در این گروه‌اند. بدون اعتبارات اسنادی، نسبت گروه «یک طرف» ۵.۴۵ درصد و نسبت گروه «دو تا سه طرف» ۵.۱۱ درصد است و تفاوت قابل‌توجهی میان آن‌ها دیده نمی‌شود؛ گروه «چهار تا شش طرف» ۸.۷۱ درصد دارد. در داده‌ی فعلی رابطه‌ی روشنی میان تعداد طرف‌های قرارداد و نسبت غیرجاری وجود ندارد. اثر سیاست ضمانت پس از کنترل اندازه‌ی وام، نوع عقد و وثیقه با تحلیل چندمتغیره در فاز ۲ بررسی می‌شود. دو گروه آخر جدول روی هم ۵۸ قرارداد دارند و نسبت آن‌ها از نظر آماری معنادار نیست.</w:t>
      </w:r>
    </w:p>
    <w:p>
      <w:pPr>
        <w:pStyle w:val="Heading2"/>
        <w:keepNext/>
        <w:bidi/>
        <w:spacing w:after="160" w:before="300"/>
        <w:jc w:val="left"/>
      </w:pPr>
      <w:bookmarkStart w:name="_Toc57" w:id="57"/>
      <w:r>
        <w:rPr>
          <w:rFonts w:ascii="B Titr" w:cs="B Titr" w:eastAsia="B Titr" w:hAnsi="B Titr"/>
          <w:b w:val="false"/>
          <w:bCs w:val="false"/>
          <w:color w:val="000000"/>
          <w:sz w:val="26"/>
          <w:szCs w:val="26"/>
          <w:rtl/>
        </w:rPr>
        <w:t xml:space="preserve">۶.۸ ماتریس انتقال وضعیت</w:t>
      </w:r>
      <w:bookmarkEnd w:id="57"/>
    </w:p>
    <w:p>
      <w:pPr>
        <w:bidi/>
        <w:spacing w:after="160" w:line="312"/>
        <w:jc w:val="left"/>
      </w:pPr>
      <w:r>
        <w:rPr>
          <w:rFonts w:ascii="Cambria" w:cs="B Nazanin" w:eastAsia="B Nazanin" w:hAnsi="Cambria"/>
          <w:color w:val="000000"/>
          <w:sz w:val="22"/>
          <w:szCs w:val="26"/>
          <w:rtl/>
        </w:rPr>
        <w:t xml:space="preserve">نسبت‌های ایستا وضعیت را در یک مقطع نشان می‌دهند. ماتریس انتقال پویایی را می‌سنجد: چه سهمی از قراردادهای هر طبقه در ماه بعد به طبقه‌ی دیگری منتقل شده است. جدول ۶-۱۱ انتقال از بهمن به اسفند را در دو سال متوالی مقایسه می‌کند. نرخ مهاجرت از طبقه‌ی جاری به طبقات غیرجاری پیش از آن‌که در نسبت‌های ایستا ظاهر شود، مطالبات غیرجاری آینده را نشان می‌دهد.</w:t>
      </w:r>
    </w:p>
    <w:p>
      <w:pPr>
        <w:keepNext/>
        <w:spacing w:after="60" w:before="160"/>
        <w:jc w:val="center"/>
      </w:pPr>
      <w:r>
        <w:drawing>
          <wp:inline distT="0" distB="0" distL="0" distR="0">
            <wp:extent cx="5715000" cy="2619375"/>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6193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۶-۷: ماتریس انتقال یک‌ماهه‌ی وضعیت طبقه‌بندی مطالبات (درصد ردیفی)</w:t>
      </w:r>
    </w:p>
    <w:p>
      <w:pPr>
        <w:keepNext/>
        <w:bidi/>
        <w:spacing w:after="100" w:before="200"/>
        <w:jc w:val="left"/>
      </w:pPr>
      <w:r>
        <w:rPr>
          <w:rFonts w:ascii="B Nazanin" w:cs="B Nazanin" w:eastAsia="B Nazanin" w:hAnsi="B Nazanin"/>
          <w:b/>
          <w:bCs/>
          <w:color w:val="000000"/>
          <w:sz w:val="22"/>
          <w:szCs w:val="22"/>
          <w:rtl/>
        </w:rPr>
        <w:t xml:space="preserve">جدول ۶-۱۱: نرخ‌های کلیدی انتقال یک‌ماهه‌ی وضعیت (بهمن به اسفند در دو سال متوالی، درصدهای گردشده)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47"/>
        <w:gridCol w:w="2188"/>
        <w:gridCol w:w="2188"/>
        <w:gridCol w:w="2327"/>
      </w:tblGrid>
      <w:tr>
        <w:trPr>
          <w:cantSplit/>
          <w:tblHeader/>
        </w:trPr>
        <w:tc>
          <w:tcPr>
            <w:tcW w:type="dxa" w:w="26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شاخص</w:t>
            </w:r>
          </w:p>
        </w:tc>
        <w:tc>
          <w:tcPr>
            <w:tcW w:type="dxa" w:w="21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۱۱/۱۴۰۳ تا ۱۲/۱۴۰۳</w:t>
            </w:r>
          </w:p>
        </w:tc>
        <w:tc>
          <w:tcPr>
            <w:tcW w:type="dxa" w:w="218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۱۱/۱۴۰۴ تا ۱۲/۱۴۰۴</w:t>
            </w:r>
          </w:p>
        </w:tc>
        <w:tc>
          <w:tcPr>
            <w:tcW w:type="dxa" w:w="232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تغییر</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ماندگاری در طبقه‌ی جاری</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۹۵.۷۲٪</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۹۴.۴۴٪</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 واحد درصد کمتر</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مهاجرت از جاری به سررسیدگذشته</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۲.۵۲٪</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۴.۳۰٪</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۷۰ درصد افزایش نسبی</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بازگشت از سررسیدگذشته به جاری</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۳۷.۴۴٪</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۲۳.۱۶٪</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۳۸ درصد کاهش نسبی</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ماندگاری در سررسیدگذشته</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۵۵.۶۵٪</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۶۹.۸۲٪</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۱۴.۱۷ واحد درصد بیشتر</w:t>
            </w:r>
          </w:p>
        </w:tc>
      </w:tr>
      <w:tr>
        <w:trPr>
          <w:cantSplit/>
        </w:trPr>
        <w:tc>
          <w:tcPr>
            <w:tcW w:type="dxa" w:w="2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ماندگاری در مشکوک‌الوصول</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۸۳.۶۱٪</w:t>
            </w:r>
          </w:p>
        </w:tc>
        <w:tc>
          <w:tcPr>
            <w:tcW w:type="dxa" w:w="218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۹۶.۲۱٪</w:t>
            </w:r>
          </w:p>
        </w:tc>
        <w:tc>
          <w:tcPr>
            <w:tcW w:type="dxa" w:w="232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۱۲.۶۰ واحد درصد بیشتر</w:t>
            </w:r>
          </w:p>
        </w:tc>
      </w:tr>
    </w:tbl>
    <w:p>
      <w:pPr>
        <w:spacing w:after="200"/>
      </w:pPr>
    </w:p>
    <w:p>
      <w:pPr>
        <w:bidi/>
        <w:spacing w:after="160" w:line="312"/>
        <w:jc w:val="left"/>
      </w:pPr>
      <w:r>
        <w:rPr>
          <w:rFonts w:ascii="Cambria" w:cs="B Nazanin" w:eastAsia="B Nazanin" w:hAnsi="Cambria"/>
          <w:color w:val="000000"/>
          <w:sz w:val="22"/>
          <w:szCs w:val="26"/>
          <w:rtl/>
        </w:rPr>
        <w:t xml:space="preserve">جدول ۶-۱۱ و نمودار ۶-۷ سه شاخص هم‌جهت را نشان می‌دهند: نرخ یک‌ماهه‌ی مهاجرت از جاری به سررسیدگذشته از ۲.۵۲ به ۴.۳۰ درصد (۷۰ درصد بیشتر) رسیده و جریان ورودی به مطالبات غیرجاری شتاب گرفته است؛ نرخ یک‌ماهه‌ی بازگشت از سررسیدگذشته به جاری از ۳۷.۴۴ به ۲۳.۱۶ درصد (۳۸ درصد کمتر) رسیده و توان وصول مطالبات تازه‌معوق کاهش یافته است، که می‌تواند از تضعیف توان مالی وام‌گیرندگان یا کاهش اثربخشی وصول باشد؛ و ماندگاری در طبقات غیرجاری بیشتر شده است (سررسیدگذشته ۱۴ و مشکوک‌الوصول ۱۳ واحد درصد بیشتر). از هر صد قرارداد مشکوک‌الوصول، ۹۶ قرارداد یک ماه بعد در همان طبقه مانده‌اند.</w:t>
      </w:r>
    </w:p>
    <w:p>
      <w:pPr>
        <w:bidi/>
        <w:spacing w:after="160" w:line="312"/>
        <w:jc w:val="left"/>
      </w:pPr>
      <w:r>
        <w:rPr>
          <w:rFonts w:ascii="Cambria" w:cs="B Nazanin" w:eastAsia="B Nazanin" w:hAnsi="Cambria"/>
          <w:color w:val="000000"/>
          <w:sz w:val="22"/>
          <w:szCs w:val="26"/>
          <w:rtl/>
        </w:rPr>
        <w:t xml:space="preserve">این شاخص‌ها و بزرگی نسل ۱۴۰۴ (بخش ۶.۶) هشداری برای پایش ماهانه‌ی مطالبات غیرجاری در ۱۴۰۵ است، نه پیش‌بینی قطعی: مقایسه بر دو جفت ماه (بهمن به اسفند ۱۴۰۳ و ۱۴۰۴) مبتنی است و تغییر طبقه‌بندی ماه‌های پایانی ۱۴۰۴ (بخش ۶.۲.۳) را هم دربرمی‌گیرد. نرخ‌های انتقال در چند بازه و برآورد کمّی در فاز ۴ محاسبه می‌شوند.</w:t>
      </w:r>
    </w:p>
    <w:p>
      <w:pPr>
        <w:bidi/>
        <w:spacing w:after="160" w:line="312"/>
        <w:jc w:val="left"/>
      </w:pPr>
      <w:r>
        <w:rPr>
          <w:rFonts w:ascii="Cambria" w:cs="B Nazanin" w:eastAsia="B Nazanin" w:hAnsi="Cambria"/>
          <w:color w:val="000000"/>
          <w:sz w:val="22"/>
          <w:szCs w:val="26"/>
          <w:rtl/>
        </w:rPr>
        <w:t xml:space="preserve">وضعیت با شناسه‌ی </w:t>
      </w:r>
      <w:r>
        <w:rPr>
          <w:rFonts w:ascii="Cambria" w:cs="B Nazanin" w:eastAsia="B Nazanin" w:hAnsi="Cambria"/>
          <w:b w:val="false"/>
          <w:bCs w:val="false"/>
          <w:color w:val="000000"/>
          <w:sz w:val="22"/>
          <w:szCs w:val="26"/>
        </w:rPr>
        <w:t xml:space="preserve">X</w:t>
      </w:r>
      <w:r>
        <w:rPr>
          <w:rFonts w:ascii="Cambria" w:cs="B Nazanin" w:eastAsia="B Nazanin" w:hAnsi="Cambria"/>
          <w:color w:val="000000"/>
          <w:sz w:val="22"/>
          <w:szCs w:val="26"/>
          <w:rtl/>
        </w:rPr>
        <w:t xml:space="preserve"> (۷۲۳,۰۲۵ قرارداد) فاقد برچسب توصیفی است و با قرارداد تسویه‌شده یا فاقد مانده سازگار است: تعداد آن به قراردادهای دارای مانده‌ی صفر در ۱۲/۱۴۰۴ (۷۳۲,۰۴۵ مورد) نزدیک است، جریان ورودی آن عمدتاً از طبقه‌ی جاری (۶,۴۷۶ مورد) و جریان خروجی آن بسیار اندک (۶۵۵ مورد) است. این وضعیت از محاسبه‌ی نرخ‌های انتقال کنار گذاشته شده و تأیید بانک در بخش ۹.۵ پرسیده شده است.</w:t>
      </w:r>
    </w:p>
    <w:p>
      <w:pPr>
        <w:pStyle w:val="Heading2"/>
        <w:keepNext/>
        <w:bidi/>
        <w:spacing w:after="160" w:before="300"/>
        <w:jc w:val="left"/>
      </w:pPr>
      <w:bookmarkStart w:name="_Toc58" w:id="58"/>
      <w:r>
        <w:rPr>
          <w:rFonts w:ascii="B Titr" w:cs="B Titr" w:eastAsia="B Titr" w:hAnsi="B Titr"/>
          <w:b w:val="false"/>
          <w:bCs w:val="false"/>
          <w:color w:val="000000"/>
          <w:sz w:val="26"/>
          <w:szCs w:val="26"/>
          <w:rtl/>
        </w:rPr>
        <w:t xml:space="preserve">۶.۹ الگوی دیرکرد اقساط</w:t>
      </w:r>
      <w:bookmarkEnd w:id="58"/>
    </w:p>
    <w:p>
      <w:pPr>
        <w:bidi/>
        <w:spacing w:after="160" w:line="312"/>
        <w:jc w:val="left"/>
      </w:pPr>
      <w:r>
        <w:rPr>
          <w:rFonts w:ascii="Cambria" w:cs="B Nazanin" w:eastAsia="B Nazanin" w:hAnsi="Cambria"/>
          <w:color w:val="000000"/>
          <w:sz w:val="22"/>
          <w:szCs w:val="26"/>
          <w:rtl/>
        </w:rPr>
        <w:t xml:space="preserve">حدود ۱۰.۲ درصد رکوردهای جدول اقساط، اقساط آتی هستند و رویداد پرداخت نیستند؛ تحلیل این دسته را جدا کرده است.</w:t>
      </w:r>
    </w:p>
    <w:p>
      <w:pPr>
        <w:keepNext/>
        <w:spacing w:after="60" w:before="160"/>
        <w:jc w:val="center"/>
      </w:pPr>
      <w:r>
        <w:drawing>
          <wp:inline distT="0" distB="0" distL="0" distR="0">
            <wp:extent cx="5715000" cy="24669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24669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۶-۸: توزیع دیرکرد پرداخت اقساط</w:t>
      </w:r>
    </w:p>
    <w:p>
      <w:pPr>
        <w:keepNext/>
        <w:bidi/>
        <w:spacing w:after="100" w:before="200"/>
        <w:jc w:val="left"/>
      </w:pPr>
      <w:r>
        <w:rPr>
          <w:rFonts w:ascii="B Nazanin" w:cs="B Nazanin" w:eastAsia="B Nazanin" w:hAnsi="B Nazanin"/>
          <w:b/>
          <w:bCs/>
          <w:color w:val="000000"/>
          <w:sz w:val="22"/>
          <w:szCs w:val="22"/>
          <w:rtl/>
        </w:rPr>
        <w:t xml:space="preserve">جدول ۶-۱۲: توزیع اقساط بر حسب وضعیت پرداخت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29"/>
        <w:gridCol w:w="1916"/>
        <w:gridCol w:w="1916"/>
        <w:gridCol w:w="2689"/>
      </w:tblGrid>
      <w:tr>
        <w:trPr>
          <w:cantSplit/>
          <w:tblHeader/>
        </w:trPr>
        <w:tc>
          <w:tcPr>
            <w:tcW w:type="dxa" w:w="282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وضعیت</w:t>
            </w:r>
          </w:p>
        </w:tc>
        <w:tc>
          <w:tcPr>
            <w:tcW w:type="dxa" w:w="19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قسط</w:t>
            </w:r>
          </w:p>
        </w:tc>
        <w:tc>
          <w:tcPr>
            <w:tcW w:type="dxa" w:w="191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کل</w:t>
            </w:r>
          </w:p>
        </w:tc>
        <w:tc>
          <w:tcPr>
            <w:tcW w:type="dxa" w:w="268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اقساط سررسیدشده</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قسط آتی (سررسید نشده)</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۱,۷۴۲,۷۱۰</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۱۰.۲۴٪</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پرداخت در سررسید یا زودتر</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۶,۱۵۴,۱۹۲</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۳۶.۱۵٪</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۴۰.۲۷٪</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یک تا هفت روز دیرکرد</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۲,۱۸۵,۵۲۷</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۱۲.۸۴٪</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۱۴.۳۰٪</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هشت تا سی روز دیرکرد</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۲,۵۰۲,۹۵۱</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۱۴.۷۰٪</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۱۶.۳۸٪</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سی‌ویک تا نود روز دیرکرد</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۳,۳۹۷,۷۴۰</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۱۹.۹۶٪</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۲۲.۲۳٪</w:t>
            </w:r>
          </w:p>
        </w:tc>
      </w:tr>
      <w:tr>
        <w:trPr>
          <w:cantSplit/>
        </w:trPr>
        <w:tc>
          <w:tcPr>
            <w:tcW w:type="dxa" w:w="28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بیش از نود روز دیرکرد</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۱,۰۴۱,۶۶۳</w:t>
            </w:r>
          </w:p>
        </w:tc>
        <w:tc>
          <w:tcPr>
            <w:tcW w:type="dxa" w:w="191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۶.۱۲٪</w:t>
            </w:r>
          </w:p>
        </w:tc>
        <w:tc>
          <w:tcPr>
            <w:tcW w:type="dxa" w:w="268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۶.۸۲٪</w:t>
            </w:r>
          </w:p>
        </w:tc>
      </w:tr>
    </w:tbl>
    <w:p>
      <w:pPr>
        <w:spacing w:after="200"/>
      </w:pPr>
    </w:p>
    <w:p>
      <w:pPr>
        <w:bidi/>
        <w:spacing w:after="160" w:line="312"/>
        <w:jc w:val="left"/>
      </w:pPr>
      <w:r>
        <w:rPr>
          <w:rFonts w:ascii="Cambria" w:cs="B Nazanin" w:eastAsia="B Nazanin" w:hAnsi="Cambria"/>
          <w:color w:val="000000"/>
          <w:sz w:val="22"/>
          <w:szCs w:val="26"/>
          <w:rtl/>
        </w:rPr>
        <w:t xml:space="preserve">از اقساط سررسیدشده ۴۰.۲۷ درصد به‌موقع یا زودتر پرداخت شده‌اند و حدود ۶۰ درصد با تأخیر پرداخت می‌شوند (جدول ۶-۱۲ و نمودار ۶-۸). تأخیرهای کوتاه (تا سی روز) ۳۰.۶۸ درصد اقساط سررسیدشده را دارند و معمولاً به عوامل عملیاتی، مانند عدم تطابق سررسید با چرخه‌ی دریافتی وام‌گیرنده، مربوط‌اند. دسته‌ی سی‌ویک تا نود روز با ۲۲.۲۳ درصد نشانه‌ی فشار نقدینگی وام‌گیرنده و هشدار اولیه برای ورود به طبقات غیرجاری است؛ این یافته با شتاب مهاجرت در ماتریس انتقال (بخش ۶.۸) هم‌جهت است.</w:t>
      </w:r>
    </w:p>
    <w:p>
      <w:pPr>
        <w:bidi/>
        <w:spacing w:after="160" w:line="312"/>
        <w:jc w:val="left"/>
      </w:pPr>
      <w:r>
        <w:rPr>
          <w:rFonts w:ascii="Cambria" w:cs="B Nazanin" w:eastAsia="B Nazanin" w:hAnsi="Cambria"/>
          <w:color w:val="000000"/>
          <w:sz w:val="22"/>
          <w:szCs w:val="26"/>
          <w:rtl/>
        </w:rPr>
        <w:t xml:space="preserve">دسته‌ی «پرداخت در سررسید یا زودتر» پرداخت در موعد و پیش از موعد را با هم دارد و تفکیک آن‌ها در فاز ۲ انجام می‌شود.</w:t>
      </w:r>
    </w:p>
    <w:p>
      <w:pPr>
        <w:pStyle w:val="Heading2"/>
        <w:keepNext/>
        <w:bidi/>
        <w:spacing w:after="160" w:before="300"/>
        <w:jc w:val="left"/>
      </w:pPr>
      <w:bookmarkStart w:name="_Toc59" w:id="59"/>
      <w:r>
        <w:rPr>
          <w:rFonts w:ascii="B Titr" w:cs="B Titr" w:eastAsia="B Titr" w:hAnsi="B Titr"/>
          <w:b w:val="false"/>
          <w:bCs w:val="false"/>
          <w:color w:val="000000"/>
          <w:sz w:val="26"/>
          <w:szCs w:val="26"/>
          <w:rtl/>
        </w:rPr>
        <w:t xml:space="preserve">۶.۱۰ تمرکز تک‌نامی</w:t>
      </w:r>
      <w:bookmarkEnd w:id="59"/>
    </w:p>
    <w:p>
      <w:pPr>
        <w:bidi/>
        <w:spacing w:after="160" w:line="312"/>
        <w:jc w:val="left"/>
      </w:pPr>
      <w:r>
        <w:rPr>
          <w:rFonts w:ascii="Cambria" w:cs="B Nazanin" w:eastAsia="B Nazanin" w:hAnsi="Cambria"/>
          <w:color w:val="000000"/>
          <w:sz w:val="22"/>
          <w:szCs w:val="26"/>
          <w:rtl/>
        </w:rPr>
        <w:t xml:space="preserve">تمرکز تک‌نامی، یعنی سهم بزرگ‌ترین مشتریان منفرد از پرتفوی، متعارف‌ترین سنجه‌ی ریسک تمرکز است. محاسبه بر مبنای گیرنده‌ی اصلی قرارداد انجام شده، چون در سنجش تمرکز هویت متعهد اصلی اهمیت دارد.</w:t>
      </w:r>
    </w:p>
    <w:p>
      <w:pPr>
        <w:keepNext/>
        <w:spacing w:after="60" w:before="160"/>
        <w:jc w:val="center"/>
      </w:pPr>
      <w:r>
        <w:drawing>
          <wp:inline distT="0" distB="0" distL="0" distR="0">
            <wp:extent cx="5715000" cy="3819525"/>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8195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۶-۹: تمرکز تک‌نامی، مانده‌ی بیست مشتری بزرگ تسهیلاتی</w:t>
      </w:r>
    </w:p>
    <w:p>
      <w:pPr>
        <w:keepNext/>
        <w:bidi/>
        <w:spacing w:after="100" w:before="200"/>
        <w:jc w:val="left"/>
      </w:pPr>
      <w:r>
        <w:rPr>
          <w:rFonts w:ascii="B Nazanin" w:cs="B Nazanin" w:eastAsia="B Nazanin" w:hAnsi="B Nazanin"/>
          <w:b/>
          <w:bCs/>
          <w:color w:val="000000"/>
          <w:sz w:val="22"/>
          <w:szCs w:val="22"/>
          <w:rtl/>
        </w:rPr>
        <w:t xml:space="preserve">جدول ۶-۱۳: تمرکز تک‌نامی (مبنای الف-۱،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990"/>
        <w:gridCol w:w="3360"/>
      </w:tblGrid>
      <w:tr>
        <w:trPr>
          <w:cantSplit/>
          <w:tblHeader/>
        </w:trPr>
        <w:tc>
          <w:tcPr>
            <w:tcW w:type="dxa" w:w="599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سنجه</w:t>
            </w:r>
          </w:p>
        </w:tc>
        <w:tc>
          <w:tcPr>
            <w:tcW w:type="dxa" w:w="336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مقدار</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مانده‌ی بیست مشتری برتر</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۱۲.۲</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سهم از کل پرتفوی نمونه</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۹.۵۴٪</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سهم از پرتفوی قابل‌انتساب</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۱۲.۳۰٪</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بزرگ‌ترین مشتری منفرد</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۵.۵</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بزرگ‌ترین مشتری از کل پرتفوی</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۴.۳۰٪</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تعداد قرارداد بزرگ‌ترین مشتری</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یک فقره</w:t>
            </w:r>
          </w:p>
        </w:tc>
      </w:tr>
      <w:tr>
        <w:trPr>
          <w:cantSplit/>
        </w:trPr>
        <w:tc>
          <w:tcPr>
            <w:tcW w:type="dxa" w:w="599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نسبت غیرجاری بیست مشتری برتر</w:t>
            </w:r>
          </w:p>
        </w:tc>
        <w:tc>
          <w:tcPr>
            <w:tcW w:type="dxa" w:w="336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۳.۵۱٪</w:t>
            </w:r>
          </w:p>
        </w:tc>
      </w:tr>
    </w:tbl>
    <w:p>
      <w:pPr>
        <w:spacing w:after="200"/>
      </w:pPr>
    </w:p>
    <w:p>
      <w:pPr>
        <w:bidi/>
        <w:spacing w:after="160" w:line="312"/>
        <w:jc w:val="left"/>
      </w:pPr>
      <w:r>
        <w:rPr>
          <w:rFonts w:ascii="Cambria" w:cs="B Nazanin" w:eastAsia="B Nazanin" w:hAnsi="Cambria"/>
          <w:color w:val="000000"/>
          <w:sz w:val="22"/>
          <w:szCs w:val="26"/>
          <w:rtl/>
        </w:rPr>
        <w:t xml:space="preserve">جدول ۶-۱۳ و نمودار ۶-۹ نشان می‌دهند بزرگ‌ترین مشتری با یک قرارداد ۴.۳۰ درصد پرتفوی نمونه (۳.۷ درصد مانده‌ی رسمی بانک) را دارد. مانده‌ی این قرارداد (۵.۵ هزار میلیارد تومان) کمتر از مجموع نوزده مشتری بعدی (۶.۷) و تقریباً برابر با کل مانده‌ی اعتبارات اسنادی (۵.۴) است. نسبت غیرجاری بیست مشتری برتر ۳.۵۱ درصد و کمتر از میانگین بخش دارای رکورد (۵.۲۱ درصد) است؛ تنها سه مشتری از بیست مشتری مطالبات غیرجاری دارند و بزرگ‌ترین مشتری کاملاً جاری است.</w:t>
      </w:r>
    </w:p>
    <w:p>
      <w:pPr>
        <w:bidi/>
        <w:spacing w:after="160" w:line="312"/>
        <w:jc w:val="left"/>
      </w:pPr>
      <w:r>
        <w:rPr>
          <w:rFonts w:ascii="Cambria" w:cs="B Nazanin" w:eastAsia="B Nazanin" w:hAnsi="Cambria"/>
          <w:color w:val="000000"/>
          <w:sz w:val="22"/>
          <w:szCs w:val="26"/>
          <w:rtl/>
        </w:rPr>
        <w:t xml:space="preserve">ریسک تمرکز نامتقارن است: تا زمانی که مشتری بزرگ عملکرد مناسب دارد در نسبت‌ها دیده نمی‌شود، ولی نکول همان یک مشتری نسبت مطالبات غیرجاری بانک را از ۸.۷۶ به حدود ۱۳.۱ درصد می‌رساند. این نتیجه با تمرکز مطالبات غیرجاری در وام‌های بزرگ (بخش ۶.۵.۱) هم‌سو است و بیست مشتری برتر بخش بالایی همان توزیع‌اند.</w:t>
      </w:r>
    </w:p>
    <w:p>
      <w:pPr>
        <w:bidi/>
        <w:spacing w:after="160" w:line="312"/>
        <w:jc w:val="left"/>
      </w:pPr>
      <w:r>
        <w:rPr>
          <w:rFonts w:ascii="Cambria" w:cs="B Nazanin" w:eastAsia="B Nazanin" w:hAnsi="Cambria"/>
          <w:color w:val="000000"/>
          <w:sz w:val="22"/>
          <w:szCs w:val="26"/>
          <w:rtl/>
        </w:rPr>
        <w:t xml:space="preserve">ارقام این بخش بر ۷۷.۶ درصد پرتفوی که رکورد قرارداد دارد و به مشتری قابل انتساب است متکی‌اند؛ در صورت حضور مشتریان بزرگ در بخش فاقد رکورد، تمرکز واقعی بیشتر یا برابر این ارقام خواهد بود. مقایسه‌ی تمرکز سپرده و تسهیلات بر مبنای مشتری در جدول ۴-۶ آمده است. شناسه‌ی مشتریان در گزارش درج نشده است و فهرست بیست مشتری برتر در صورت درخواست کمیته‌ی ریسک، به‌صورت جداگانه و محرمانه ارائه می‌شود.</w:t>
      </w:r>
    </w:p>
    <w:p>
      <w:pPr>
        <w:pStyle w:val="Heading2"/>
        <w:keepNext/>
        <w:bidi/>
        <w:spacing w:after="160" w:before="300"/>
        <w:jc w:val="left"/>
      </w:pPr>
      <w:bookmarkStart w:name="_Toc60" w:id="60"/>
      <w:r>
        <w:rPr>
          <w:rFonts w:ascii="B Titr" w:cs="B Titr" w:eastAsia="B Titr" w:hAnsi="B Titr"/>
          <w:b w:val="false"/>
          <w:bCs w:val="false"/>
          <w:color w:val="000000"/>
          <w:sz w:val="26"/>
          <w:szCs w:val="26"/>
          <w:rtl/>
        </w:rPr>
        <w:t xml:space="preserve">۶.۱۱ نیمرخ ریسک بانک</w:t>
      </w:r>
      <w:bookmarkEnd w:id="60"/>
    </w:p>
    <w:p>
      <w:pPr>
        <w:bidi/>
        <w:spacing w:after="160" w:line="312"/>
        <w:jc w:val="left"/>
      </w:pPr>
      <w:r>
        <w:rPr>
          <w:rFonts w:ascii="Cambria" w:cs="B Nazanin" w:eastAsia="B Nazanin" w:hAnsi="Cambria"/>
          <w:color w:val="000000"/>
          <w:sz w:val="22"/>
          <w:szCs w:val="26"/>
          <w:rtl/>
        </w:rPr>
        <w:t xml:space="preserve">جمع‌بندی یافته‌های فصل چهار کانون ریسک را مشخص می‌کند (جدول ۶-۱۴).</w:t>
      </w:r>
    </w:p>
    <w:p>
      <w:pPr>
        <w:keepNext/>
        <w:bidi/>
        <w:spacing w:after="100" w:before="200"/>
        <w:jc w:val="left"/>
      </w:pPr>
      <w:r>
        <w:rPr>
          <w:rFonts w:ascii="B Nazanin" w:cs="B Nazanin" w:eastAsia="B Nazanin" w:hAnsi="B Nazanin"/>
          <w:b/>
          <w:bCs/>
          <w:color w:val="000000"/>
          <w:sz w:val="22"/>
          <w:szCs w:val="22"/>
          <w:rtl/>
        </w:rPr>
        <w:t xml:space="preserve">جدول ۶-۱۴: کانون‌های ریسک شناسایی‌شده</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6"/>
        <w:gridCol w:w="2656"/>
        <w:gridCol w:w="2656"/>
        <w:gridCol w:w="1382"/>
      </w:tblGrid>
      <w:tr>
        <w:trPr>
          <w:cantSplit/>
          <w:tblHeader/>
        </w:trPr>
        <w:tc>
          <w:tcPr>
            <w:tcW w:type="dxa" w:w="26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کانون</w:t>
            </w:r>
          </w:p>
        </w:tc>
        <w:tc>
          <w:tcPr>
            <w:tcW w:type="dxa" w:w="26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مانده‌ی در معرض (هزار میلیارد تومان)</w:t>
            </w:r>
          </w:p>
        </w:tc>
        <w:tc>
          <w:tcPr>
            <w:tcW w:type="dxa" w:w="265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شاخص کلیدی</w:t>
            </w:r>
          </w:p>
        </w:tc>
        <w:tc>
          <w:tcPr>
            <w:tcW w:type="dxa" w:w="138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اولویت</w:t>
            </w:r>
          </w:p>
        </w:tc>
      </w:tr>
      <w:tr>
        <w:trPr>
          <w:cantSplit/>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اعتبارات اسنادی (رکوردهای دارای این برچسب)</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۵.۴</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۸۴.۰۱٪ غیرجاری، ۸۷٪ فاقد رکورد قرارداد</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بحرانی</w:t>
            </w:r>
          </w:p>
        </w:tc>
      </w:tr>
      <w:tr>
        <w:trPr>
          <w:cantSplit/>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نسل ۱۴۰۴</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۵۹.۲</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بزرگ‌ترین نسل، هنوز نابالغ</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بالا</w:t>
            </w:r>
          </w:p>
        </w:tc>
      </w:tr>
      <w:tr>
        <w:trPr>
          <w:cantSplit/>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تمرکز تک‌نامی</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۱۲.۲</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یک مشتری با ۴.۳۰٪ پرتفوی نمونه</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بالا</w:t>
            </w:r>
          </w:p>
        </w:tc>
      </w:tr>
      <w:tr>
        <w:trPr>
          <w:cantSplit/>
        </w:trPr>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وام‌های بزرگ (بیش از ۵ میلیارد تومان)</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۳۴.۲</w:t>
            </w:r>
          </w:p>
        </w:tc>
        <w:tc>
          <w:tcPr>
            <w:tcW w:type="dxa" w:w="265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 غیرجاری، ۶۸.۳٪ مطالبات غیرجاری بخش دارای رکورد</w:t>
            </w:r>
          </w:p>
        </w:tc>
        <w:tc>
          <w:tcPr>
            <w:tcW w:type="dxa" w:w="138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متوسط</w:t>
            </w:r>
          </w:p>
        </w:tc>
      </w:tr>
    </w:tbl>
    <w:p>
      <w:pPr>
        <w:spacing w:after="200"/>
      </w:pPr>
    </w:p>
    <w:p>
      <w:pPr>
        <w:pStyle w:val="Heading2"/>
        <w:keepNext/>
        <w:bidi/>
        <w:spacing w:after="160" w:before="300"/>
        <w:jc w:val="left"/>
      </w:pPr>
      <w:bookmarkStart w:name="_Toc61" w:id="61"/>
      <w:r>
        <w:rPr>
          <w:rFonts w:ascii="B Titr" w:cs="B Titr" w:eastAsia="B Titr" w:hAnsi="B Titr"/>
          <w:b w:val="false"/>
          <w:bCs w:val="false"/>
          <w:color w:val="000000"/>
          <w:sz w:val="26"/>
          <w:szCs w:val="26"/>
          <w:rtl/>
        </w:rPr>
        <w:t xml:space="preserve">۶.۱۲ جمع‌بندی فصل</w:t>
      </w:r>
      <w:bookmarkEnd w:id="61"/>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نسبت مطالبات غیرجاری در ۱۲/۱۴۰۴ برابر ۸.۷۶ درصد است و میانگین سه پرتفوی متمایز است: بخش دارای رکورد بدون اعتبارات اسنادی با ۴.۵۹ درصد، بخش فاقد رکورد بدون اعتبارات اسنادی با ۸.۹۹ درصد و اعتبارات اسنادی با ۸۴.۰۱ درصد.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color w:val="000000"/>
          <w:sz w:val="22"/>
          <w:szCs w:val="26"/>
          <w:rtl/>
        </w:rPr>
        <w:t xml:space="preserve">افزایش مطالبات غیرجاری پدیده‌ی دو سال اخیر است: نسبت تا ۱۲/۱۴۰۲ به ۲.۸۴ درصد کاهش یافت و سپس بیش از سه برابر شد؛ آمار رسمی بانک همین روند را نشان می‌دهد (۴.۶ به ۸.۰ درصد).</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color w:val="000000"/>
          <w:sz w:val="22"/>
          <w:szCs w:val="26"/>
          <w:rtl/>
        </w:rPr>
        <w:t xml:space="preserve">رکوردهای دارای برچسب اعتبارات اسنادی بالاترین نسبت غیرجاری را دارند: ۴.۲۲ درصد پرتفوی، ۴۰.۴۴ درصد مطالبات غیرجاری و ۱۲.۵ برابر شدن مانده. با این حال ۵۶.۱ درصد افزایش مطالبات غیرجاری از سایر پرتفوی آمده و نسبت آن در ۱۴۰۴ دو برابر شده است (۲.۶ به ۵.۴ درصد).</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color w:val="000000"/>
          <w:sz w:val="22"/>
          <w:szCs w:val="26"/>
          <w:rtl/>
        </w:rPr>
        <w:t xml:space="preserve">ریسک با اندازه‌ی وام افزایش می‌یابد: ۲,۲۹۵ وام بزرگ ۶۸.۳ درصد مطالبات غیرجاری بخش دارای رکورد را دارند و تسهیلات خرد کمترین نسبت را دارند (۰.۶ درصد).</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color w:val="000000"/>
          <w:sz w:val="22"/>
          <w:szCs w:val="26"/>
          <w:rtl/>
        </w:rPr>
        <w:t xml:space="preserve">نسل ۱۴۰۳ بدترین نسل اعطاست (۱۳.۰۵ درصد) و نسل ۱۴۰۴ با ۵۹.۲ هزار میلیارد تومان بزرگ‌ترین نسل و هنوز نابالغ است.</w:t>
      </w:r>
    </w:p>
    <w:p>
      <w:pPr>
        <w:bidi/>
        <w:spacing w:after="120" w:line="300"/>
        <w:ind w:start="300"/>
        <w:jc w:val="left"/>
      </w:pPr>
      <w:r>
        <w:rPr>
          <w:rFonts w:ascii="Cambria" w:cs="B Nazanin" w:eastAsia="B Nazanin" w:hAnsi="Cambria"/>
          <w:color w:val="000000"/>
          <w:sz w:val="22"/>
          <w:szCs w:val="26"/>
          <w:rtl/>
        </w:rPr>
        <w:t xml:space="preserve">۶. </w:t>
      </w:r>
      <w:r>
        <w:rPr>
          <w:rFonts w:ascii="Cambria" w:cs="B Nazanin" w:eastAsia="B Nazanin" w:hAnsi="Cambria"/>
          <w:color w:val="000000"/>
          <w:sz w:val="22"/>
          <w:szCs w:val="26"/>
          <w:rtl/>
        </w:rPr>
        <w:t xml:space="preserve">شاخص‌های پیش‌نگر هم‌جهت‌اند: نرخ یک‌ماهه‌ی مهاجرت از جاری به سررسیدگذشته ۷۰ درصد بیشتر، نرخ بازگشت به جاری ۳۸ درصد کمتر و ۲۲.۲۳ درصد اقساط سررسیدشده بین سی‌ویک تا نود روز دیرکرد دارند. این شاخص‌ها هشداری برای پایش در ۱۴۰۵ هستند.</w:t>
      </w:r>
    </w:p>
    <w:p>
      <w:pPr>
        <w:bidi/>
        <w:spacing w:after="120" w:line="300"/>
        <w:ind w:start="300"/>
        <w:jc w:val="left"/>
      </w:pPr>
      <w:r>
        <w:rPr>
          <w:rFonts w:ascii="Cambria" w:cs="B Nazanin" w:eastAsia="B Nazanin" w:hAnsi="Cambria"/>
          <w:color w:val="000000"/>
          <w:sz w:val="22"/>
          <w:szCs w:val="26"/>
          <w:rtl/>
        </w:rPr>
        <w:t xml:space="preserve">۷. </w:t>
      </w:r>
      <w:r>
        <w:rPr>
          <w:rFonts w:ascii="Cambria" w:cs="B Nazanin" w:eastAsia="B Nazanin" w:hAnsi="Cambria"/>
          <w:color w:val="000000"/>
          <w:sz w:val="22"/>
          <w:szCs w:val="26"/>
          <w:rtl/>
        </w:rPr>
        <w:t xml:space="preserve">بدون اعتبارات اسنادی، نسبت غیرجاری قراردادهای یک‌طرفه (۵.۴۵ درصد) و دو تا سه‌طرفه (۵.۱۱ درصد) تفاوت قابل‌توجهی ندارد.</w:t>
      </w:r>
    </w:p>
    <w:p>
      <w:pPr>
        <w:bidi/>
        <w:spacing w:after="120" w:line="300"/>
        <w:ind w:start="300"/>
        <w:jc w:val="left"/>
      </w:pPr>
      <w:r>
        <w:rPr>
          <w:rFonts w:ascii="Cambria" w:cs="B Nazanin" w:eastAsia="B Nazanin" w:hAnsi="Cambria"/>
          <w:color w:val="000000"/>
          <w:sz w:val="22"/>
          <w:szCs w:val="26"/>
          <w:rtl/>
        </w:rPr>
        <w:t xml:space="preserve">۸. </w:t>
      </w:r>
      <w:r>
        <w:rPr>
          <w:rFonts w:ascii="Cambria" w:cs="B Nazanin" w:eastAsia="B Nazanin" w:hAnsi="Cambria"/>
          <w:color w:val="000000"/>
          <w:sz w:val="22"/>
          <w:szCs w:val="26"/>
          <w:rtl/>
        </w:rPr>
        <w:t xml:space="preserve">تمرکز تک‌نامی: بیست مشتری برتر ۹.۵۴ درصد پرتفوی نمونه و بزرگ‌ترین مشتری ۴.۳۰ درصد آن را دارد؛ این ارقام بر ۷۷.۶ درصد پرتفوی قابل‌انتساب به مشتری متکی‌اند.</w:t>
      </w:r>
    </w:p>
    <w:p>
      <w:pPr>
        <w:bidi/>
        <w:spacing w:after="120" w:line="300"/>
        <w:ind w:start="300"/>
        <w:jc w:val="left"/>
      </w:pPr>
      <w:r>
        <w:rPr>
          <w:rFonts w:ascii="Cambria" w:cs="B Nazanin" w:eastAsia="B Nazanin" w:hAnsi="Cambria"/>
          <w:color w:val="000000"/>
          <w:sz w:val="22"/>
          <w:szCs w:val="26"/>
          <w:rtl/>
        </w:rPr>
        <w:t xml:space="preserve">۹. </w:t>
      </w:r>
      <w:r>
        <w:rPr>
          <w:rFonts w:ascii="Cambria" w:cs="B Nazanin" w:eastAsia="B Nazanin" w:hAnsi="Cambria"/>
          <w:color w:val="000000"/>
          <w:sz w:val="22"/>
          <w:szCs w:val="26"/>
          <w:rtl/>
        </w:rPr>
        <w:t xml:space="preserve">جدول ۶-۸ مبنای ارزیابی عملکرد شعب نیست: اثر اندازه‌ی وام و اثر شعبه با تحلیل چندمتغیره در فاز ۲ تفکیک می‌شوند.</w:t>
      </w:r>
    </w:p>
    <w:p>
      <w:pPr>
        <w:pBdr>
          <w:bottom w:val="single" w:color="BBBBBB" w:sz="6"/>
        </w:pBdr>
        <w:spacing w:after="100" w:before="100"/>
      </w:pPr>
    </w:p>
    <w:p>
      <w:pPr>
        <w:pStyle w:val="Heading1"/>
        <w:keepNext/>
        <w:pageBreakBefore/>
        <w:bidi/>
        <w:spacing w:after="160" w:before="0"/>
        <w:jc w:val="left"/>
      </w:pPr>
      <w:bookmarkStart w:name="_Toc62" w:id="62"/>
      <w:r>
        <w:rPr>
          <w:rFonts w:ascii="B Titr" w:cs="B Titr" w:eastAsia="B Titr" w:hAnsi="B Titr"/>
          <w:b w:val="false"/>
          <w:bCs w:val="false"/>
          <w:color w:val="1F4E79"/>
          <w:sz w:val="30"/>
          <w:szCs w:val="30"/>
          <w:rtl/>
        </w:rPr>
        <w:t xml:space="preserve">فصل ۷: شبکه‌ی شعب و توزیع جغرافیایی</w:t>
      </w:r>
      <w:bookmarkEnd w:id="62"/>
    </w:p>
    <w:p>
      <w:pPr>
        <w:pStyle w:val="Heading2"/>
        <w:keepNext/>
        <w:bidi/>
        <w:spacing w:after="160" w:before="300"/>
        <w:jc w:val="left"/>
      </w:pPr>
      <w:bookmarkStart w:name="_Toc63" w:id="63"/>
      <w:r>
        <w:rPr>
          <w:rFonts w:ascii="B Titr" w:cs="B Titr" w:eastAsia="B Titr" w:hAnsi="B Titr"/>
          <w:b w:val="false"/>
          <w:bCs w:val="false"/>
          <w:color w:val="000000"/>
          <w:sz w:val="26"/>
          <w:szCs w:val="26"/>
          <w:rtl/>
        </w:rPr>
        <w:t xml:space="preserve">۷.۰ هدف و دامنه‌ی فصل</w:t>
      </w:r>
      <w:bookmarkEnd w:id="63"/>
    </w:p>
    <w:p>
      <w:pPr>
        <w:bidi/>
        <w:spacing w:after="160" w:line="312"/>
        <w:jc w:val="left"/>
      </w:pPr>
      <w:r>
        <w:rPr>
          <w:rFonts w:ascii="Cambria" w:cs="B Nazanin" w:eastAsia="B Nazanin" w:hAnsi="Cambria"/>
          <w:color w:val="000000"/>
          <w:sz w:val="22"/>
          <w:szCs w:val="26"/>
          <w:rtl/>
        </w:rPr>
        <w:t xml:space="preserve">این فصل پراکندگی جغرافیایی فعالیت بانک را در سطح استان بررسی می‌کند: منابع ریالی و تسهیلات هر استان در چه وضعی است، کیفیت دارایی‌ها در کجا بیشترین فشار را دارد، ترکیب منابع و ساختار شبکه‌ی شعب چگونه است و پایگاه‌داده‌ی تحلیلی تا چه اندازه الگوی استانی بانک را بازتاب می‌دهد.</w:t>
      </w:r>
    </w:p>
    <w:p>
      <w:pPr>
        <w:bidi/>
        <w:spacing w:after="160" w:line="312"/>
        <w:jc w:val="left"/>
      </w:pPr>
      <w:r>
        <w:rPr>
          <w:rFonts w:ascii="Cambria" w:cs="B Nazanin" w:eastAsia="B Nazanin" w:hAnsi="Cambria"/>
          <w:color w:val="000000"/>
          <w:sz w:val="22"/>
          <w:szCs w:val="26"/>
          <w:rtl/>
        </w:rPr>
        <w:t xml:space="preserve">ارقام بخش‌های ۷.۱ تا ۷.۶ بر </w:t>
      </w:r>
      <w:r>
        <w:rPr>
          <w:rFonts w:ascii="Cambria" w:cs="B Nazanin" w:eastAsia="B Nazanin" w:hAnsi="Cambria"/>
          <w:b/>
          <w:bCs/>
          <w:color w:val="000000"/>
          <w:sz w:val="22"/>
          <w:szCs w:val="26"/>
          <w:rtl/>
        </w:rPr>
        <w:t xml:space="preserve">آمار رسمی ماهانه‌ی کل بانک</w:t>
      </w:r>
      <w:r>
        <w:rPr>
          <w:rFonts w:ascii="Cambria" w:cs="B Nazanin" w:eastAsia="B Nazanin" w:hAnsi="Cambria"/>
          <w:color w:val="000000"/>
          <w:sz w:val="22"/>
          <w:szCs w:val="26"/>
          <w:rtl/>
        </w:rPr>
        <w:t xml:space="preserve"> (۶۰ ماه، ۰۱/۱۴۰۰ تا ۱۲/۱۴۰۴) استوارند و به نمونه وابسته نیستند. بخش‌های ۷.۷ و ۷.۸ نمونه‌ی تحلیلی را با این آمار مقایسه می‌کنند و پراکندگی جغرافیایی مشتریان نمونه را نشان می‌دهند. در این فصل از نام یا مشخصات شعب استفاده نشده است؛ شعب فقط به‌صورت تجمیعی در سطح استان آمده‌اند و تحلیل‌های سطح شعبه در گزارش محرمانه‌ی جداگانه‌ای ارائه می‌شود.</w:t>
      </w:r>
    </w:p>
    <w:p>
      <w:pPr>
        <w:pBdr>
          <w:bottom w:val="single" w:color="BBBBBB" w:sz="6"/>
        </w:pBdr>
        <w:spacing w:after="100" w:before="100"/>
      </w:pPr>
    </w:p>
    <w:p>
      <w:pPr>
        <w:pStyle w:val="Heading2"/>
        <w:keepNext/>
        <w:bidi/>
        <w:spacing w:after="160" w:before="300"/>
        <w:jc w:val="left"/>
      </w:pPr>
      <w:bookmarkStart w:name="_Toc64" w:id="64"/>
      <w:r>
        <w:rPr>
          <w:rFonts w:ascii="B Titr" w:cs="B Titr" w:eastAsia="B Titr" w:hAnsi="B Titr"/>
          <w:b w:val="false"/>
          <w:bCs w:val="false"/>
          <w:color w:val="000000"/>
          <w:sz w:val="26"/>
          <w:szCs w:val="26"/>
          <w:rtl/>
        </w:rPr>
        <w:t xml:space="preserve">۷.۱ ساختار استانی منابع و مصارف</w:t>
      </w:r>
      <w:bookmarkEnd w:id="64"/>
    </w:p>
    <w:p>
      <w:pPr>
        <w:bidi/>
        <w:spacing w:after="160" w:line="312"/>
        <w:jc w:val="left"/>
      </w:pPr>
      <w:r>
        <w:rPr>
          <w:rFonts w:ascii="Cambria" w:cs="B Nazanin" w:eastAsia="B Nazanin" w:hAnsi="Cambria"/>
          <w:color w:val="000000"/>
          <w:sz w:val="22"/>
          <w:szCs w:val="26"/>
          <w:rtl/>
        </w:rPr>
        <w:t xml:space="preserve">جدول ۷-۱ توزیع استانی منابع ریالی، تسهیلات و مطالبات غیرجاری را در ۱۲/۱۴۰۴ نشان می‌دهد. واحدهای ستادی و مستقل که ماهیتاً جغرافیایی نیستند، از جمله شعبه‌ی مستقل مرکزی، در یک ردیف تجمیع شده‌اند تا ارقام استان میزبان، به‌ویژه تهران، متورم نشود. سهم این ردیف ۸.۷ درصد منابع و ۸.۱ درصد تسهیلات بانک است. نمودار ۷-۱ همین توزیع را بر روی نقشه نمایش می‌دهد.</w:t>
      </w:r>
    </w:p>
    <w:p>
      <w:pPr>
        <w:keepNext/>
        <w:bidi/>
        <w:spacing w:after="100" w:before="200"/>
        <w:jc w:val="left"/>
      </w:pPr>
      <w:r>
        <w:rPr>
          <w:rFonts w:ascii="B Nazanin" w:cs="B Nazanin" w:eastAsia="B Nazanin" w:hAnsi="B Nazanin"/>
          <w:b/>
          <w:bCs/>
          <w:color w:val="000000"/>
          <w:sz w:val="22"/>
          <w:szCs w:val="22"/>
          <w:rtl/>
        </w:rPr>
        <w:t xml:space="preserve">جدول ۷-۱: منابع، تسهیلات و مطالبات غیرجاری رسمی بانک به تفکیک استان (اسفند 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96"/>
        <w:gridCol w:w="1994"/>
        <w:gridCol w:w="2055"/>
        <w:gridCol w:w="2226"/>
        <w:gridCol w:w="1279"/>
      </w:tblGrid>
      <w:tr>
        <w:trPr>
          <w:cantSplit/>
          <w:tblHeader/>
        </w:trPr>
        <w:tc>
          <w:tcPr>
            <w:tcW w:type="dxa" w:w="17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استان</w:t>
            </w:r>
          </w:p>
        </w:tc>
        <w:tc>
          <w:tcPr>
            <w:tcW w:type="dxa" w:w="1994"/>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منابع (هزار میلیارد تومان)</w:t>
            </w:r>
          </w:p>
        </w:tc>
        <w:tc>
          <w:tcPr>
            <w:tcW w:type="dxa" w:w="20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تسهیلات (هزار میلیارد تومان)</w:t>
            </w:r>
          </w:p>
        </w:tc>
        <w:tc>
          <w:tcPr>
            <w:tcW w:type="dxa" w:w="222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مطالبات غیرجاری (هزار میلیارد تومان)</w:t>
            </w:r>
          </w:p>
        </w:tc>
        <w:tc>
          <w:tcPr>
            <w:tcW w:type="dxa" w:w="12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NPL</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تهران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واحدهای غیرجغرافیایی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۱۲.۰</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۹.۶٪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خوزستان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اصفهان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مازندران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۱۸.۴٪</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کرمان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۵.۸</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رضوی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فارس</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۰.۵۳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آذربایجان شرقی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۰.۴۲</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البرز</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گیلان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۹.۴٪</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همدان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۰.۰۷</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مرکزی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۱۹.۰٪</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گلستان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۴.۱</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آذربایجان غربی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هرمزگان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بوشهر</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سیستان وبلوچستان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کرمانشاه</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جنوبی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۰.۰۶</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سمنان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۱.۵۸</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۳۵.۸٪</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قزوین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۰.۱۴</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یزد</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۶.۲٪</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لرستان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۰.۱۳</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اردبیل</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۰.۰۷</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زنجان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۰.۰۷</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شمالی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۰.۰۶</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کردستان</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۰.۱۰</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۵.۱٪</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چهارمحال وبختیاری</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۶.۳٪</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ایلام</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۰.۰۹</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۴.۷٪</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قم</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۰.۰۵</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w:t>
            </w:r>
          </w:p>
        </w:tc>
      </w:tr>
      <w:tr>
        <w:trPr>
          <w:cantSplit/>
        </w:trPr>
        <w:tc>
          <w:tcPr>
            <w:tcW w:type="dxa" w:w="17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کهگیلویه وبویراحمد</w:t>
            </w:r>
          </w:p>
        </w:tc>
        <w:tc>
          <w:tcPr>
            <w:tcW w:type="dxa" w:w="1994"/>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20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w:t>
            </w:r>
          </w:p>
        </w:tc>
        <w:tc>
          <w:tcPr>
            <w:tcW w:type="dxa" w:w="222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w:t>
            </w:r>
          </w:p>
        </w:tc>
        <w:tc>
          <w:tcPr>
            <w:tcW w:type="dxa" w:w="1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w:t>
            </w:r>
          </w:p>
        </w:tc>
      </w:tr>
    </w:tbl>
    <w:p>
      <w:pPr>
        <w:spacing w:after="200"/>
      </w:pPr>
    </w:p>
    <w:p>
      <w:pPr>
        <w:bidi/>
        <w:spacing w:after="160" w:line="312"/>
        <w:jc w:val="left"/>
      </w:pPr>
      <w:r>
        <w:rPr>
          <w:rFonts w:ascii="Cambria" w:cs="B Nazanin" w:eastAsia="B Nazanin" w:hAnsi="Cambria"/>
          <w:color w:val="000000"/>
          <w:sz w:val="22"/>
          <w:szCs w:val="26"/>
          <w:rtl/>
        </w:rPr>
        <w:t xml:space="preserve">یادداشت: ردیف «واحدهای غیرجغرافیایی» شامل ستاد، شعب مستقل و واحدهای تخصصی امور مالی است و برای حفظ دقت توزیع استانی جدا نگه داشته شده است.</w:t>
      </w:r>
    </w:p>
    <w:p>
      <w:pPr>
        <w:keepNext/>
        <w:spacing w:after="60" w:before="160"/>
        <w:jc w:val="center"/>
      </w:pPr>
      <w:r>
        <w:drawing>
          <wp:inline distT="0" distB="0" distL="0" distR="0">
            <wp:extent cx="5715000" cy="26193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6193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۷-۱: نقشه‌ی استانی توزیع منابع و کیفیت دارایی‌ها</w:t>
      </w:r>
    </w:p>
    <w:p>
      <w:pPr>
        <w:bidi/>
        <w:spacing w:after="160" w:line="312"/>
        <w:jc w:val="left"/>
      </w:pPr>
      <w:r>
        <w:rPr>
          <w:rFonts w:ascii="Cambria" w:cs="B Nazanin" w:eastAsia="B Nazanin" w:hAnsi="Cambria"/>
          <w:color w:val="000000"/>
          <w:sz w:val="22"/>
          <w:szCs w:val="26"/>
          <w:rtl/>
        </w:rPr>
        <w:t xml:space="preserve">نمودار ۷-۲ سهم ۱۵ استان بزرگ را از منابع و تسهیلات بانک مقایسه می‌کند. تهران با ۲۲.۵ درصد منابع و ۱۵.۷ درصد تسهیلات بزرگ‌ترین استان است و پنج استان تهران، خوزستان، اصفهان، مازندران و کرمان روی هم ۴۲.۸ درصد منابع بانک را در اختیار دارند. سهم تهران از منابع از ۱۳.۸ درصد در ۰۱/۱۴۰۰ به ۲۲.۵ درصد در ۱۲/۱۴۰۴ رسیده است. بخشی از این افزایش به جابه‌جایی منابع از واحدهای مستقل مرکزی به شعب استان تهران مربوط است: سهم مجموع تهران و واحدهای غیرجغرافیایی از ۳۵.۵ درصد به ۳۱.۲ درصد تغییر کرده است.</w:t>
      </w:r>
    </w:p>
    <w:p>
      <w:pPr>
        <w:keepNext/>
        <w:spacing w:after="60" w:before="160"/>
        <w:jc w:val="center"/>
      </w:pPr>
      <w:r>
        <w:drawing>
          <wp:inline distT="0" distB="0" distL="0" distR="0">
            <wp:extent cx="5715000" cy="36957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6957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۷-۲: سهم ۱۵ استان بزرگ از منابع ریالی و تسهیلات بانک (۱۲/۱۴۰۴)</w:t>
      </w:r>
    </w:p>
    <w:p>
      <w:pPr>
        <w:bidi/>
        <w:spacing w:after="160" w:line="312"/>
        <w:jc w:val="left"/>
      </w:pPr>
      <w:r>
        <w:rPr>
          <w:rFonts w:ascii="Cambria" w:cs="B Nazanin" w:eastAsia="B Nazanin" w:hAnsi="Cambria"/>
          <w:color w:val="000000"/>
          <w:sz w:val="22"/>
          <w:szCs w:val="26"/>
          <w:rtl/>
        </w:rPr>
        <w:t xml:space="preserve">جدول ۷-۲ شاخص‌های ساختاری هر استان را کنار هم می‌گذارد: سهم از منابع و تسهیلات، نسبت تسهیلات به منابع، منابع مازاد یا کسری و تعداد شعب.</w:t>
      </w:r>
    </w:p>
    <w:p>
      <w:pPr>
        <w:keepNext/>
        <w:bidi/>
        <w:spacing w:after="100" w:before="200"/>
        <w:jc w:val="left"/>
      </w:pPr>
      <w:r>
        <w:rPr>
          <w:rFonts w:ascii="B Nazanin" w:cs="B Nazanin" w:eastAsia="B Nazanin" w:hAnsi="B Nazanin"/>
          <w:b/>
          <w:bCs/>
          <w:color w:val="000000"/>
          <w:sz w:val="22"/>
          <w:szCs w:val="22"/>
          <w:rtl/>
        </w:rPr>
        <w:t xml:space="preserve">جدول ۷-۲: شاخص‌های ساختاری استان‌ها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51"/>
        <w:gridCol w:w="1111"/>
        <w:gridCol w:w="1177"/>
        <w:gridCol w:w="1377"/>
        <w:gridCol w:w="1675"/>
        <w:gridCol w:w="1000"/>
        <w:gridCol w:w="1659"/>
      </w:tblGrid>
      <w:tr>
        <w:trPr>
          <w:cantSplit/>
          <w:tblHeader/>
        </w:trPr>
        <w:tc>
          <w:tcPr>
            <w:tcW w:type="dxa" w:w="135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استان</w:t>
            </w:r>
          </w:p>
        </w:tc>
        <w:tc>
          <w:tcPr>
            <w:tcW w:type="dxa" w:w="111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منابع</w:t>
            </w:r>
          </w:p>
        </w:tc>
        <w:tc>
          <w:tcPr>
            <w:tcW w:type="dxa" w:w="11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تسهیلات</w:t>
            </w:r>
          </w:p>
        </w:tc>
        <w:tc>
          <w:tcPr>
            <w:tcW w:type="dxa" w:w="137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تسهیلات به منابع</w:t>
            </w:r>
          </w:p>
        </w:tc>
        <w:tc>
          <w:tcPr>
            <w:tcW w:type="dxa" w:w="167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مازاد یا کسری منابع (هزار میلیارد تومان)</w:t>
            </w:r>
          </w:p>
        </w:tc>
        <w:tc>
          <w:tcPr>
            <w:tcW w:type="dxa" w:w="100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شعب</w:t>
            </w:r>
          </w:p>
        </w:tc>
        <w:tc>
          <w:tcPr>
            <w:tcW w:type="dxa" w:w="165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منابع هر شعبه، هزار میلیارد تومان</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تهران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۱۵.۷٪</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مازاد ۶.۷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خوزستان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مازاد ۱.۸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۰.۳۸</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اصفهان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مازاد ۰.۲</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مازندران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۱۳۹٪</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۲.۳</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۰.۲۷</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کرمان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مازاد ۱.۰</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رضوی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فارس</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۲.۱</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۰.۲۰</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آذربایجان شرقی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۳.۴٪</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۰.۶</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البرز</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۱۰۹٪</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۰.۴۵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گیلان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۲.۹٪</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۱۱۵٪</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همدان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۰.۰۱</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مرکزی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۰.۲۲</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گلستان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۱.۲</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آذربایجان غربی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هرمزگان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۱۱۲٪</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۰.۳</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۰.۲۴</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بوشهر</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سیستان وبلوچستان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۹۰٪</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مازاد ۰.۲</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کرمانشاه</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۱.۰</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۰.۱۵</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جنوبی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۱۳۲٪</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۰.۲۰</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سمنان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۲.۴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۰.۲۶</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قزوین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۰.۲۹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یزد</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۱۹۳٪</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۱.۸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۰.۱۶</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لرستان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۱۹۴٪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۱.۸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اردبیل</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۱۵۷٪</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۰.۱۴</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زنجان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خراسان شمالی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۱۷۵٪</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۱.۰</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کردستان</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۰.۹٪</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۱۶۱٪</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۰.۱۱</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چهارمحال وبختیاری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۱۶۶٪</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۰.۷</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ایلام</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۱۸۱٪</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۰.۸</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۰.۱۳</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قم</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۰.۵</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۰.۱۹</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کهگیلویه وبویراحمد</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۱۸۹٪</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۰.۹</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۰.۱۶</w:t>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واحدهای غیرجغرافیایی</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۸.۱٪</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۰.۴</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۵۵</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r>
        <w:trPr>
          <w:cantSplit/>
        </w:trPr>
        <w:tc>
          <w:tcPr>
            <w:tcW w:type="dxa" w:w="135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 بانک</w:t>
            </w:r>
          </w:p>
        </w:tc>
        <w:tc>
          <w:tcPr>
            <w:tcW w:type="dxa" w:w="111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1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37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۱۱۱٪</w:t>
            </w:r>
          </w:p>
        </w:tc>
        <w:tc>
          <w:tcPr>
            <w:tcW w:type="dxa" w:w="167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کسری ۱۵.۱</w:t>
            </w:r>
          </w:p>
        </w:tc>
        <w:tc>
          <w:tcPr>
            <w:tcW w:type="dxa" w:w="100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۵۰۳</w:t>
            </w:r>
          </w:p>
        </w:tc>
        <w:tc>
          <w:tcPr>
            <w:tcW w:type="dxa" w:w="165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bl>
    <w:p>
      <w:pPr>
        <w:spacing w:after="200"/>
      </w:pPr>
    </w:p>
    <w:p>
      <w:pPr>
        <w:pBdr>
          <w:bottom w:val="single" w:color="BBBBBB" w:sz="6"/>
        </w:pBdr>
        <w:spacing w:after="100" w:before="100"/>
      </w:pPr>
    </w:p>
    <w:p>
      <w:pPr>
        <w:pStyle w:val="Heading2"/>
        <w:keepNext/>
        <w:bidi/>
        <w:spacing w:after="160" w:before="300"/>
        <w:jc w:val="left"/>
      </w:pPr>
      <w:bookmarkStart w:name="_Toc65" w:id="65"/>
      <w:r>
        <w:rPr>
          <w:rFonts w:ascii="B Titr" w:cs="B Titr" w:eastAsia="B Titr" w:hAnsi="B Titr"/>
          <w:b w:val="false"/>
          <w:bCs w:val="false"/>
          <w:color w:val="000000"/>
          <w:sz w:val="26"/>
          <w:szCs w:val="26"/>
          <w:rtl/>
        </w:rPr>
        <w:t xml:space="preserve">۷.۲ توازن منابع و مصارف استان‌ها</w:t>
      </w:r>
      <w:bookmarkEnd w:id="65"/>
    </w:p>
    <w:p>
      <w:pPr>
        <w:bidi/>
        <w:spacing w:after="160" w:line="312"/>
        <w:jc w:val="left"/>
      </w:pPr>
      <w:r>
        <w:rPr>
          <w:rFonts w:ascii="Cambria" w:cs="B Nazanin" w:eastAsia="B Nazanin" w:hAnsi="Cambria"/>
          <w:color w:val="000000"/>
          <w:sz w:val="22"/>
          <w:szCs w:val="26"/>
          <w:rtl/>
        </w:rPr>
        <w:t xml:space="preserve">نسبت تسهیلات به منابع ریالی در کل بانک ۱۱۱.۳ درصد است. نمودار ۷-۳ نشان می‌دهد این نسبت میان استان‌ها بسیار متفاوت است. فقط پنج استان تهران (۷۸ درصد)، خوزستان (۷۷ درصد)، کرمان (۸۳ درصد)، سیستان و بلوچستان (۹۰ درصد) و اصفهان (۹۸ درصد) کمتر از منابع خود تسهیلات داده‌اند. مازاد منابع این پنج استان ۹.۹ هزار میلیارد تومان است که ۶.۷ هزار میلیارد تومان آن به تهران تعلق دارد.</w:t>
      </w:r>
    </w:p>
    <w:p>
      <w:pPr>
        <w:keepNext/>
        <w:spacing w:after="60" w:before="160"/>
        <w:jc w:val="center"/>
      </w:pPr>
      <w:r>
        <w:drawing>
          <wp:inline distT="0" distB="0" distL="0" distR="0">
            <wp:extent cx="5715000" cy="57054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57054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۷-۳: نسبت تسهیلات به منابع ریالی به تفکیک استان (۱۲/۱۴۰۴)</w:t>
      </w:r>
    </w:p>
    <w:p>
      <w:pPr>
        <w:bidi/>
        <w:spacing w:after="160" w:line="312"/>
        <w:jc w:val="left"/>
      </w:pPr>
      <w:r>
        <w:rPr>
          <w:rFonts w:ascii="Cambria" w:cs="B Nazanin" w:eastAsia="B Nazanin" w:hAnsi="Cambria"/>
          <w:color w:val="000000"/>
          <w:sz w:val="22"/>
          <w:szCs w:val="26"/>
          <w:rtl/>
        </w:rPr>
        <w:t xml:space="preserve">۲۶ استان بیش از منابع محلی خود تسهیلات داده‌اند و مجموع کسری منابع آن‌ها ۲۴.۶ هزار میلیارد تومان است. بالاترین نسبت‌ها به سمنان (۲۱۴ درصد)، لرستان (۱۹۴ درصد)، یزد (۱۹۳ درصد)، کهگیلویه و بویراحمد (۱۸۹ درصد) و ایلام (۱۸۱ درصد) تعلق دارد. در این استان‌ها مانده‌ی تسهیلات از منابع ثبت‌شده‌ی محلی بیشتر است و داده‌ی تخصیص وجوه میان استان‌ها در دسترس نیست؛ ظرفیت جذب سپرده در آن‌ها فرصت رشد منابع بانک است و برنامه‌ی تجهیز منابع در فازهای بعد می‌تواند از همین تفکیک آغاز شود.</w:t>
      </w:r>
    </w:p>
    <w:p>
      <w:pPr>
        <w:pBdr>
          <w:bottom w:val="single" w:color="BBBBBB" w:sz="6"/>
        </w:pBdr>
        <w:spacing w:after="100" w:before="100"/>
      </w:pPr>
    </w:p>
    <w:p>
      <w:pPr>
        <w:pStyle w:val="Heading2"/>
        <w:keepNext/>
        <w:bidi/>
        <w:spacing w:after="160" w:before="300"/>
        <w:jc w:val="left"/>
      </w:pPr>
      <w:bookmarkStart w:name="_Toc66" w:id="66"/>
      <w:r>
        <w:rPr>
          <w:rFonts w:ascii="B Titr" w:cs="B Titr" w:eastAsia="B Titr" w:hAnsi="B Titr"/>
          <w:b w:val="false"/>
          <w:bCs w:val="false"/>
          <w:color w:val="000000"/>
          <w:sz w:val="26"/>
          <w:szCs w:val="26"/>
          <w:rtl/>
        </w:rPr>
        <w:t xml:space="preserve">۷.۳ کیفیت دارایی در استان‌ها</w:t>
      </w:r>
      <w:bookmarkEnd w:id="66"/>
    </w:p>
    <w:p>
      <w:pPr>
        <w:bidi/>
        <w:spacing w:after="160" w:line="312"/>
        <w:jc w:val="left"/>
      </w:pPr>
      <w:r>
        <w:rPr>
          <w:rFonts w:ascii="Cambria" w:cs="B Nazanin" w:eastAsia="B Nazanin" w:hAnsi="Cambria"/>
          <w:color w:val="000000"/>
          <w:sz w:val="22"/>
          <w:szCs w:val="26"/>
          <w:rtl/>
        </w:rPr>
        <w:t xml:space="preserve">نسبت مطالبات غیرجاری بانک ۸.۰ درصد است و نمودار ۷-۴ نشان می‌دهد این رقم در استان‌ها از ۱.۸ درصد (کرمان) تا ۳۵.۸ درصد (سمنان) تغییر می‌کند. تهران با ۴.۳ درصد، همدان با ۲.۲ درصد و خراسان جنوبی با ۲.۱ درصد از استان‌های دارای کیفیت دارایی مطلوب‌اند.</w:t>
      </w:r>
    </w:p>
    <w:p>
      <w:pPr>
        <w:keepNext/>
        <w:spacing w:after="60" w:before="160"/>
        <w:jc w:val="center"/>
      </w:pPr>
      <w:r>
        <w:drawing>
          <wp:inline distT="0" distB="0" distL="0" distR="0">
            <wp:extent cx="5715000" cy="35814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5814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۷-۴: نسبت مطالبات غیرجاری به تفکیک استان و سهم چهار استان پرمخاطره از تسهیلات و مطالبات غیرجاری (۱۲/۱۴۰۴)</w:t>
      </w:r>
    </w:p>
    <w:p>
      <w:pPr>
        <w:bidi/>
        <w:spacing w:after="160" w:line="312"/>
        <w:jc w:val="left"/>
      </w:pPr>
      <w:r>
        <w:rPr>
          <w:rFonts w:ascii="Cambria" w:cs="B Nazanin" w:eastAsia="B Nazanin" w:hAnsi="Cambria"/>
          <w:color w:val="000000"/>
          <w:sz w:val="22"/>
          <w:szCs w:val="26"/>
          <w:rtl/>
        </w:rPr>
        <w:t xml:space="preserve">چهار استان سمنان (۳۵.۸ درصد)، هرمزگان (۲۱.۹ درصد)، مرکزی (۱۹.۰ درصد) و مازندران (۱۸.۴ درصد) نسبت غیرجاری بالای ۱۸ درصد دارند. این چهار استان ۱۳.۲ درصد تسهیلات اما ۳۷.۹ درصد کل مطالبات غیرجاری بانک را شامل می‌شوند. جدول ۷-۳ این تفاوت را نشان می‌دهد: نسبت غیرجاری در این چهار استان ۲۳.۰ درصد و در ۲۷ استان دیگر ۵.۳ درصد است.</w:t>
      </w:r>
    </w:p>
    <w:p>
      <w:pPr>
        <w:keepNext/>
        <w:bidi/>
        <w:spacing w:after="100" w:before="200"/>
        <w:jc w:val="left"/>
      </w:pPr>
      <w:r>
        <w:rPr>
          <w:rFonts w:ascii="B Nazanin" w:cs="B Nazanin" w:eastAsia="B Nazanin" w:hAnsi="B Nazanin"/>
          <w:b/>
          <w:bCs/>
          <w:color w:val="000000"/>
          <w:sz w:val="22"/>
          <w:szCs w:val="22"/>
          <w:rtl/>
        </w:rPr>
        <w:t xml:space="preserve">جدول ۷-۳: سهم گروه‌های استانی از تسهیلات و مطالبات غیرجاری (۱۲/۱۴۰۴)</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43"/>
        <w:gridCol w:w="1505"/>
        <w:gridCol w:w="1647"/>
        <w:gridCol w:w="1963"/>
        <w:gridCol w:w="1892"/>
      </w:tblGrid>
      <w:tr>
        <w:trPr>
          <w:cantSplit/>
          <w:tblHeader/>
        </w:trPr>
        <w:tc>
          <w:tcPr>
            <w:tcW w:type="dxa" w:w="234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گروه</w:t>
            </w:r>
          </w:p>
        </w:tc>
        <w:tc>
          <w:tcPr>
            <w:tcW w:type="dxa" w:w="150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تعداد استان</w:t>
            </w:r>
          </w:p>
        </w:tc>
        <w:tc>
          <w:tcPr>
            <w:tcW w:type="dxa" w:w="164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تسهیلات</w:t>
            </w:r>
          </w:p>
        </w:tc>
        <w:tc>
          <w:tcPr>
            <w:tcW w:type="dxa" w:w="196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مطالبات غیرجاری</w:t>
            </w:r>
          </w:p>
        </w:tc>
        <w:tc>
          <w:tcPr>
            <w:tcW w:type="dxa" w:w="189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نسبت مطالبات غیرجاری</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چهار استان پرمخاطره (سمنان، هرمزگان، مرکزی، مازندران)</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۱۳.۲٪</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۳۷.۹٪</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۲۳.۰٪</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 استان دیگر</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۲۷</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۷۸.۷٪</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۵۲.۴٪</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واحدهای غیرجغرافیایی</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۸.۱٪</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۹.۷٪</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w:t>
            </w:r>
          </w:p>
        </w:tc>
      </w:tr>
      <w:tr>
        <w:trPr>
          <w:cantSplit/>
        </w:trPr>
        <w:tc>
          <w:tcPr>
            <w:tcW w:type="dxa" w:w="234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کل بانک</w:t>
            </w:r>
          </w:p>
        </w:tc>
        <w:tc>
          <w:tcPr>
            <w:tcW w:type="dxa" w:w="150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w:t>
            </w:r>
          </w:p>
        </w:tc>
        <w:tc>
          <w:tcPr>
            <w:tcW w:type="dxa" w:w="164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96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۱۰۰٪</w:t>
            </w:r>
          </w:p>
        </w:tc>
        <w:tc>
          <w:tcPr>
            <w:tcW w:type="dxa" w:w="189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w:t>
            </w:r>
          </w:p>
        </w:tc>
      </w:tr>
    </w:tbl>
    <w:p>
      <w:pPr>
        <w:spacing w:after="200"/>
      </w:pPr>
    </w:p>
    <w:p>
      <w:pPr>
        <w:bidi/>
        <w:spacing w:after="160" w:line="312"/>
        <w:jc w:val="left"/>
      </w:pPr>
      <w:r>
        <w:rPr>
          <w:rFonts w:ascii="Cambria" w:cs="B Nazanin" w:eastAsia="B Nazanin" w:hAnsi="Cambria"/>
          <w:color w:val="000000"/>
          <w:sz w:val="22"/>
          <w:szCs w:val="26"/>
          <w:rtl/>
        </w:rPr>
        <w:t xml:space="preserve">سمنان و مازندران دو ویژگی هم‌زمان دارند: نسبت تسهیلات به منابع آن‌ها بالاست (۲۱۴ و ۱۳۹ درصد) و مطالبات غیرجاری نیز بالاست. تمرکز پایش ریسک روی همین استان‌ها، بر نسبت غیرجاری کل بانک اثر بیشتری دارد، زیرا سهم این چهار استان از مطالبات غیرجاری ۳۷.۹ درصد است (جدول ۷-۳).</w:t>
      </w:r>
    </w:p>
    <w:p>
      <w:pPr>
        <w:pBdr>
          <w:bottom w:val="single" w:color="BBBBBB" w:sz="6"/>
        </w:pBdr>
        <w:spacing w:after="100" w:before="100"/>
      </w:pPr>
    </w:p>
    <w:p>
      <w:pPr>
        <w:pStyle w:val="Heading2"/>
        <w:keepNext/>
        <w:bidi/>
        <w:spacing w:after="160" w:before="300"/>
        <w:jc w:val="left"/>
      </w:pPr>
      <w:bookmarkStart w:name="_Toc67" w:id="67"/>
      <w:r>
        <w:rPr>
          <w:rFonts w:ascii="B Titr" w:cs="B Titr" w:eastAsia="B Titr" w:hAnsi="B Titr"/>
          <w:b w:val="false"/>
          <w:bCs w:val="false"/>
          <w:color w:val="000000"/>
          <w:sz w:val="26"/>
          <w:szCs w:val="26"/>
          <w:rtl/>
        </w:rPr>
        <w:t xml:space="preserve">۷.۴ روند رشد استانی در ۶۰ ماه</w:t>
      </w:r>
      <w:bookmarkEnd w:id="67"/>
    </w:p>
    <w:p>
      <w:pPr>
        <w:bidi/>
        <w:spacing w:after="160" w:line="312"/>
        <w:jc w:val="left"/>
      </w:pPr>
      <w:r>
        <w:rPr>
          <w:rFonts w:ascii="Cambria" w:cs="B Nazanin" w:eastAsia="B Nazanin" w:hAnsi="Cambria"/>
          <w:color w:val="000000"/>
          <w:sz w:val="22"/>
          <w:szCs w:val="26"/>
          <w:rtl/>
        </w:rPr>
        <w:t xml:space="preserve">منابع و تسهیلات کل بانک از ۰۱/۱۴۰۰ تا ۱۲/۱۴۰۴ به ترتیب ۵.۱ و ۵.۳ برابر شده‌اند (منابع از ۲۶.۰ به ۱۳۳.۱ و تسهیلات از ۲۸.۰ به ۱۴۸.۲ هزار میلیارد تومان). نمودار ۷-۵ رشد هر استان را نشان می‌دهد. رشد منابع استان‌ها ۴.۱ تا ۸.۴ برابر و رشد تسهیلات ۳.۰ تا ۷.۶ برابر بوده است.</w:t>
      </w:r>
    </w:p>
    <w:p>
      <w:pPr>
        <w:keepNext/>
        <w:spacing w:after="60" w:before="160"/>
        <w:jc w:val="center"/>
      </w:pPr>
      <w:r>
        <w:drawing>
          <wp:inline distT="0" distB="0" distL="0" distR="0">
            <wp:extent cx="5715000" cy="54102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54102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۷-۵: چند برابر شدن منابع و تسهیلات هر استان از ۰۱/۱۴۰۰ تا ۱۲/۱۴۰۴</w:t>
      </w:r>
    </w:p>
    <w:p>
      <w:pPr>
        <w:bidi/>
        <w:spacing w:after="160" w:line="312"/>
        <w:jc w:val="left"/>
      </w:pPr>
      <w:r>
        <w:rPr>
          <w:rFonts w:ascii="Cambria" w:cs="B Nazanin" w:eastAsia="B Nazanin" w:hAnsi="Cambria"/>
          <w:color w:val="000000"/>
          <w:sz w:val="22"/>
          <w:szCs w:val="26"/>
          <w:rtl/>
        </w:rPr>
        <w:t xml:space="preserve">تهران در هر دو سمت سریع‌ترین رشد را داشته است (منابع ۸.۴ و تسهیلات ۷.۶ برابر) که بخشی از آن، چنان‌که اشاره شد، به جابه‌جایی واحدهای مرکزی مربوط است. در سمت تسهیلات پس از تهران، آذربایجان غربی، خراسان شمالی و گلستان (۶.۹ تا ۷.۰ برابر) بیشترین رشد را داشته‌اند و خراسان رضوی (۳.۰ برابر)، قزوین (۳.۱ برابر) و البرز (۳.۳ برابر) کمترین. در ۱۵ استان از ۳۱ استان، تسهیلات سریع‌تر از منابع رشد کرده است؛ شکاف رشد در اردبیل (۴.۷ برابر منابع در برابر ۶.۶ برابر تسهیلات)، ایلام (۵.۲ در برابر ۶.۷) و لرستان (۵.۲ در برابر ۶.۶) از همه بیشتر است.</w:t>
      </w:r>
    </w:p>
    <w:p>
      <w:pPr>
        <w:pBdr>
          <w:bottom w:val="single" w:color="BBBBBB" w:sz="6"/>
        </w:pBdr>
        <w:spacing w:after="100" w:before="100"/>
      </w:pPr>
    </w:p>
    <w:p>
      <w:pPr>
        <w:pStyle w:val="Heading2"/>
        <w:keepNext/>
        <w:bidi/>
        <w:spacing w:after="160" w:before="300"/>
        <w:jc w:val="left"/>
      </w:pPr>
      <w:bookmarkStart w:name="_Toc68" w:id="68"/>
      <w:r>
        <w:rPr>
          <w:rFonts w:ascii="B Titr" w:cs="B Titr" w:eastAsia="B Titr" w:hAnsi="B Titr"/>
          <w:b w:val="false"/>
          <w:bCs w:val="false"/>
          <w:color w:val="000000"/>
          <w:sz w:val="26"/>
          <w:szCs w:val="26"/>
          <w:rtl/>
        </w:rPr>
        <w:t xml:space="preserve">۷.۵ ترکیب منابع در استان‌ها</w:t>
      </w:r>
      <w:bookmarkEnd w:id="68"/>
    </w:p>
    <w:p>
      <w:pPr>
        <w:bidi/>
        <w:spacing w:after="160" w:line="312"/>
        <w:jc w:val="left"/>
      </w:pPr>
      <w:r>
        <w:rPr>
          <w:rFonts w:ascii="Cambria" w:cs="B Nazanin" w:eastAsia="B Nazanin" w:hAnsi="Cambria"/>
          <w:color w:val="000000"/>
          <w:sz w:val="22"/>
          <w:szCs w:val="26"/>
          <w:rtl/>
        </w:rPr>
        <w:t xml:space="preserve">ترکیب منابع هر استان بر هزینه‌ی تأمین مالی آن اثر مستقیم دارد: قرض‌الحسنه (جاری و پس‌انداز) بدون هزینه‌ی سود است و سپرده‌ی بلندمدت معمولاً پرهزینه‌ترین منبع است. نمودار ۷-۶ ترکیب منابع هر استان را در ۱۰/۱۴۰۴ نشان می‌دهد؛ این مقطع آخرین مقطعی است که جمع انواع سپرده در فایل رسمی با جمع منابع هم‌خوان است (بخش ۹.۵).</w:t>
      </w:r>
    </w:p>
    <w:p>
      <w:pPr>
        <w:keepNext/>
        <w:spacing w:after="60" w:before="160"/>
        <w:jc w:val="center"/>
      </w:pPr>
      <w:r>
        <w:drawing>
          <wp:inline distT="0" distB="0" distL="0" distR="0">
            <wp:extent cx="5715000" cy="5438775"/>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54387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۷-۶: ترکیب منابع ریالی هر استان بر حسب نوع سپرده (۱۰/۱۴۰۴)</w:t>
      </w:r>
    </w:p>
    <w:p>
      <w:pPr>
        <w:bidi/>
        <w:spacing w:after="160" w:line="312"/>
        <w:jc w:val="left"/>
      </w:pPr>
      <w:r>
        <w:rPr>
          <w:rFonts w:ascii="Cambria" w:cs="B Nazanin" w:eastAsia="B Nazanin" w:hAnsi="Cambria"/>
          <w:color w:val="000000"/>
          <w:sz w:val="22"/>
          <w:szCs w:val="26"/>
          <w:rtl/>
        </w:rPr>
        <w:t xml:space="preserve">در کل بانک ۳۳.۴ درصد منابع قرض‌الحسنه، ۲۰.۱ درصد کوتاه‌مدت و ۴۶.۵ درصد بلندمدت است. سهم قرض‌الحسنه از ۲۲.۲ درصد در تهران تا ۶۲.۹ درصد در کردستان تغییر می‌کند. کردستان، سیستان و بلوچستان (۶۱.۶ درصد)، یزد (۵۴.۵ درصد) و هرمزگان (۵۴.۲ درصد) ارزان‌ترین ترکیب منابع را دارند. در مقابل، تهران ۶۳.۴ درصد منابعش بلندمدت است و گران‌ترین ساختار تأمین مالی را دارد؛ در کرمانشاه ۵۱.۸ درصد و در ایلام ۴۸.۰ درصد منابع بلندمدت است. هزینه‌ی تأمین مالی استان‌ها یکسان نیست و تحلیل سودآوری استانی، که در فاز ۳ پیش‌بینی شده، باید این تفاوت را وارد کند.</w:t>
      </w:r>
    </w:p>
    <w:p>
      <w:pPr>
        <w:pBdr>
          <w:bottom w:val="single" w:color="BBBBBB" w:sz="6"/>
        </w:pBdr>
        <w:spacing w:after="100" w:before="100"/>
      </w:pPr>
    </w:p>
    <w:p>
      <w:pPr>
        <w:pStyle w:val="Heading2"/>
        <w:keepNext/>
        <w:bidi/>
        <w:spacing w:after="160" w:before="300"/>
        <w:jc w:val="left"/>
      </w:pPr>
      <w:bookmarkStart w:name="_Toc69" w:id="69"/>
      <w:r>
        <w:rPr>
          <w:rFonts w:ascii="B Titr" w:cs="B Titr" w:eastAsia="B Titr" w:hAnsi="B Titr"/>
          <w:b w:val="false"/>
          <w:bCs w:val="false"/>
          <w:color w:val="000000"/>
          <w:sz w:val="26"/>
          <w:szCs w:val="26"/>
          <w:rtl/>
        </w:rPr>
        <w:t xml:space="preserve">۷.۶ ساختار شبکه‌ی شعب</w:t>
      </w:r>
      <w:bookmarkEnd w:id="69"/>
    </w:p>
    <w:p>
      <w:pPr>
        <w:bidi/>
        <w:spacing w:after="160" w:line="312"/>
        <w:jc w:val="left"/>
      </w:pPr>
      <w:r>
        <w:rPr>
          <w:rFonts w:ascii="Cambria" w:cs="B Nazanin" w:eastAsia="B Nazanin" w:hAnsi="Cambria"/>
          <w:color w:val="000000"/>
          <w:sz w:val="22"/>
          <w:szCs w:val="26"/>
          <w:rtl/>
        </w:rPr>
        <w:t xml:space="preserve">شبکه‌ی گزارش‌دهنده‌ی بانک در ۱۲/۱۴۰۴ شامل ۵۰۳ واحد است: ۴۴۸ شعبه در ۳۱ استان و ۵۵ واحد ستادی، مستقل و تخصصی. این شبکه در ۰۱/۱۴۰۰ شامل ۴۳۲ واحد (۴۳۰ شعبه‌ی استانی) بود؛ یعنی در پنج سال ۱۸ شعبه‌ی استانی به شبکه افزوده شده است. میانگین منابع هر شعبه‌ی استانی ۰.۲۷ هزار میلیارد تومان است؛ شعب تهران با میانگین ۰.۷۳ بزرگ‌ترین و شعب کردستان با ۰.۱۱ کوچک‌ترین‌اند (جدول ۷-۲).</w:t>
      </w:r>
    </w:p>
    <w:p>
      <w:pPr>
        <w:bidi/>
        <w:spacing w:after="160" w:line="312"/>
        <w:jc w:val="left"/>
      </w:pPr>
      <w:r>
        <w:rPr>
          <w:rFonts w:ascii="Cambria" w:cs="B Nazanin" w:eastAsia="B Nazanin" w:hAnsi="Cambria"/>
          <w:color w:val="000000"/>
          <w:sz w:val="22"/>
          <w:szCs w:val="26"/>
          <w:rtl/>
        </w:rPr>
        <w:t xml:space="preserve">نمودار ۷-۷ تمرکز منابع و تسهیلات را میان شعب نشان می‌دهد. ضریب جینی توزیع منابع شعب ۰.۴۲ و توزیع تسهیلات ۰.۵۱ است؛ ده درصد شعب بزرگ ۳۵ درصد منابع و ۴۳ درصد تسهیلات را در اختیار دارند و ۲۰ درصد شعب بزرگ ۴۹ و ۵۸ درصد. تمرکز تسهیلات در شعب از تمرکز منابع بیشتر است و مدیریت ریسک اعتباری شعب بزرگ اهمیت ویژه‌ای دارد.</w:t>
      </w:r>
    </w:p>
    <w:p>
      <w:pPr>
        <w:keepNext/>
        <w:spacing w:after="60" w:before="160"/>
        <w:jc w:val="center"/>
      </w:pPr>
      <w:r>
        <w:drawing>
          <wp:inline distT="0" distB="0" distL="0" distR="0">
            <wp:extent cx="5715000" cy="49053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49053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۷-۷: منحنی لورنز توزیع منابع و تسهیلات میان شعب استانی (۱۲/۱۴۰۴)</w:t>
      </w:r>
    </w:p>
    <w:p>
      <w:pPr>
        <w:pBdr>
          <w:bottom w:val="single" w:color="BBBBBB" w:sz="6"/>
        </w:pBdr>
        <w:spacing w:after="100" w:before="100"/>
      </w:pPr>
    </w:p>
    <w:p>
      <w:pPr>
        <w:pStyle w:val="Heading2"/>
        <w:keepNext/>
        <w:bidi/>
        <w:spacing w:after="160" w:before="300"/>
        <w:jc w:val="left"/>
      </w:pPr>
      <w:bookmarkStart w:name="_Toc70" w:id="70"/>
      <w:r>
        <w:rPr>
          <w:rFonts w:ascii="B Titr" w:cs="B Titr" w:eastAsia="B Titr" w:hAnsi="B Titr"/>
          <w:b w:val="false"/>
          <w:bCs w:val="false"/>
          <w:color w:val="000000"/>
          <w:sz w:val="26"/>
          <w:szCs w:val="26"/>
          <w:rtl/>
        </w:rPr>
        <w:t xml:space="preserve">۷.۷ هم‌خوانی الگوی استانی نمونه با بانک</w:t>
      </w:r>
      <w:bookmarkEnd w:id="70"/>
    </w:p>
    <w:p>
      <w:pPr>
        <w:bidi/>
        <w:spacing w:after="160" w:line="312"/>
        <w:jc w:val="left"/>
      </w:pPr>
      <w:r>
        <w:rPr>
          <w:rFonts w:ascii="Cambria" w:cs="B Nazanin" w:eastAsia="B Nazanin" w:hAnsi="Cambria"/>
          <w:color w:val="000000"/>
          <w:sz w:val="22"/>
          <w:szCs w:val="26"/>
          <w:rtl/>
        </w:rPr>
        <w:t xml:space="preserve">برای سنجش اعتبار تحلیل‌های مشتری‌محور (فصل‌های ۳ تا ۶) در سطح استان، سهم هر استان از تسهیلات نمونه با آمار رسمی مقایسه شد. نمودار ۷-۸ نشان می‌دهد سهم استان‌ها در نمونه و در آمار رسمی تقریباً روی خط برابری قرار دارد و ضریب همبستگی (لگاریتمی) ۰.۹۹ است. همبستگی توزیع استانی سپرده‌ی نمونه با منابع رسمی نیز ۰.۹۳ تا ۰.۹۸ (بسته به روش انتساب مشتری به استان) است. این هم‌خوانی نتیجه‌ی طراحی نمونه است که سهم استانی را در تخصیص نمونه لحاظ کرده است (بخش ۱.۲).</w:t>
      </w:r>
    </w:p>
    <w:p>
      <w:pPr>
        <w:keepNext/>
        <w:spacing w:after="60" w:before="160"/>
        <w:jc w:val="center"/>
      </w:pPr>
      <w:r>
        <w:drawing>
          <wp:inline distT="0" distB="0" distL="0" distR="0">
            <wp:extent cx="5715000" cy="28765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715000" cy="28765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۷-۸: مقایسه‌ی سهم استانی تسهیلات نمونه با آمار رسمی و پوشش هر استان (۱۲/۱۴۰۴)</w:t>
      </w:r>
    </w:p>
    <w:p>
      <w:pPr>
        <w:bidi/>
        <w:spacing w:after="160" w:line="312"/>
        <w:jc w:val="left"/>
      </w:pPr>
      <w:r>
        <w:rPr>
          <w:rFonts w:ascii="Cambria" w:cs="B Nazanin" w:eastAsia="B Nazanin" w:hAnsi="Cambria"/>
          <w:color w:val="000000"/>
          <w:sz w:val="22"/>
          <w:szCs w:val="26"/>
          <w:rtl/>
        </w:rPr>
        <w:t xml:space="preserve">پوشش تسهیلات نمونه در استان‌ها (بخش دارای نگاشت شعبه) به‌طور متوسط ۶۶ درصد و از ۵۴ درصد (سمنان) تا ۸۲ درصد (البرز) است. پوشش استان‌ها میان ۵۴ و ۸۲ درصد است و ساختار استانی نمونه با بانک هم‌خوان است. سهم استانی بخشی از طراحی نمونه بوده است؛ بنابراین این هم‌خوانی تعمیم سایر شاخص‌های مشتری را اثبات نمی‌کند و وزن‌دهی استانی در فاز ۲ بررسی می‌شود.</w:t>
      </w:r>
    </w:p>
    <w:p>
      <w:pPr>
        <w:pBdr>
          <w:bottom w:val="single" w:color="BBBBBB" w:sz="6"/>
        </w:pBdr>
        <w:spacing w:after="100" w:before="100"/>
      </w:pPr>
    </w:p>
    <w:p>
      <w:pPr>
        <w:pStyle w:val="Heading2"/>
        <w:keepNext/>
        <w:bidi/>
        <w:spacing w:after="160" w:before="300"/>
        <w:jc w:val="left"/>
      </w:pPr>
      <w:bookmarkStart w:name="_Toc71" w:id="71"/>
      <w:r>
        <w:rPr>
          <w:rFonts w:ascii="B Titr" w:cs="B Titr" w:eastAsia="B Titr" w:hAnsi="B Titr"/>
          <w:b w:val="false"/>
          <w:bCs w:val="false"/>
          <w:color w:val="000000"/>
          <w:sz w:val="26"/>
          <w:szCs w:val="26"/>
          <w:rtl/>
        </w:rPr>
        <w:t xml:space="preserve">۷.۸ پراکندگی جغرافیایی مشتریان</w:t>
      </w:r>
      <w:bookmarkEnd w:id="71"/>
    </w:p>
    <w:p>
      <w:pPr>
        <w:bidi/>
        <w:spacing w:after="160" w:line="312"/>
        <w:jc w:val="left"/>
      </w:pPr>
      <w:r>
        <w:rPr>
          <w:rFonts w:ascii="Cambria" w:cs="B Nazanin" w:eastAsia="B Nazanin" w:hAnsi="Cambria"/>
          <w:color w:val="000000"/>
          <w:sz w:val="22"/>
          <w:szCs w:val="26"/>
          <w:rtl/>
        </w:rPr>
        <w:t xml:space="preserve">استان هر مشتری بر اساس شعبه‌ی اصلی او، یعنی شعبه‌ای که بیشترین فعالیت را در آن دارد، تعیین می‌شود. این نگاشت از ۷۱۳,۹۶۶ مشتری مبنای نگاشت (اجتماع سپرده‌گذاران، طرف‌های قراردادهای تسهیلات و مشتریان دارای گردش) ۶۰۲,۳۳۶ نفر (۸۴.۴ درصد) را در بر می‌گیرد که ۹۱.۰ درصد مانده‌ی سپرده و ۹۰.۵ درصد گردش عملیاتی را دارند. ۱۱۱,۶۳۰ مشتری (۱۵.۶ درصد) نگاشت ندارند و عمدتاً دارندگان حساب جاری و قرض‌الحسنه‌ی کم‌فعالیت‌اند. ۵۹۶,۱۴۴ نفر از مشتریان نگاشت‌شده به شعب استانی تعلق دارند.</w:t>
      </w:r>
    </w:p>
    <w:p>
      <w:pPr>
        <w:bidi/>
        <w:spacing w:after="160" w:line="312"/>
        <w:jc w:val="left"/>
      </w:pPr>
      <w:r>
        <w:rPr>
          <w:rFonts w:ascii="Cambria" w:cs="B Nazanin" w:eastAsia="B Nazanin" w:hAnsi="Cambria"/>
          <w:color w:val="000000"/>
          <w:sz w:val="22"/>
          <w:szCs w:val="26"/>
          <w:rtl/>
        </w:rPr>
        <w:t xml:space="preserve">نمودار ۷-۹ سهم استان‌ها از مشتریان نمونه را با سهم آن‌ها از منابع رسمی بانک مقایسه می‌کند. تهران ۱۰.۴ درصد مشتریان اما ۳۴.۳ درصد مانده‌ی سپرده‌ی نمونه را در اختیار دارد (مبنای نگاشت شعبه‌ی اصلی مشتری است و با تفکیک رسمی شعب که واحدهای مرکزی را جدا می‌کند یکسان نیست؛ سهم رسمی تهران از جمع استان‌ها ۲۴.۷ و از کل منابع بانک ۲۲.۵ درصد است)؛ میانگین مانده‌ی هر مشتری تهرانی ۳۶۸ میلیون تومان و بیش از سه برابر میانگین کل (۱۱۱ میلیون تومان) است. البرز (۱۹۸) و خوزستان (۱۶۱ میلیون تومان) پس از تهران قرار دارند. در مقابل، استان‌هایی مانند همدان، کرمانشاه، گلستان و فارس سهم مشتریان بیشتری از سهم منابع خود دارند و پایگاه مشتریان خرد گسترده‌تری را نشان می‌دهند؛ کردستان (۲۹ میلیون تومان) و ایلام (۳۶ میلیون تومان) کمترین میانگین مانده را دارند.</w:t>
      </w:r>
    </w:p>
    <w:p>
      <w:pPr>
        <w:keepNext/>
        <w:spacing w:after="60" w:before="160"/>
        <w:jc w:val="center"/>
      </w:pPr>
      <w:r>
        <w:drawing>
          <wp:inline distT="0" distB="0" distL="0" distR="0">
            <wp:extent cx="5715000" cy="36480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715000" cy="364807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۷-۹: سهم ۱۲ استان بزرگ از مشتریان نمونه در مقایسه با سهم آن‌ها از منابع رسمی بانک</w:t>
      </w:r>
    </w:p>
    <w:p>
      <w:pPr>
        <w:bidi/>
        <w:spacing w:after="160" w:line="312"/>
        <w:jc w:val="left"/>
      </w:pPr>
      <w:r>
        <w:rPr>
          <w:rFonts w:ascii="Cambria" w:cs="B Nazanin" w:eastAsia="B Nazanin" w:hAnsi="Cambria"/>
          <w:color w:val="000000"/>
          <w:sz w:val="22"/>
          <w:szCs w:val="26"/>
          <w:rtl/>
        </w:rPr>
        <w:t xml:space="preserve">این الگو سه گروه جغرافیایی را برای بخش‌بندی فاز ۲ پیشنهاد می‌کند: استان‌های کلان‌شهری با مانده‌ی بالای هر مشتری (تهران، البرز، خوزستان)، استان‌های با پایگاه گسترده‌ی مشتریان خرد (همدان، کرمانشاه، گلستان، فارس) و استان‌های با مانده‌ی پایین و سهم بالای منابع رایگان (کردستان، سیستان و بلوچستان).</w:t>
      </w:r>
    </w:p>
    <w:p>
      <w:pPr>
        <w:pBdr>
          <w:bottom w:val="single" w:color="BBBBBB" w:sz="6"/>
        </w:pBdr>
        <w:spacing w:after="100" w:before="100"/>
      </w:pPr>
    </w:p>
    <w:p>
      <w:pPr>
        <w:pStyle w:val="Heading2"/>
        <w:keepNext/>
        <w:bidi/>
        <w:spacing w:after="160" w:before="300"/>
        <w:jc w:val="left"/>
      </w:pPr>
      <w:bookmarkStart w:name="_Toc72" w:id="72"/>
      <w:r>
        <w:rPr>
          <w:rFonts w:ascii="B Titr" w:cs="B Titr" w:eastAsia="B Titr" w:hAnsi="B Titr"/>
          <w:b w:val="false"/>
          <w:bCs w:val="false"/>
          <w:color w:val="000000"/>
          <w:sz w:val="26"/>
          <w:szCs w:val="26"/>
          <w:rtl/>
        </w:rPr>
        <w:t xml:space="preserve">۷.۹ جمع‌بندی فصل</w:t>
      </w:r>
      <w:bookmarkEnd w:id="72"/>
    </w:p>
    <w:p>
      <w:pPr>
        <w:bidi/>
        <w:spacing w:after="160" w:line="312"/>
        <w:jc w:val="left"/>
      </w:pPr>
      <w:r>
        <w:rPr>
          <w:rFonts w:ascii="Cambria" w:cs="B Nazanin" w:eastAsia="B Nazanin" w:hAnsi="Cambria"/>
          <w:color w:val="000000"/>
          <w:sz w:val="22"/>
          <w:szCs w:val="26"/>
          <w:rtl/>
        </w:rPr>
        <w:t xml:space="preserve">نتایج جغرافیایی فصل چنین است:</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b/>
          <w:bCs/>
          <w:color w:val="000000"/>
          <w:sz w:val="22"/>
          <w:szCs w:val="26"/>
          <w:rtl/>
        </w:rPr>
        <w:t xml:space="preserve">ساختار:</w:t>
      </w:r>
      <w:r>
        <w:rPr>
          <w:rFonts w:ascii="Cambria" w:cs="B Nazanin" w:eastAsia="B Nazanin" w:hAnsi="Cambria"/>
          <w:color w:val="000000"/>
          <w:sz w:val="22"/>
          <w:szCs w:val="26"/>
          <w:rtl/>
        </w:rPr>
        <w:t xml:space="preserve"> تهران ۲۲.۵ درصد منابع و ۱۵.۷ درصد تسهیلات بانک را دارد؛ پنج استان بزرگ ۴۲.۸ درصد منابع را در اختیار دارند.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b/>
          <w:bCs/>
          <w:color w:val="000000"/>
          <w:sz w:val="22"/>
          <w:szCs w:val="26"/>
          <w:rtl/>
        </w:rPr>
        <w:t xml:space="preserve">توازن:</w:t>
      </w:r>
      <w:r>
        <w:rPr>
          <w:rFonts w:ascii="Cambria" w:cs="B Nazanin" w:eastAsia="B Nazanin" w:hAnsi="Cambria"/>
          <w:color w:val="000000"/>
          <w:sz w:val="22"/>
          <w:szCs w:val="26"/>
          <w:rtl/>
        </w:rPr>
        <w:t xml:space="preserve"> ۲۶ استان بیش از منابع خود تسهیلات داده‌اند (کسری ۲۴.۶ هزار میلیارد تومان) و فقط پنج استان مازاد منابع دارند؛ بالاترین نسبت‌ها در سمنان، لرستان و یزد است.</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b/>
          <w:bCs/>
          <w:color w:val="000000"/>
          <w:sz w:val="22"/>
          <w:szCs w:val="26"/>
          <w:rtl/>
        </w:rPr>
        <w:t xml:space="preserve">ریسک جغرافیایی:</w:t>
      </w:r>
      <w:r>
        <w:rPr>
          <w:rFonts w:ascii="Cambria" w:cs="B Nazanin" w:eastAsia="B Nazanin" w:hAnsi="Cambria"/>
          <w:color w:val="000000"/>
          <w:sz w:val="22"/>
          <w:szCs w:val="26"/>
          <w:rtl/>
        </w:rPr>
        <w:t xml:space="preserve"> چهار استان سمنان، هرمزگان، مرکزی و مازندران ۱۳.۲ درصد تسهیلات اما ۳۷.۹ درصد مطالبات غیرجاری بانک را دارند (نسبت ۲۳.۰ درصد در برابر ۵.۳ درصد در سایر استان‌ها).</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b/>
          <w:bCs/>
          <w:color w:val="000000"/>
          <w:sz w:val="22"/>
          <w:szCs w:val="26"/>
          <w:rtl/>
        </w:rPr>
        <w:t xml:space="preserve">ترکیب منابع:</w:t>
      </w:r>
      <w:r>
        <w:rPr>
          <w:rFonts w:ascii="Cambria" w:cs="B Nazanin" w:eastAsia="B Nazanin" w:hAnsi="Cambria"/>
          <w:color w:val="000000"/>
          <w:sz w:val="22"/>
          <w:szCs w:val="26"/>
          <w:rtl/>
        </w:rPr>
        <w:t xml:space="preserve"> سهم قرض‌الحسنه در استان‌ها از ۲۲ تا ۶۳ درصد تغییر می‌کند و تهران کمترین سهم قرض‌الحسنه (۲۲.۲ درصد) و در نتیجه پرهزینه‌ترین ترکیب منابع را دارد.</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b/>
          <w:bCs/>
          <w:color w:val="000000"/>
          <w:sz w:val="22"/>
          <w:szCs w:val="26"/>
          <w:rtl/>
        </w:rPr>
        <w:t xml:space="preserve">شبکه:</w:t>
      </w:r>
      <w:r>
        <w:rPr>
          <w:rFonts w:ascii="Cambria" w:cs="B Nazanin" w:eastAsia="B Nazanin" w:hAnsi="Cambria"/>
          <w:color w:val="000000"/>
          <w:sz w:val="22"/>
          <w:szCs w:val="26"/>
          <w:rtl/>
        </w:rPr>
        <w:t xml:space="preserve"> ۵۰۳ واحد، با تمرکز تسهیلات بیشتر از منابع (جینی ۰.۵۱ در برابر ۰.۴۲).</w:t>
      </w:r>
    </w:p>
    <w:p>
      <w:pPr>
        <w:bidi/>
        <w:spacing w:after="120" w:line="300"/>
        <w:ind w:start="300"/>
        <w:jc w:val="left"/>
      </w:pPr>
      <w:r>
        <w:rPr>
          <w:rFonts w:ascii="Cambria" w:cs="B Nazanin" w:eastAsia="B Nazanin" w:hAnsi="Cambria"/>
          <w:color w:val="000000"/>
          <w:sz w:val="22"/>
          <w:szCs w:val="26"/>
          <w:rtl/>
        </w:rPr>
        <w:t xml:space="preserve">۶. </w:t>
      </w:r>
      <w:r>
        <w:rPr>
          <w:rFonts w:ascii="Cambria" w:cs="B Nazanin" w:eastAsia="B Nazanin" w:hAnsi="Cambria"/>
          <w:b/>
          <w:bCs/>
          <w:color w:val="000000"/>
          <w:sz w:val="22"/>
          <w:szCs w:val="26"/>
          <w:rtl/>
        </w:rPr>
        <w:t xml:space="preserve">هم‌خوانی نمونه:</w:t>
      </w:r>
      <w:r>
        <w:rPr>
          <w:rFonts w:ascii="Cambria" w:cs="B Nazanin" w:eastAsia="B Nazanin" w:hAnsi="Cambria"/>
          <w:color w:val="000000"/>
          <w:sz w:val="22"/>
          <w:szCs w:val="26"/>
          <w:rtl/>
        </w:rPr>
        <w:t xml:space="preserve"> الگوی استانی نمونه با آمار رسمی همبستگی ۰.۹۹ دارد (سهم استانی بخشی از طراحی نمونه است) و پوشش استان‌ها ۵۴ تا ۸۲ درصد است.</w:t>
      </w:r>
    </w:p>
    <w:p>
      <w:pPr>
        <w:bidi/>
        <w:spacing w:after="120" w:line="300"/>
        <w:ind w:start="300"/>
        <w:jc w:val="left"/>
      </w:pPr>
      <w:r>
        <w:rPr>
          <w:rFonts w:ascii="Cambria" w:cs="B Nazanin" w:eastAsia="B Nazanin" w:hAnsi="Cambria"/>
          <w:color w:val="000000"/>
          <w:sz w:val="22"/>
          <w:szCs w:val="26"/>
          <w:rtl/>
        </w:rPr>
        <w:t xml:space="preserve">۷. </w:t>
      </w:r>
      <w:r>
        <w:rPr>
          <w:rFonts w:ascii="Cambria" w:cs="B Nazanin" w:eastAsia="B Nazanin" w:hAnsi="Cambria"/>
          <w:b/>
          <w:bCs/>
          <w:color w:val="000000"/>
          <w:sz w:val="22"/>
          <w:szCs w:val="26"/>
          <w:rtl/>
        </w:rPr>
        <w:t xml:space="preserve">مشتریان:</w:t>
      </w:r>
      <w:r>
        <w:rPr>
          <w:rFonts w:ascii="Cambria" w:cs="B Nazanin" w:eastAsia="B Nazanin" w:hAnsi="Cambria"/>
          <w:color w:val="000000"/>
          <w:sz w:val="22"/>
          <w:szCs w:val="26"/>
          <w:rtl/>
        </w:rPr>
        <w:t xml:space="preserve"> میانگین مانده‌ی مشتری تهرانی بیش از سه برابر میانگین کل است؛ سه گروه جغرافیایی برای بخش‌بندی در فاز ۲ پیشنهاد می‌شود.</w:t>
      </w:r>
    </w:p>
    <w:p>
      <w:pPr>
        <w:pBdr>
          <w:bottom w:val="single" w:color="BBBBBB" w:sz="6"/>
        </w:pBdr>
        <w:spacing w:after="100" w:before="100"/>
      </w:pPr>
    </w:p>
    <w:p>
      <w:pPr>
        <w:pStyle w:val="Heading1"/>
        <w:keepNext/>
        <w:pageBreakBefore/>
        <w:bidi/>
        <w:spacing w:after="160" w:before="0"/>
        <w:jc w:val="left"/>
      </w:pPr>
      <w:bookmarkStart w:name="_Toc73" w:id="73"/>
      <w:r>
        <w:rPr>
          <w:rFonts w:ascii="B Titr" w:cs="B Titr" w:eastAsia="B Titr" w:hAnsi="B Titr"/>
          <w:b w:val="false"/>
          <w:bCs w:val="false"/>
          <w:color w:val="1F4E79"/>
          <w:sz w:val="30"/>
          <w:szCs w:val="30"/>
          <w:rtl/>
        </w:rPr>
        <w:t xml:space="preserve">فصل ۸: برآورد سودآوری</w:t>
      </w:r>
      <w:bookmarkEnd w:id="73"/>
    </w:p>
    <w:p>
      <w:pPr>
        <w:pStyle w:val="Heading2"/>
        <w:keepNext/>
        <w:bidi/>
        <w:spacing w:after="160" w:before="300"/>
        <w:jc w:val="left"/>
      </w:pPr>
      <w:bookmarkStart w:name="_Toc74" w:id="74"/>
      <w:r>
        <w:rPr>
          <w:rFonts w:ascii="B Titr" w:cs="B Titr" w:eastAsia="B Titr" w:hAnsi="B Titr"/>
          <w:b w:val="false"/>
          <w:bCs w:val="false"/>
          <w:color w:val="000000"/>
          <w:sz w:val="26"/>
          <w:szCs w:val="26"/>
          <w:rtl/>
        </w:rPr>
        <w:t xml:space="preserve">۸.۱ هدف، مبنا و دامنه</w:t>
      </w:r>
      <w:bookmarkEnd w:id="74"/>
    </w:p>
    <w:p>
      <w:pPr>
        <w:bidi/>
        <w:spacing w:after="160" w:line="312"/>
        <w:jc w:val="left"/>
      </w:pPr>
      <w:r>
        <w:rPr>
          <w:rFonts w:ascii="Cambria" w:cs="B Nazanin" w:eastAsia="B Nazanin" w:hAnsi="Cambria"/>
          <w:color w:val="000000"/>
          <w:sz w:val="22"/>
          <w:szCs w:val="26"/>
          <w:rtl/>
        </w:rPr>
        <w:t xml:space="preserve">این فصل حاشیه‌ی ناخالص مالی بانک را برآورد می‌کند، یعنی تفاوت میان بازده تسهیلات و هزینه‌ی تأمین منابع. این برآورد سود خالص بانک نیست؛ هزینه‌های اداری و پرسنلی، ذخیره‌ی مطالبات مشکوک‌الوصول، مالیات و درآمدهای غیرمشاع در آن لحاظ نشده است و تحلیل کامل سود و زیان در فاز ۴ انجام می‌شود.</w:t>
      </w:r>
    </w:p>
    <w:p>
      <w:pPr>
        <w:bidi/>
        <w:spacing w:after="160" w:line="312"/>
        <w:jc w:val="left"/>
      </w:pPr>
      <w:r>
        <w:rPr>
          <w:rFonts w:ascii="Cambria" w:cs="B Nazanin" w:eastAsia="B Nazanin" w:hAnsi="Cambria"/>
          <w:color w:val="000000"/>
          <w:sz w:val="22"/>
          <w:szCs w:val="26"/>
          <w:rtl/>
        </w:rPr>
        <w:t xml:space="preserve">برآورد سه جزء دارد: هزینه‌ی تأمین مالی که از جدول مرجع سود پرداختی خود بانک (</w:t>
      </w:r>
      <w:r>
        <w:rPr>
          <w:rFonts w:ascii="Cambria" w:cs="B Nazanin" w:eastAsia="B Nazanin" w:hAnsi="Cambria"/>
          <w:b w:val="false"/>
          <w:bCs w:val="false"/>
          <w:color w:val="000000"/>
          <w:sz w:val="22"/>
          <w:szCs w:val="26"/>
        </w:rPr>
        <w:t xml:space="preserve">Interset_branch_sum</w:t>
      </w:r>
      <w:r>
        <w:rPr>
          <w:rFonts w:ascii="Cambria" w:cs="B Nazanin" w:eastAsia="B Nazanin" w:hAnsi="Cambria"/>
          <w:color w:val="000000"/>
          <w:sz w:val="22"/>
          <w:szCs w:val="26"/>
          <w:rtl/>
        </w:rPr>
        <w:t xml:space="preserve">) و میانگین منابع رسمی کل بانک به دست می‌آید و به نمونه وابسته نیست (بخش‌های ۸.۲ و ۸.۳)؛ نرخ قراردادی تسهیلات که از شرایط قراردادها و با وزن مانده‌ی ۱۲/۱۴۰۴ محاسبه می‌شود (بخش ۸.۴.۱)؛ و درآمد دریافتی تسهیلات که از دفتر اقساط نمونه استخراج می‌شود و بازده نقدی را نشان می‌دهد (بخش ۸.۴.۲). بخش ۸.۵ این اجزا را در دو حاشیه‌ی سقف (نرخ قراردادی) و حد پایین‌تر (درآمد دریافتی) و یک جدول حساسیت کنار هم می‌گذارد. همه‌ی ارقام مبلغی بر حسب هزار میلیارد تومان (همت) هستند.</w:t>
      </w:r>
    </w:p>
    <w:p>
      <w:pPr>
        <w:pBdr>
          <w:bottom w:val="single" w:color="BBBBBB" w:sz="6"/>
        </w:pBdr>
        <w:spacing w:after="100" w:before="100"/>
      </w:pPr>
    </w:p>
    <w:p>
      <w:pPr>
        <w:pStyle w:val="Heading2"/>
        <w:keepNext/>
        <w:bidi/>
        <w:spacing w:after="160" w:before="300"/>
        <w:jc w:val="left"/>
      </w:pPr>
      <w:bookmarkStart w:name="_Toc75" w:id="75"/>
      <w:r>
        <w:rPr>
          <w:rFonts w:ascii="B Titr" w:cs="B Titr" w:eastAsia="B Titr" w:hAnsi="B Titr"/>
          <w:b w:val="false"/>
          <w:bCs w:val="false"/>
          <w:color w:val="000000"/>
          <w:sz w:val="26"/>
          <w:szCs w:val="26"/>
          <w:rtl/>
        </w:rPr>
        <w:t xml:space="preserve">۸.۲ هزینه‌ی تأمین مالی بانک</w:t>
      </w:r>
      <w:bookmarkEnd w:id="75"/>
    </w:p>
    <w:p>
      <w:pPr>
        <w:bidi/>
        <w:spacing w:after="160" w:line="312"/>
        <w:jc w:val="left"/>
      </w:pPr>
      <w:r>
        <w:rPr>
          <w:rFonts w:ascii="Cambria" w:cs="B Nazanin" w:eastAsia="B Nazanin" w:hAnsi="Cambria"/>
          <w:color w:val="000000"/>
          <w:sz w:val="22"/>
          <w:szCs w:val="26"/>
          <w:rtl/>
        </w:rPr>
        <w:t xml:space="preserve">جدول مرجع بانک سود پرداختی به سپرده‌ها را به‌صورت ماهانه و به تفکیک شعبه ثبت می‌کند. مجموع سالانه‌ی آن بر میانگین منابع ریالی رسمی همان سال تقسیم شده تا نرخ هزینه‌ی تأمین مالی به دست آید. چون صورت و مخرج هر دو متعلق به کل بانک‌اند، این نرخ از پوشش نمونه مستقل است. سود پرداختی منتسب به منابع سپرده‌ای است و هزینه‌ی منابع غیرسپرده‌ای تسهیلات را دربرنمی‌گیرد.</w:t>
      </w:r>
    </w:p>
    <w:p>
      <w:pPr>
        <w:keepNext/>
        <w:bidi/>
        <w:spacing w:after="100" w:before="200"/>
        <w:jc w:val="left"/>
      </w:pPr>
      <w:r>
        <w:rPr>
          <w:rFonts w:ascii="B Nazanin" w:cs="B Nazanin" w:eastAsia="B Nazanin" w:hAnsi="B Nazanin"/>
          <w:b/>
          <w:bCs/>
          <w:color w:val="000000"/>
          <w:sz w:val="22"/>
          <w:szCs w:val="22"/>
          <w:rtl/>
        </w:rPr>
        <w:t xml:space="preserve">جدول ۸-۱: سود پرداختی به سپرده‌ها و نرخ هزینه‌ی تأمین مالی بانک</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15"/>
        <w:gridCol w:w="2458"/>
        <w:gridCol w:w="2871"/>
        <w:gridCol w:w="2606"/>
      </w:tblGrid>
      <w:tr>
        <w:trPr>
          <w:cantSplit/>
          <w:tblHeader/>
        </w:trPr>
        <w:tc>
          <w:tcPr>
            <w:tcW w:type="dxa" w:w="141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سال</w:t>
            </w:r>
          </w:p>
        </w:tc>
        <w:tc>
          <w:tcPr>
            <w:tcW w:type="dxa" w:w="245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منابع ریالی</w:t>
            </w:r>
          </w:p>
        </w:tc>
        <w:tc>
          <w:tcPr>
            <w:tcW w:type="dxa" w:w="28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سود پرداختی (جدول مرجع بانک)</w:t>
            </w:r>
          </w:p>
        </w:tc>
        <w:tc>
          <w:tcPr>
            <w:tcW w:type="dxa" w:w="260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نرخ هزینه‌ی تأمین مالی</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۲۸.۸</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۲.۴</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۸.۲۴٪</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۳۷.۴</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۳.۰</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۸.۰۸٪</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۵۵.۴</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۹.۵۶٪</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۷۳.۵</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۷.۵</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۱۰.۲۴٪</w:t>
            </w:r>
          </w:p>
        </w:tc>
      </w:tr>
      <w:tr>
        <w:trPr>
          <w:cantSplit/>
        </w:trPr>
        <w:tc>
          <w:tcPr>
            <w:tcW w:type="dxa" w:w="141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245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۱۰۸.۱</w:t>
            </w:r>
          </w:p>
        </w:tc>
        <w:tc>
          <w:tcPr>
            <w:tcW w:type="dxa" w:w="28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۱۱.۳</w:t>
            </w:r>
          </w:p>
        </w:tc>
        <w:tc>
          <w:tcPr>
            <w:tcW w:type="dxa" w:w="260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۱۰.۴۶٪</w:t>
            </w:r>
          </w:p>
        </w:tc>
      </w:tr>
    </w:tbl>
    <w:p>
      <w:pPr>
        <w:spacing w:after="200"/>
      </w:pPr>
    </w:p>
    <w:p>
      <w:pPr>
        <w:keepNext/>
        <w:spacing w:after="60" w:before="160"/>
        <w:jc w:val="center"/>
      </w:pPr>
      <w:r>
        <w:drawing>
          <wp:inline distT="0" distB="0" distL="0" distR="0">
            <wp:extent cx="5715000" cy="21526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215265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۸-۱: منابع، سود پرداختی سالانه و نرخ هزینه‌ی تأمین مالی بانک</w:t>
      </w:r>
    </w:p>
    <w:p>
      <w:pPr>
        <w:bidi/>
        <w:spacing w:after="160" w:line="312"/>
        <w:jc w:val="left"/>
      </w:pPr>
      <w:r>
        <w:rPr>
          <w:rFonts w:ascii="Cambria" w:cs="B Nazanin" w:eastAsia="B Nazanin" w:hAnsi="Cambria"/>
          <w:color w:val="000000"/>
          <w:sz w:val="22"/>
          <w:szCs w:val="26"/>
          <w:rtl/>
        </w:rPr>
        <w:t xml:space="preserve">سود پرداختی بانک در پنج سال ۴.۸ برابر شده (از ۲.۴ به ۱۱.۳ هزار میلیارد تومان) در حالی که میانگین منابع ۳.۷ برابر شده است (جدول ۸-۱ و نمودار ۸-۱). نرخ هزینه‌ی تأمین مالی از ۸.۲۴ درصد در ۱۴۰۰ به ۱۰.۴۶ درصد در ۱۴۰۴ رسیده و ۲.۲۳ واحد درصد افزایش یافته است. بیشترین جهش در ۱۴۰۲ رخ داده و از ۱۴۰۳ به بعد افزایش ملایم‌تر شده است.</w:t>
      </w:r>
    </w:p>
    <w:p>
      <w:pPr>
        <w:pBdr>
          <w:bottom w:val="single" w:color="BBBBBB" w:sz="6"/>
        </w:pBdr>
        <w:spacing w:after="100" w:before="100"/>
      </w:pPr>
    </w:p>
    <w:p>
      <w:pPr>
        <w:pStyle w:val="Heading2"/>
        <w:keepNext/>
        <w:bidi/>
        <w:spacing w:after="160" w:before="300"/>
        <w:jc w:val="left"/>
      </w:pPr>
      <w:bookmarkStart w:name="_Toc76" w:id="76"/>
      <w:r>
        <w:rPr>
          <w:rFonts w:ascii="B Titr" w:cs="B Titr" w:eastAsia="B Titr" w:hAnsi="B Titr"/>
          <w:b w:val="false"/>
          <w:bCs w:val="false"/>
          <w:color w:val="000000"/>
          <w:sz w:val="26"/>
          <w:szCs w:val="26"/>
          <w:rtl/>
        </w:rPr>
        <w:t xml:space="preserve">۸.۳ ترکیب منابع و ساختار هزینه</w:t>
      </w:r>
      <w:bookmarkEnd w:id="76"/>
    </w:p>
    <w:p>
      <w:pPr>
        <w:bidi/>
        <w:spacing w:after="160" w:line="312"/>
        <w:jc w:val="left"/>
      </w:pPr>
      <w:r>
        <w:rPr>
          <w:rFonts w:ascii="Cambria" w:cs="B Nazanin" w:eastAsia="B Nazanin" w:hAnsi="Cambria"/>
          <w:color w:val="000000"/>
          <w:sz w:val="22"/>
          <w:szCs w:val="26"/>
          <w:rtl/>
        </w:rPr>
        <w:t xml:space="preserve">ترکیب منابع بر هزینه‌ی تأمین مالی اثر مستقیم دارد. نمودار ۸-۲ سهم سه گروه سپرده را از منابع ریالی بانک در ماه‌هایی نشان می‌دهد که تفکیک رسمی انواع سپرده با جمع منابع هم‌خوان است (۰۱/۱۴۰۰ تا ۱۰/۱۴۰۴).</w:t>
      </w:r>
    </w:p>
    <w:p>
      <w:pPr>
        <w:keepNext/>
        <w:spacing w:after="60" w:before="160"/>
        <w:jc w:val="center"/>
      </w:pPr>
      <w:r>
        <w:drawing>
          <wp:inline distT="0" distB="0" distL="0" distR="0">
            <wp:extent cx="5715000" cy="256222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2562225"/>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۸-۲: ترکیب منابع ریالی بانک بر حسب نوع سپرده (۰۱/۱۴۰۰ تا ۱۰/۱۴۰۴)</w:t>
      </w:r>
    </w:p>
    <w:p>
      <w:pPr>
        <w:bidi/>
        <w:spacing w:after="160" w:line="312"/>
        <w:jc w:val="left"/>
      </w:pPr>
      <w:r>
        <w:rPr>
          <w:rFonts w:ascii="Cambria" w:cs="B Nazanin" w:eastAsia="B Nazanin" w:hAnsi="Cambria"/>
          <w:color w:val="000000"/>
          <w:sz w:val="22"/>
          <w:szCs w:val="26"/>
          <w:rtl/>
        </w:rPr>
        <w:t xml:space="preserve">سهم منابع بدون سود (قرض‌الحسنه جاری و پس‌انداز) از ۲۷.۶ به ۳۳.۴ درصد رسیده، سهم سپرده‌ی کوتاه‌مدت از ۲۸.۱ به ۲۰.۱ درصد کاهش یافته و سهم سپرده‌ی بلندمدت، که گران‌ترین منبع است، از ۴۴.۴ به ۴۶.۵ درصد رسیده است. برای جدا کردن اثر نرخ و اثر ترکیب، هزینه بر منابع سودده سنجیده شده است: این نرخ از ۱۱.۳ درصد در ۱۴۰۰ به ۱۵.۱ درصد در ۱۴۰۴ رسیده است. از ۲.۲۳ واحد درصد افزایش نرخ هزینه‌ی کل، اثر نرخ ۲.۶ واحد درصد بیشتر و اثر ترکیب منابع ۰.۴ واحد درصد کمتر بوده است؛ یعنی افزایش هزینه عمدتاً از نرخ سود پرداختی می‌آید و بهبود سهم منابع بدون سود آن را اندکی کم کرده است. بیش از ۴۶ درصد منابع بانک را سپرده‌ی بلندمدت تشکیل می‌دهد و کاهش سهم آن، مهم‌ترین اهرم کاهش هزینه‌ی تأمین مالی است.</w:t>
      </w:r>
    </w:p>
    <w:p>
      <w:pPr>
        <w:pBdr>
          <w:bottom w:val="single" w:color="BBBBBB" w:sz="6"/>
        </w:pBdr>
        <w:spacing w:after="100" w:before="100"/>
      </w:pPr>
    </w:p>
    <w:p>
      <w:pPr>
        <w:pStyle w:val="Heading2"/>
        <w:keepNext/>
        <w:bidi/>
        <w:spacing w:after="160" w:before="300"/>
        <w:jc w:val="left"/>
      </w:pPr>
      <w:bookmarkStart w:name="_Toc77" w:id="77"/>
      <w:r>
        <w:rPr>
          <w:rFonts w:ascii="B Titr" w:cs="B Titr" w:eastAsia="B Titr" w:hAnsi="B Titr"/>
          <w:b w:val="false"/>
          <w:bCs w:val="false"/>
          <w:color w:val="000000"/>
          <w:sz w:val="26"/>
          <w:szCs w:val="26"/>
          <w:rtl/>
        </w:rPr>
        <w:t xml:space="preserve">۸.۴ بازده تسهیلات</w:t>
      </w:r>
      <w:bookmarkEnd w:id="77"/>
    </w:p>
    <w:p>
      <w:pPr>
        <w:pStyle w:val="Heading3"/>
        <w:keepNext/>
        <w:bidi/>
        <w:spacing w:after="160" w:before="300"/>
        <w:jc w:val="left"/>
      </w:pPr>
      <w:r>
        <w:rPr>
          <w:rFonts w:ascii="B Titr" w:cs="B Titr" w:eastAsia="B Titr" w:hAnsi="B Titr"/>
          <w:b w:val="false"/>
          <w:bCs w:val="false"/>
          <w:color w:val="000000"/>
          <w:sz w:val="26"/>
          <w:szCs w:val="26"/>
          <w:rtl/>
        </w:rPr>
        <w:t xml:space="preserve">۸.۴.۱ نرخ قراردادی</w:t>
      </w:r>
    </w:p>
    <w:p>
      <w:pPr>
        <w:bidi/>
        <w:spacing w:after="160" w:line="312"/>
        <w:jc w:val="left"/>
      </w:pPr>
      <w:r>
        <w:rPr>
          <w:rFonts w:ascii="Cambria" w:cs="B Nazanin" w:eastAsia="B Nazanin" w:hAnsi="Cambria"/>
          <w:color w:val="000000"/>
          <w:sz w:val="22"/>
          <w:szCs w:val="26"/>
          <w:rtl/>
        </w:rPr>
        <w:t xml:space="preserve">نرخ قراردادی هر وام از مجموع نرخ سود مصوب و نرخ ترجیحی آن به دست می‌آید. جدول ۸-۲ و نمودار ۸-۳ میانگین این نرخ را برای قراردادهای دارای رکورد با وزن مانده‌ی ۱۲/۱۴۰۴ نشان می‌دهند (۷۷.۶ درصد مانده‌ی تسهیلات). ستون آخر اختلاف هر نرخ را با نرخ هزینه‌ی تأمین مالی ۱۴۰۴ (۱۰.۴۶ درصد) نشان می‌دهد.</w:t>
      </w:r>
    </w:p>
    <w:p>
      <w:pPr>
        <w:keepNext/>
        <w:bidi/>
        <w:spacing w:after="100" w:before="200"/>
        <w:jc w:val="left"/>
      </w:pPr>
      <w:r>
        <w:rPr>
          <w:rFonts w:ascii="B Nazanin" w:cs="B Nazanin" w:eastAsia="B Nazanin" w:hAnsi="B Nazanin"/>
          <w:b/>
          <w:bCs/>
          <w:color w:val="000000"/>
          <w:sz w:val="22"/>
          <w:szCs w:val="22"/>
          <w:rtl/>
        </w:rPr>
        <w:t xml:space="preserve">جدول ۸-۲: نرخ قراردادی تسهیلات به تفکیک نوع قرارداد و اختلاف آن با هزینه‌ی تأمین مالی (وزن مانده‌ی ۱۲/۱۴۰۴، واحد درصد)</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71"/>
        <w:gridCol w:w="2662"/>
        <w:gridCol w:w="1971"/>
        <w:gridCol w:w="2746"/>
      </w:tblGrid>
      <w:tr>
        <w:trPr>
          <w:cantSplit/>
          <w:tblHeader/>
        </w:trPr>
        <w:tc>
          <w:tcPr>
            <w:tcW w:type="dxa" w:w="19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نوع قرارداد</w:t>
            </w:r>
          </w:p>
        </w:tc>
        <w:tc>
          <w:tcPr>
            <w:tcW w:type="dxa" w:w="266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 از مانده‌ی دارای رکورد</w:t>
            </w:r>
          </w:p>
        </w:tc>
        <w:tc>
          <w:tcPr>
            <w:tcW w:type="dxa" w:w="197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نرخ قراردادی</w:t>
            </w:r>
          </w:p>
        </w:tc>
        <w:tc>
          <w:tcPr>
            <w:tcW w:type="dxa" w:w="274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اختلاف با هزینه‌ی تأمین مالی</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مضاربه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۰.۱٪</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۲۲.۷۷٪</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۱۲.۳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مشارکت مدنی</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۴.۰٪</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۲۲.۰۲٪</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۱۱.۶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مرابحه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۵۰.۷٪</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۲۱.۲۷٪</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۱۰.۸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سایر</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۱۶.۹۱٪</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۶.۴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جعاله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۰.۷٪</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۱۶.۵۱٪</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فروش اقساطی</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۲۰.۷٪</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۱۵.۳۷٪</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۴.۹ بیشتر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قرض‌الحسنه</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۱۴.۹٪</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۳.۹۹٪</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۶.۵ کمتر</w:t>
            </w:r>
          </w:p>
        </w:tc>
      </w:tr>
      <w:tr>
        <w:trPr>
          <w:cantSplit/>
        </w:trPr>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وزنی</w:t>
            </w:r>
          </w:p>
        </w:tc>
        <w:tc>
          <w:tcPr>
            <w:tcW w:type="dxa" w:w="266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۱۰۰٪</w:t>
            </w:r>
          </w:p>
        </w:tc>
        <w:tc>
          <w:tcPr>
            <w:tcW w:type="dxa" w:w="197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۱۷.۰۸٪</w:t>
            </w:r>
          </w:p>
        </w:tc>
        <w:tc>
          <w:tcPr>
            <w:tcW w:type="dxa" w:w="274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۶.۶ بیشتر</w:t>
            </w:r>
          </w:p>
        </w:tc>
      </w:tr>
    </w:tbl>
    <w:p>
      <w:pPr>
        <w:spacing w:after="200"/>
      </w:pPr>
    </w:p>
    <w:p>
      <w:pPr>
        <w:keepNext/>
        <w:spacing w:after="60" w:before="160"/>
        <w:jc w:val="center"/>
      </w:pPr>
      <w:r>
        <w:drawing>
          <wp:inline distT="0" distB="0" distL="0" distR="0">
            <wp:extent cx="5715000" cy="297180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29718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۸-۳: نرخ قراردادی تسهیلات به تفکیک نوع قرارداد و نرخ هزینه‌ی تأمین مالی</w:t>
      </w:r>
    </w:p>
    <w:p>
      <w:pPr>
        <w:bidi/>
        <w:spacing w:after="160" w:line="312"/>
        <w:jc w:val="left"/>
      </w:pPr>
      <w:r>
        <w:rPr>
          <w:rFonts w:ascii="Cambria" w:cs="B Nazanin" w:eastAsia="B Nazanin" w:hAnsi="Cambria"/>
          <w:color w:val="000000"/>
          <w:sz w:val="22"/>
          <w:szCs w:val="26"/>
          <w:rtl/>
        </w:rPr>
        <w:t xml:space="preserve">مرابحه با ۵۰.۷ درصد مانده‌ی دارای رکورد و نرخ ۲۱.۳ درصد ستون اصلی بازده است و همراه با مضاربه و مشارکت مدنی بیش از ۱۰ واحد درصد بالاتر از هزینه‌ی تأمین مالی قرار دارد. در مقابل، قرض‌الحسنه با ۱۴.۹ درصد سهم و نرخ ۴.۰ درصد، ۶.۵ واحد درصد زیر هزینه‌ی تأمین مالی قرار دارد؛ هر واحد رشد سهم قرض‌الحسنه در پرتفوی، حاشیه را کاهش می‌دهد. میانگین وزنی نرخ قراردادی ۱۷.۰۸ درصد (و بدون قرض‌الحسنه ۱۹.۳۸ درصد) است. وزن‌دهی با مبلغ اعطای تجمعی، که قراردادهای تسویه‌شده را هم دربرمی‌گیرد، ۱۸.۰۸ درصد می‌دهد.</w:t>
      </w:r>
    </w:p>
    <w:p>
      <w:pPr>
        <w:pStyle w:val="Heading3"/>
        <w:keepNext/>
        <w:bidi/>
        <w:spacing w:after="160" w:before="300"/>
        <w:jc w:val="left"/>
      </w:pPr>
      <w:r>
        <w:rPr>
          <w:rFonts w:ascii="B Titr" w:cs="B Titr" w:eastAsia="B Titr" w:hAnsi="B Titr"/>
          <w:b w:val="false"/>
          <w:bCs w:val="false"/>
          <w:color w:val="000000"/>
          <w:sz w:val="26"/>
          <w:szCs w:val="26"/>
          <w:rtl/>
        </w:rPr>
        <w:t xml:space="preserve">۸.۴.۲ درآمد دریافتی</w:t>
      </w:r>
    </w:p>
    <w:p>
      <w:pPr>
        <w:bidi/>
        <w:spacing w:after="160" w:line="312"/>
        <w:jc w:val="left"/>
      </w:pPr>
      <w:r>
        <w:rPr>
          <w:rFonts w:ascii="Cambria" w:cs="B Nazanin" w:eastAsia="B Nazanin" w:hAnsi="Cambria"/>
          <w:color w:val="000000"/>
          <w:sz w:val="22"/>
          <w:szCs w:val="26"/>
          <w:rtl/>
        </w:rPr>
        <w:t xml:space="preserve">دفتر اقساط نمونه سود و جریمه‌ی پرداخت‌شده‌ی مشتریان را به‌صورت نقدی ثبت می‌کند. بازده دریافتی هر سال از تقسیم این درآمد بر میانگین مانده به دست می‌آید. دفتر اقساط فقط برای بخشی از قراردادها رکورد دارد و در ۱۴۰۴ حدود ۶۶ درصد میانگین مانده‌ی نمونه (حدود ۸۷ درصد مانده‌ی قراردادهای دارای رکورد) را پوشش می‌دهد. از این رو دو بازده گزارش می‌شود: بازده بر کل مانده‌ی نمونه، که اگر قراردادهای فاقد دفتر هیچ درآمدی نداشته باشند حد پایین است، و بازده بر مانده‌ی قراردادهای دارای دفتر اقساط، که اگر بقیه‌ی قراردادها رفتار مشابه داشته باشند برآورد بازده کل پرتفوی است. بخش فاقد رکورد قرارداد نسبت غیرجاری ۲۱ درصد دارد و بازده آن احتمالاً پایین‌تر است.</w:t>
      </w:r>
    </w:p>
    <w:p>
      <w:pPr>
        <w:keepNext/>
        <w:bidi/>
        <w:spacing w:after="100" w:before="200"/>
        <w:jc w:val="left"/>
      </w:pPr>
      <w:r>
        <w:rPr>
          <w:rFonts w:ascii="B Nazanin" w:cs="B Nazanin" w:eastAsia="B Nazanin" w:hAnsi="B Nazanin"/>
          <w:b/>
          <w:bCs/>
          <w:color w:val="000000"/>
          <w:sz w:val="22"/>
          <w:szCs w:val="22"/>
          <w:rtl/>
        </w:rPr>
        <w:t xml:space="preserve">جدول ۸-۳: درآمد دریافتی تسهیلات نمونه و بازده آن (مبالغ بر حسب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7"/>
        <w:gridCol w:w="1332"/>
        <w:gridCol w:w="1332"/>
        <w:gridCol w:w="1429"/>
        <w:gridCol w:w="1620"/>
        <w:gridCol w:w="1539"/>
        <w:gridCol w:w="1361"/>
      </w:tblGrid>
      <w:tr>
        <w:trPr>
          <w:cantSplit/>
          <w:tblHeader/>
        </w:trPr>
        <w:tc>
          <w:tcPr>
            <w:tcW w:type="dxa" w:w="73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سال</w:t>
            </w:r>
          </w:p>
        </w:tc>
        <w:tc>
          <w:tcPr>
            <w:tcW w:type="dxa" w:w="13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سود و جریمه‌ی دریافتی</w:t>
            </w:r>
          </w:p>
        </w:tc>
        <w:tc>
          <w:tcPr>
            <w:tcW w:type="dxa" w:w="1332"/>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مانده‌ی نمونه</w:t>
            </w:r>
          </w:p>
        </w:tc>
        <w:tc>
          <w:tcPr>
            <w:tcW w:type="dxa" w:w="142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بازده بر کل مانده‌ی نمونه</w:t>
            </w:r>
          </w:p>
        </w:tc>
        <w:tc>
          <w:tcPr>
            <w:tcW w:type="dxa" w:w="162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میانگین مانده‌ی قراردادهای دارای دفتر اقساط</w:t>
            </w:r>
          </w:p>
        </w:tc>
        <w:tc>
          <w:tcPr>
            <w:tcW w:type="dxa" w:w="153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بازده بر قراردادهای دارای دفتر</w:t>
            </w:r>
          </w:p>
        </w:tc>
        <w:tc>
          <w:tcPr>
            <w:tcW w:type="dxa" w:w="136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نرخ هزینه‌ی تأمین مالی</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۱۴۰۰</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۱.۷۹</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۲۵.۶</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۷.۰٪</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۱۶.۳</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۱۱.۰٪</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۸.۲٪</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۱۴۰۱</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۳.۱۸</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۳۶.۴</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۲۶.۲</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۱۲.۱٪</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۸.۱٪</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۱۴۰۲</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۴.۳۷</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۵۰.۲</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۸.۷٪</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۳۶.۲</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۱۲.۱٪</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۹.۶٪</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۱۴۰۳</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۷.۴۲</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۷۶.۱</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۹.۸٪</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۵۳.۵</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۱۳.۹٪</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۱۰.۲٪</w:t>
            </w:r>
          </w:p>
        </w:tc>
      </w:tr>
      <w:tr>
        <w:trPr>
          <w:cantSplit/>
        </w:trPr>
        <w:tc>
          <w:tcPr>
            <w:tcW w:type="dxa" w:w="73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۱۴۰۴</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۹.۲۴</w:t>
            </w:r>
          </w:p>
        </w:tc>
        <w:tc>
          <w:tcPr>
            <w:tcW w:type="dxa" w:w="1332"/>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۱۰۵.۶</w:t>
            </w:r>
          </w:p>
        </w:tc>
        <w:tc>
          <w:tcPr>
            <w:tcW w:type="dxa" w:w="142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۸.۸٪</w:t>
            </w:r>
          </w:p>
        </w:tc>
        <w:tc>
          <w:tcPr>
            <w:tcW w:type="dxa" w:w="162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۶۹.۹</w:t>
            </w:r>
          </w:p>
        </w:tc>
        <w:tc>
          <w:tcPr>
            <w:tcW w:type="dxa" w:w="153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۱۳.۲٪</w:t>
            </w:r>
          </w:p>
        </w:tc>
        <w:tc>
          <w:tcPr>
            <w:tcW w:type="dxa" w:w="136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۱۰.۵٪</w:t>
            </w:r>
          </w:p>
        </w:tc>
      </w:tr>
    </w:tbl>
    <w:p>
      <w:pPr>
        <w:spacing w:after="200"/>
      </w:pPr>
    </w:p>
    <w:p>
      <w:pPr>
        <w:keepNext/>
        <w:spacing w:after="60" w:before="160"/>
        <w:jc w:val="center"/>
      </w:pPr>
      <w:r>
        <w:drawing>
          <wp:inline distT="0" distB="0" distL="0" distR="0">
            <wp:extent cx="5715000" cy="28194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715000" cy="2819400"/>
                    </a:xfrm>
                    <a:prstGeom prst="rect">
                      <a:avLst/>
                    </a:prstGeom>
                  </pic:spPr>
                </pic:pic>
              </a:graphicData>
            </a:graphic>
          </wp:inline>
        </w:drawing>
      </w:r>
    </w:p>
    <w:p>
      <w:pPr>
        <w:bidi/>
        <w:spacing w:after="240"/>
        <w:jc w:val="center"/>
      </w:pPr>
      <w:r>
        <w:rPr>
          <w:rFonts w:ascii="B Nazanin" w:cs="B Nazanin" w:eastAsia="B Nazanin" w:hAnsi="B Nazanin"/>
          <w:b/>
          <w:bCs/>
          <w:color w:val="000000"/>
          <w:sz w:val="22"/>
          <w:szCs w:val="22"/>
          <w:rtl/>
        </w:rPr>
        <w:t xml:space="preserve">نمودار ۸-۴: بازده درآمد دریافتی تسهیلات، نرخ قراردادی و نرخ هزینه‌ی تأمین مالی</w:t>
      </w:r>
    </w:p>
    <w:p>
      <w:pPr>
        <w:bidi/>
        <w:spacing w:after="160" w:line="312"/>
        <w:jc w:val="left"/>
      </w:pPr>
      <w:r>
        <w:rPr>
          <w:rFonts w:ascii="Cambria" w:cs="B Nazanin" w:eastAsia="B Nazanin" w:hAnsi="Cambria"/>
          <w:color w:val="000000"/>
          <w:sz w:val="22"/>
          <w:szCs w:val="26"/>
          <w:rtl/>
        </w:rPr>
        <w:t xml:space="preserve">طبق نمودار ۸-۴، بازده بر قراردادهای دارای دفتر اقساط در ۱۴۰۴ برابر ۱۳.۲ درصد و بازده بر کل مانده‌ی نمونه ۸.۸ درصد است؛ هر دو کمتر از نرخ قراردادی ۱۷.۰۸ درصد‌اند. اگر فرض شود مانده‌ی غیرجاری (۵.۲۱ درصد بخش دارای رکورد) بازدهی ندارد، حدود ۰.۹ واحد درصد از این شکاف توضیح داده می‌شود؛ بقیه به تفاوت مبنای تعهدی و نقدی، تأخیر در پرداخت اقساط و پوشش دفتر اقساط مربوط است و تفکیک دقیق آن با صورت سود و زیان رسمی بانک ممکن است (فصل ۹).</w:t>
      </w:r>
    </w:p>
    <w:p>
      <w:pPr>
        <w:pBdr>
          <w:bottom w:val="single" w:color="BBBBBB" w:sz="6"/>
        </w:pBdr>
        <w:spacing w:after="100" w:before="100"/>
      </w:pPr>
    </w:p>
    <w:p>
      <w:pPr>
        <w:pStyle w:val="Heading2"/>
        <w:keepNext/>
        <w:bidi/>
        <w:spacing w:after="160" w:before="300"/>
        <w:jc w:val="left"/>
      </w:pPr>
      <w:bookmarkStart w:name="_Toc78" w:id="78"/>
      <w:r>
        <w:rPr>
          <w:rFonts w:ascii="B Titr" w:cs="B Titr" w:eastAsia="B Titr" w:hAnsi="B Titr"/>
          <w:b w:val="false"/>
          <w:bCs w:val="false"/>
          <w:color w:val="000000"/>
          <w:sz w:val="26"/>
          <w:szCs w:val="26"/>
          <w:rtl/>
        </w:rPr>
        <w:t xml:space="preserve">۸.۵ حاشیه‌ی ناخالص مالی</w:t>
      </w:r>
      <w:bookmarkEnd w:id="78"/>
    </w:p>
    <w:p>
      <w:pPr>
        <w:bidi/>
        <w:spacing w:after="160" w:line="312"/>
        <w:jc w:val="left"/>
      </w:pPr>
      <w:r>
        <w:rPr>
          <w:rFonts w:ascii="Cambria" w:cs="B Nazanin" w:eastAsia="B Nazanin" w:hAnsi="Cambria"/>
          <w:color w:val="000000"/>
          <w:sz w:val="22"/>
          <w:szCs w:val="26"/>
          <w:rtl/>
        </w:rPr>
        <w:t xml:space="preserve">حاشیه‌ی ۱۴۰۴ با سه مبنای بازده محاسبه می‌شود و همه‌ی مبناها با وزن برابر گزارش می‌شوند.</w:t>
      </w:r>
    </w:p>
    <w:p>
      <w:pPr>
        <w:bidi/>
        <w:spacing w:after="160" w:line="312"/>
        <w:jc w:val="left"/>
      </w:pPr>
      <w:r>
        <w:rPr>
          <w:rFonts w:ascii="Cambria" w:cs="B Nazanin" w:eastAsia="B Nazanin" w:hAnsi="Cambria"/>
          <w:b/>
          <w:bCs/>
          <w:color w:val="000000"/>
          <w:sz w:val="22"/>
          <w:szCs w:val="26"/>
          <w:rtl/>
        </w:rPr>
        <w:t xml:space="preserve">حاشیه‌ی قراردادی (حد بالا):</w:t>
      </w:r>
      <w:r>
        <w:rPr>
          <w:rFonts w:ascii="Cambria" w:cs="B Nazanin" w:eastAsia="B Nazanin" w:hAnsi="Cambria"/>
          <w:color w:val="000000"/>
          <w:sz w:val="22"/>
          <w:szCs w:val="26"/>
          <w:rtl/>
        </w:rPr>
        <w:t xml:space="preserve"> نرخ قراردادی ۱۷.۰۸ درصد و نرخ هزینه‌ی تأمین مالی رسمی ۱۰.۴۶ درصد است؛ حاشیه‌ی قراردادی ۶.۶ واحد درصد می‌شود. اگر همین حاشیه به میانگین تسهیلات رسمی بانک در ۱۴۰۴ (۱۲۲.۸ هزار میلیارد تومان) اعمال شود، حدود ۸.۱ هزار میلیارد تومان در سال به دست می‌آید؛ این رقم سناریوی مبنای نرخ است، نه سود تحقق‌یافته، و نرخ هزینه در آن بر کل تسهیلات اعمال شده است. این برآورد بر مبنای تعهدی است، تحقق کامل نرخ قراردادی را فرض می‌کند و برای ۲۲.۴ درصد پرتفوی که رکورد قرارداد ندارد نرخ قراردادی در دسترس نیست.</w:t>
      </w:r>
    </w:p>
    <w:p>
      <w:pPr>
        <w:bidi/>
        <w:spacing w:after="160" w:line="312"/>
        <w:jc w:val="left"/>
      </w:pPr>
      <w:r>
        <w:rPr>
          <w:rFonts w:ascii="Cambria" w:cs="B Nazanin" w:eastAsia="B Nazanin" w:hAnsi="Cambria"/>
          <w:b/>
          <w:bCs/>
          <w:color w:val="000000"/>
          <w:sz w:val="22"/>
          <w:szCs w:val="26"/>
          <w:rtl/>
        </w:rPr>
        <w:t xml:space="preserve">حد پایین‌تر، حاشیه‌ی درآمد دریافتی:</w:t>
      </w:r>
      <w:r>
        <w:rPr>
          <w:rFonts w:ascii="Cambria" w:cs="B Nazanin" w:eastAsia="B Nazanin" w:hAnsi="Cambria"/>
          <w:color w:val="000000"/>
          <w:sz w:val="22"/>
          <w:szCs w:val="26"/>
          <w:rtl/>
        </w:rPr>
        <w:t xml:space="preserve"> بازده دریافتی ۱۴۰۴ بر قراردادهای دارای دفتر اقساط ۱۳.۲ درصد است و حاشیه‌ی آن ۲.۸ واحد درصد مثبت می‌شود؛ بر کل مانده‌ی نمونه بازده ۸.۸ درصد و حاشیه منفی ۱.۷ واحد درصد است. حاشیه‌ی درآمد دریافتی بنابراین بین منفی ۱.۷ واحد درصد (اگر قراردادهای فاقد دفتر درآمدی نداشته باشند) و ۲.۸ واحد درصد مثبت (اگر بقیه‌ی قراردادها مانند قراردادهای دارای دفتر باشند) قرار دارد.</w:t>
      </w:r>
    </w:p>
    <w:p>
      <w:pPr>
        <w:bidi/>
        <w:spacing w:after="160" w:line="312"/>
        <w:jc w:val="left"/>
      </w:pPr>
      <w:r>
        <w:rPr>
          <w:rFonts w:ascii="Cambria" w:cs="B Nazanin" w:eastAsia="B Nazanin" w:hAnsi="Cambria"/>
          <w:color w:val="000000"/>
          <w:sz w:val="22"/>
          <w:szCs w:val="26"/>
          <w:rtl/>
        </w:rPr>
        <w:t xml:space="preserve">جدول ۸-۴ حساسیت حاشیه را نسبت به مبنای بازده و نرخ هزینه نشان می‌دهد. نرخ هزینه‌ی رسمی (۱۰.۴۶ درصد) مبنا و دو ستون دیگر دو واحد درصد کمتر و بیشتر از آن‌اند.</w:t>
      </w:r>
    </w:p>
    <w:p>
      <w:pPr>
        <w:keepNext/>
        <w:bidi/>
        <w:spacing w:after="100" w:before="200"/>
        <w:jc w:val="left"/>
      </w:pPr>
      <w:r>
        <w:rPr>
          <w:rFonts w:ascii="B Nazanin" w:cs="B Nazanin" w:eastAsia="B Nazanin" w:hAnsi="B Nazanin"/>
          <w:b/>
          <w:bCs/>
          <w:color w:val="000000"/>
          <w:sz w:val="22"/>
          <w:szCs w:val="22"/>
          <w:rtl/>
        </w:rPr>
        <w:t xml:space="preserve">جدول ۸-۴: حساسیت حاشیه‌ی ناخالص مالی ۱۴۰۴ (واحد درصد؛ «منفی» یعنی بازده کمتر از هزینه است)</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836"/>
        <w:gridCol w:w="1938"/>
        <w:gridCol w:w="2580"/>
        <w:gridCol w:w="1996"/>
      </w:tblGrid>
      <w:tr>
        <w:trPr>
          <w:cantSplit/>
          <w:tblHeader/>
        </w:trPr>
        <w:tc>
          <w:tcPr>
            <w:tcW w:type="dxa" w:w="283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مبنای بازده تسهیلات</w:t>
            </w:r>
          </w:p>
        </w:tc>
        <w:tc>
          <w:tcPr>
            <w:tcW w:type="dxa" w:w="193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هزینه‌ی ۸.۴۶٪</w:t>
            </w:r>
          </w:p>
        </w:tc>
        <w:tc>
          <w:tcPr>
            <w:tcW w:type="dxa" w:w="2580"/>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هزینه‌ی ۱۰.۴۶٪ (مبنای رسمی)</w:t>
            </w:r>
          </w:p>
        </w:tc>
        <w:tc>
          <w:tcPr>
            <w:tcW w:type="dxa" w:w="1996"/>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هزینه‌ی ۱۲.۴۶٪</w:t>
            </w:r>
          </w:p>
        </w:tc>
      </w:tr>
      <w:tr>
        <w:trPr>
          <w:cantSplit/>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نرخ قراردادی (۱۷.۰۸٪)</w:t>
            </w:r>
          </w:p>
        </w:tc>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۸.۶</w:t>
            </w:r>
          </w:p>
        </w:tc>
        <w:tc>
          <w:tcPr>
            <w:tcW w:type="dxa" w:w="25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۶.۶</w:t>
            </w:r>
          </w:p>
        </w:tc>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۴.۶</w:t>
            </w:r>
          </w:p>
        </w:tc>
      </w:tr>
      <w:tr>
        <w:trPr>
          <w:cantSplit/>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بازده دریافتی بر قراردادهای دارای دفتر اقساط (۱۳.۲٪)</w:t>
            </w:r>
          </w:p>
        </w:tc>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۴.۸</w:t>
            </w:r>
          </w:p>
        </w:tc>
        <w:tc>
          <w:tcPr>
            <w:tcW w:type="dxa" w:w="25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۲.۸</w:t>
            </w:r>
          </w:p>
        </w:tc>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w:t>
            </w:r>
          </w:p>
        </w:tc>
      </w:tr>
      <w:tr>
        <w:trPr>
          <w:cantSplit/>
        </w:trPr>
        <w:tc>
          <w:tcPr>
            <w:tcW w:type="dxa" w:w="283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بازده دریافتی بر کل مانده‌ی نمونه (۸.۸٪)</w:t>
            </w:r>
          </w:p>
        </w:tc>
        <w:tc>
          <w:tcPr>
            <w:tcW w:type="dxa" w:w="193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۰.۳</w:t>
            </w:r>
          </w:p>
        </w:tc>
        <w:tc>
          <w:tcPr>
            <w:tcW w:type="dxa" w:w="2580"/>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منفی ۱.۷</w:t>
            </w:r>
          </w:p>
        </w:tc>
        <w:tc>
          <w:tcPr>
            <w:tcW w:type="dxa" w:w="1996"/>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منفی ۳.۷</w:t>
            </w:r>
          </w:p>
        </w:tc>
      </w:tr>
    </w:tbl>
    <w:p>
      <w:pPr>
        <w:spacing w:after="200"/>
      </w:pPr>
    </w:p>
    <w:p>
      <w:pPr>
        <w:bidi/>
        <w:spacing w:after="160" w:line="312"/>
        <w:jc w:val="left"/>
      </w:pPr>
      <w:r>
        <w:rPr>
          <w:rFonts w:ascii="Cambria" w:cs="B Nazanin" w:eastAsia="B Nazanin" w:hAnsi="Cambria"/>
          <w:color w:val="000000"/>
          <w:sz w:val="22"/>
          <w:szCs w:val="26"/>
          <w:rtl/>
        </w:rPr>
        <w:t xml:space="preserve">بر مبنای نرخ قراردادی حاشیه ۴.۶ تا ۸.۶ واحد درصد و بر مبنای درآمد دریافتی از منفی ۳.۷ تا ۴.۸ واحد درصد است. برای تعیین ظرفیت واقعی بهبود حاشیه، ابتدا باید درآمد تعهدی و نقدی و مانده‌ی متناظر با آن‌ها بر یک مبنا تطبیق داده شوند (صورت سود و زیان رسمی بانک، فصل ۹)؛ پس از آن می‌توان سهم وصول، نکول و ترکیب سبد را جدا کرد. نزدیک‌کردن بازده دریافتی به نرخ قراردادی با مدیریت وصول و کاهش مطالبات غیرجاری (فصل ۶) ارتباط مستقیم دارد.</w:t>
      </w:r>
    </w:p>
    <w:p>
      <w:pPr>
        <w:pBdr>
          <w:bottom w:val="single" w:color="BBBBBB" w:sz="6"/>
        </w:pBdr>
        <w:spacing w:after="100" w:before="100"/>
      </w:pPr>
    </w:p>
    <w:p>
      <w:pPr>
        <w:pStyle w:val="Heading2"/>
        <w:keepNext/>
        <w:bidi/>
        <w:spacing w:after="160" w:before="300"/>
        <w:jc w:val="left"/>
      </w:pPr>
      <w:bookmarkStart w:name="_Toc79" w:id="79"/>
      <w:r>
        <w:rPr>
          <w:rFonts w:ascii="B Titr" w:cs="B Titr" w:eastAsia="B Titr" w:hAnsi="B Titr"/>
          <w:b w:val="false"/>
          <w:bCs w:val="false"/>
          <w:color w:val="000000"/>
          <w:sz w:val="26"/>
          <w:szCs w:val="26"/>
          <w:rtl/>
        </w:rPr>
        <w:t xml:space="preserve">۸.۶ ساختار درآمد</w:t>
      </w:r>
      <w:bookmarkEnd w:id="79"/>
    </w:p>
    <w:p>
      <w:pPr>
        <w:bidi/>
        <w:spacing w:after="160" w:line="312"/>
        <w:jc w:val="left"/>
      </w:pPr>
      <w:r>
        <w:rPr>
          <w:rFonts w:ascii="Cambria" w:cs="B Nazanin" w:eastAsia="B Nazanin" w:hAnsi="Cambria"/>
          <w:color w:val="000000"/>
          <w:sz w:val="22"/>
          <w:szCs w:val="26"/>
          <w:rtl/>
        </w:rPr>
        <w:t xml:space="preserve">جدول ۸-۵ ساختار درآمد نمونه را در ۱۴۰۴ نشان می‌دهد. سود تسهیلات ۸۴.۸ درصد درآمد را تشکیل می‌دهد و جریمه‌ی دیرکرد ۹.۱ درصد است. درآمد کارمزد ۶.۱ درصد است؛ این رقم در تحلیل‌ها به‌صورت جدا آمده و در برآورد حاشیه وارد نشده است، زیرا تعریف مبلغ کارمزد هنوز از بانک تأیید نشده است (بخش ۹.۵).</w:t>
      </w:r>
    </w:p>
    <w:p>
      <w:pPr>
        <w:keepNext/>
        <w:bidi/>
        <w:spacing w:after="100" w:before="200"/>
        <w:jc w:val="left"/>
      </w:pPr>
      <w:r>
        <w:rPr>
          <w:rFonts w:ascii="B Nazanin" w:cs="B Nazanin" w:eastAsia="B Nazanin" w:hAnsi="B Nazanin"/>
          <w:b/>
          <w:bCs/>
          <w:color w:val="000000"/>
          <w:sz w:val="22"/>
          <w:szCs w:val="22"/>
          <w:rtl/>
        </w:rPr>
        <w:t xml:space="preserve">جدول ۸-۵: ساختار درآمد نمونه در ۱۴۰۴ (هزار میلیارد تومان)</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23"/>
        <w:gridCol w:w="2279"/>
        <w:gridCol w:w="2448"/>
      </w:tblGrid>
      <w:tr>
        <w:trPr>
          <w:cantSplit/>
          <w:tblHeader/>
        </w:trPr>
        <w:tc>
          <w:tcPr>
            <w:tcW w:type="dxa" w:w="462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قلم درآمد</w:t>
            </w:r>
          </w:p>
        </w:tc>
        <w:tc>
          <w:tcPr>
            <w:tcW w:type="dxa" w:w="2279"/>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مبلغ</w:t>
            </w:r>
          </w:p>
        </w:tc>
        <w:tc>
          <w:tcPr>
            <w:tcW w:type="dxa" w:w="244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سهم</w:t>
            </w:r>
          </w:p>
        </w:tc>
      </w:tr>
      <w:tr>
        <w:trPr>
          <w:cantSplit/>
        </w:trPr>
        <w:tc>
          <w:tcPr>
            <w:tcW w:type="dxa" w:w="4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سود تسهیلات</w:t>
            </w:r>
          </w:p>
        </w:tc>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۸.۳۵</w:t>
            </w:r>
          </w:p>
        </w:tc>
        <w:tc>
          <w:tcPr>
            <w:tcW w:type="dxa" w:w="24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۸۴.۸٪</w:t>
            </w:r>
          </w:p>
        </w:tc>
      </w:tr>
      <w:tr>
        <w:trPr>
          <w:cantSplit/>
        </w:trPr>
        <w:tc>
          <w:tcPr>
            <w:tcW w:type="dxa" w:w="4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جریمه‌ی دیرکرد</w:t>
            </w:r>
          </w:p>
        </w:tc>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۰.۸۹</w:t>
            </w:r>
          </w:p>
        </w:tc>
        <w:tc>
          <w:tcPr>
            <w:tcW w:type="dxa" w:w="24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۹.۱٪</w:t>
            </w:r>
          </w:p>
        </w:tc>
      </w:tr>
      <w:tr>
        <w:trPr>
          <w:cantSplit/>
        </w:trPr>
        <w:tc>
          <w:tcPr>
            <w:tcW w:type="dxa" w:w="462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کارمزد (جدا از برآورد حاشیه)</w:t>
            </w:r>
          </w:p>
        </w:tc>
        <w:tc>
          <w:tcPr>
            <w:tcW w:type="dxa" w:w="2279"/>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۰.۶۰</w:t>
            </w:r>
          </w:p>
        </w:tc>
        <w:tc>
          <w:tcPr>
            <w:tcW w:type="dxa" w:w="244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۶.۱٪</w:t>
            </w:r>
          </w:p>
        </w:tc>
      </w:tr>
    </w:tbl>
    <w:p>
      <w:pPr>
        <w:spacing w:after="200"/>
      </w:pPr>
    </w:p>
    <w:p>
      <w:pPr>
        <w:bidi/>
        <w:spacing w:after="160" w:line="312"/>
        <w:jc w:val="left"/>
      </w:pPr>
      <w:r>
        <w:rPr>
          <w:rFonts w:ascii="Cambria" w:cs="B Nazanin" w:eastAsia="B Nazanin" w:hAnsi="Cambria"/>
          <w:color w:val="000000"/>
          <w:sz w:val="22"/>
          <w:szCs w:val="26"/>
          <w:rtl/>
        </w:rPr>
        <w:t xml:space="preserve">درآمد سود تسهیلات در ۱۴۰۰ تا ۱۴۰۴ ۵.۰ برابر شده (از ۱.۶۷ به ۸.۳۵) و درآمد کارمزد ۱.۷ برابر (از ۰.۳۶ به ۰.۶۰)؛ سهم کارمزد از درآمد کاهش یافته است.</w:t>
      </w:r>
    </w:p>
    <w:p>
      <w:pPr>
        <w:pBdr>
          <w:bottom w:val="single" w:color="BBBBBB" w:sz="6"/>
        </w:pBdr>
        <w:spacing w:after="100" w:before="100"/>
      </w:pPr>
    </w:p>
    <w:p>
      <w:pPr>
        <w:pStyle w:val="Heading2"/>
        <w:keepNext/>
        <w:bidi/>
        <w:spacing w:after="160" w:before="300"/>
        <w:jc w:val="left"/>
      </w:pPr>
      <w:bookmarkStart w:name="_Toc80" w:id="80"/>
      <w:r>
        <w:rPr>
          <w:rFonts w:ascii="B Titr" w:cs="B Titr" w:eastAsia="B Titr" w:hAnsi="B Titr"/>
          <w:b w:val="false"/>
          <w:bCs w:val="false"/>
          <w:color w:val="000000"/>
          <w:sz w:val="26"/>
          <w:szCs w:val="26"/>
          <w:rtl/>
        </w:rPr>
        <w:t xml:space="preserve">۸.۷ جمع‌بندی و محدودیت‌ها</w:t>
      </w:r>
      <w:bookmarkEnd w:id="80"/>
    </w:p>
    <w:p>
      <w:pPr>
        <w:bidi/>
        <w:spacing w:after="160" w:line="312"/>
        <w:jc w:val="left"/>
      </w:pPr>
      <w:r>
        <w:rPr>
          <w:rFonts w:ascii="Cambria" w:cs="B Nazanin" w:eastAsia="B Nazanin" w:hAnsi="Cambria"/>
          <w:color w:val="000000"/>
          <w:sz w:val="22"/>
          <w:szCs w:val="26"/>
          <w:rtl/>
        </w:rPr>
        <w:t xml:space="preserve">نتایج برآورد سودآوری چنین است:</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b/>
          <w:bCs/>
          <w:color w:val="000000"/>
          <w:sz w:val="22"/>
          <w:szCs w:val="26"/>
          <w:rtl/>
        </w:rPr>
        <w:t xml:space="preserve">هزینه‌ی تأمین مالی</w:t>
      </w:r>
      <w:r>
        <w:rPr>
          <w:rFonts w:ascii="Cambria" w:cs="B Nazanin" w:eastAsia="B Nazanin" w:hAnsi="Cambria"/>
          <w:color w:val="000000"/>
          <w:sz w:val="22"/>
          <w:szCs w:val="26"/>
          <w:rtl/>
        </w:rPr>
        <w:t xml:space="preserve"> از ۸.۲۴ درصد در ۱۴۰۰ به ۱۰.۴۶ درصد در ۱۴۰۴ رسیده و سود پرداختی ۴.۸ برابر شده است؛ این افزایش عمدتاً ناشی از نرخ سود است و ترکیب منابع (۳۳.۴ درصد بدون سود) اثر اندکی در کاهش آن داشته است.</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b/>
          <w:bCs/>
          <w:color w:val="000000"/>
          <w:sz w:val="22"/>
          <w:szCs w:val="26"/>
          <w:rtl/>
        </w:rPr>
        <w:t xml:space="preserve">نرخ قراردادی</w:t>
      </w:r>
      <w:r>
        <w:rPr>
          <w:rFonts w:ascii="Cambria" w:cs="B Nazanin" w:eastAsia="B Nazanin" w:hAnsi="Cambria"/>
          <w:color w:val="000000"/>
          <w:sz w:val="22"/>
          <w:szCs w:val="26"/>
          <w:rtl/>
        </w:rPr>
        <w:t xml:space="preserve"> تسهیلات (وزن مانده‌ی ۱۲/۱۴۰۴) ۱۷.۰۸ درصد و بدون قرض‌الحسنه ۱۹.۳۸ درصد است.</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b/>
          <w:bCs/>
          <w:color w:val="000000"/>
          <w:sz w:val="22"/>
          <w:szCs w:val="26"/>
          <w:rtl/>
        </w:rPr>
        <w:t xml:space="preserve">حاشیه‌ی ناخالص مالی</w:t>
      </w:r>
      <w:r>
        <w:rPr>
          <w:rFonts w:ascii="Cambria" w:cs="B Nazanin" w:eastAsia="B Nazanin" w:hAnsi="Cambria"/>
          <w:color w:val="000000"/>
          <w:sz w:val="22"/>
          <w:szCs w:val="26"/>
          <w:rtl/>
        </w:rPr>
        <w:t xml:space="preserve"> ۱۴۰۴ بر مبنای نرخ قراردادی ۶.۶ واحد درصد (حد بالا؛ سناریوی حدود ۸.۱ هزار میلیارد تومان در سال، با پوشش اطلاعات قرارداد ۷۷.۶ درصد) و بر مبنای درآمد دریافتی بین منفی ۱.۷ واحد درصد و ۲.۸ واحد درصد مثبت است.</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b/>
          <w:bCs/>
          <w:color w:val="000000"/>
          <w:sz w:val="22"/>
          <w:szCs w:val="26"/>
          <w:rtl/>
        </w:rPr>
        <w:t xml:space="preserve">نوع قرارداد:</w:t>
      </w:r>
      <w:r>
        <w:rPr>
          <w:rFonts w:ascii="Cambria" w:cs="B Nazanin" w:eastAsia="B Nazanin" w:hAnsi="Cambria"/>
          <w:color w:val="000000"/>
          <w:sz w:val="22"/>
          <w:szCs w:val="26"/>
          <w:rtl/>
        </w:rPr>
        <w:t xml:space="preserve"> مضاربه، مشارکت مدنی و مرابحه بیش از ۱۰ واحد درصد بالاتر از هزینه‌ی تأمین مالی‌اند و قرض‌الحسنه ۶.۵ واحد درصد پایین‌تر از آن است.</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b/>
          <w:bCs/>
          <w:color w:val="000000"/>
          <w:sz w:val="22"/>
          <w:szCs w:val="26"/>
          <w:rtl/>
        </w:rPr>
        <w:t xml:space="preserve">بازده دریافتی</w:t>
      </w:r>
      <w:r>
        <w:rPr>
          <w:rFonts w:ascii="Cambria" w:cs="B Nazanin" w:eastAsia="B Nazanin" w:hAnsi="Cambria"/>
          <w:color w:val="000000"/>
          <w:sz w:val="22"/>
          <w:szCs w:val="26"/>
          <w:rtl/>
        </w:rPr>
        <w:t xml:space="preserve"> ۱۴۰۴ بر قراردادهای دارای دفتر اقساط ۱۳.۲ درصد و بر کل مانده‌ی نمونه ۸.۸ درصد است؛ هر دو از نرخ قراردادی کمتر‌اند و تفکیک دلایل شکاف به صورت سود و زیان رسمی نیاز دارد.</w:t>
      </w:r>
    </w:p>
    <w:p>
      <w:pPr>
        <w:bidi/>
        <w:spacing w:after="160" w:line="312"/>
        <w:jc w:val="left"/>
      </w:pPr>
      <w:r>
        <w:rPr>
          <w:rFonts w:ascii="Cambria" w:cs="B Nazanin" w:eastAsia="B Nazanin" w:hAnsi="Cambria"/>
          <w:color w:val="000000"/>
          <w:sz w:val="22"/>
          <w:szCs w:val="26"/>
          <w:rtl/>
        </w:rPr>
        <w:t xml:space="preserve">محدودیت‌های این برآورد: سود خالص را نشان نمی‌دهد و هزینه‌های اداری و پرسنلی، مالیات و ذخیره‌ی مطالبات در آن لحاظ نشده است؛ دفتر اقساط حدود ۶۶ درصد میانگین مانده‌ی نمونه را پوشش می‌دهد؛ نرخ قراردادی برای قراردادهای دارای رکورد (۷۷.۶ درصد مانده) محاسبه شده است؛ و هزینه‌ی منابع غیرسپرده‌ای در هزینه‌ی تأمین مالی نیست. تطبیق با صورت سود و زیان رسمی بانک این محدودیت‌ها را برطرف می‌کند (فصل ۹).</w:t>
      </w:r>
    </w:p>
    <w:p>
      <w:pPr>
        <w:pBdr>
          <w:bottom w:val="single" w:color="BBBBBB" w:sz="6"/>
        </w:pBdr>
        <w:spacing w:after="100" w:before="100"/>
      </w:pPr>
    </w:p>
    <w:p>
      <w:pPr>
        <w:pStyle w:val="Heading1"/>
        <w:keepNext/>
        <w:pageBreakBefore/>
        <w:bidi/>
        <w:spacing w:after="160" w:before="0"/>
        <w:jc w:val="left"/>
      </w:pPr>
      <w:bookmarkStart w:name="_Toc81" w:id="81"/>
      <w:r>
        <w:rPr>
          <w:rFonts w:ascii="B Titr" w:cs="B Titr" w:eastAsia="B Titr" w:hAnsi="B Titr"/>
          <w:b w:val="false"/>
          <w:bCs w:val="false"/>
          <w:color w:val="1F4E79"/>
          <w:sz w:val="30"/>
          <w:szCs w:val="30"/>
          <w:rtl/>
        </w:rPr>
        <w:t xml:space="preserve">فصل ۹: جمع‌بندی، پیشنهادها و مسیر پیش رو</w:t>
      </w:r>
      <w:bookmarkEnd w:id="81"/>
    </w:p>
    <w:p>
      <w:pPr>
        <w:pStyle w:val="Heading2"/>
        <w:keepNext/>
        <w:bidi/>
        <w:spacing w:after="160" w:before="300"/>
        <w:jc w:val="left"/>
      </w:pPr>
      <w:bookmarkStart w:name="_Toc82" w:id="82"/>
      <w:r>
        <w:rPr>
          <w:rFonts w:ascii="B Titr" w:cs="B Titr" w:eastAsia="B Titr" w:hAnsi="B Titr"/>
          <w:b w:val="false"/>
          <w:bCs w:val="false"/>
          <w:color w:val="000000"/>
          <w:sz w:val="26"/>
          <w:szCs w:val="26"/>
          <w:rtl/>
        </w:rPr>
        <w:t xml:space="preserve">۹.۱ جمع‌بندی یافته‌های فاز ۱</w:t>
      </w:r>
      <w:bookmarkEnd w:id="82"/>
    </w:p>
    <w:p>
      <w:pPr>
        <w:bidi/>
        <w:spacing w:after="160" w:line="312"/>
        <w:jc w:val="left"/>
      </w:pPr>
      <w:r>
        <w:rPr>
          <w:rFonts w:ascii="Cambria" w:cs="B Nazanin" w:eastAsia="B Nazanin" w:hAnsi="Cambria"/>
          <w:color w:val="000000"/>
          <w:sz w:val="22"/>
          <w:szCs w:val="26"/>
          <w:rtl/>
        </w:rPr>
        <w:t xml:space="preserve">فاز نخست پروژه تصویری از بازار سپرده و تسهیلات، ساختار مشتریان، کیفیت دارایی‌ها، پراکندگی جغرافیایی و سودآوری بانک در بازه‌ی ۰۱/۱۴۰۰ تا ۱۲/۱۴۰۴ ارائه کرد. مهم‌ترین یافته‌های هر فصل به شرح زیر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نمونه و اعتبار تحلیل‌ها (فصل‌های ۱ و ۲):</w:t>
      </w:r>
      <w:r>
        <w:rPr>
          <w:rFonts w:ascii="Cambria" w:cs="B Nazanin" w:eastAsia="B Nazanin" w:hAnsi="Cambria"/>
          <w:color w:val="000000"/>
          <w:sz w:val="22"/>
          <w:szCs w:val="26"/>
          <w:rtl/>
        </w:rPr>
        <w:t xml:space="preserve"> نمونه‌ی تحلیلی ۹.۵ درصد سپرده‌گذاران و ۱۵.۸ درصد گیرندگان تسهیلات بانک را شامل می‌شود و ۶۳.۷ درصد منابع ریالی و ۸۶.۵ درصد مانده‌ی تسهیلات بانک را پوشش می‌دهد. نسبت مطالبات غیرجاری نمونه با آمار رسمی بانک در ۵۸ ماه قابل مقایسه همبستگی ۰.۹۶ دارد و الگوی استانی آن با بانک همبستگی ۰.۹۹؛ دامنه‌ی تعمیم هر شاخص در جدول ۲-۶ آمده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مشتریان (فصل ۳):</w:t>
      </w:r>
      <w:r>
        <w:rPr>
          <w:rFonts w:ascii="Cambria" w:cs="B Nazanin" w:eastAsia="B Nazanin" w:hAnsi="Cambria"/>
          <w:color w:val="000000"/>
          <w:sz w:val="22"/>
          <w:szCs w:val="26"/>
          <w:rtl/>
        </w:rPr>
        <w:t xml:space="preserve"> ۳۵.۳ درصد سپرده‌گذاران نمونه گیرنده‌ی تسهیلات نیز هستند و ۴۵۶,۸۳۵ نفر (۶۴.۷ درصد) صرفاً سپرده‌گذارند؛ در میان آنان ۴,۳۳۴ سپرده‌گذار بزرگ با مانده‌ی بیش از ۱ میلیارد تومان بیش از نیمی از مانده‌ی سپرده‌ی نمونه را در اختیار دارند. ماندگاری و ریزش کل بانک با نمونه‌ی مشتریان غیرفعال در فاز ۴ برآورد می‌شود؛ ساختار ماندگاری درون نمونه در بخش ۳.۵ و ۳.۶ توصیف شده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بازار سپرده (فصل ۴):</w:t>
      </w:r>
      <w:r>
        <w:rPr>
          <w:rFonts w:ascii="Cambria" w:cs="B Nazanin" w:eastAsia="B Nazanin" w:hAnsi="Cambria"/>
          <w:color w:val="000000"/>
          <w:sz w:val="22"/>
          <w:szCs w:val="26"/>
          <w:rtl/>
        </w:rPr>
        <w:t xml:space="preserve"> منابع ریالی رسمی بانک در ۶۰ ماه ۵.۱ برابر شده و رشد آن در ۱۴۰۴ به ۴۷.۲ درصد رسیده است. ۳۳.۴ درصد منابع هزینه‌ی سود ندارد و ۴۶.۵ درصد سپرده‌ی بلندمدت است (۱۰/۱۴۰۴). ساختار مشتریان نامتقارن است: ۱.۲۳ درصد سپرده‌گذاران ۸۰.۱۵ درصد مانده‌ی نمونه را دارند.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بازار تسهیلات (فصل ۵):</w:t>
      </w:r>
      <w:r>
        <w:rPr>
          <w:rFonts w:ascii="Cambria" w:cs="B Nazanin" w:eastAsia="B Nazanin" w:hAnsi="Cambria"/>
          <w:color w:val="000000"/>
          <w:sz w:val="22"/>
          <w:szCs w:val="26"/>
          <w:rtl/>
        </w:rPr>
        <w:t xml:space="preserve"> مانده‌ی تسهیلات بانک از ۲۸.۰ به ۱۴۸.۲ هزار میلیارد تومان (۵.۳ برابر) رسیده و با ضریبی نزدیک به منابع (۵.۱ برابر) رشد کرده است؛ نسبت تسهیلات به منابع رسمی در ۶۰ ماه میان ۱۰۵ و ۱۲۸ درصد بوده و در ۱۲/۱۴۰۴ برابر ۱۱۱.۳ درصد است. مرابحه محور اصلی پرتفوی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کیفیت دارایی (فصل ۶):</w:t>
      </w:r>
      <w:r>
        <w:rPr>
          <w:rFonts w:ascii="Cambria" w:cs="B Nazanin" w:eastAsia="B Nazanin" w:hAnsi="Cambria"/>
          <w:color w:val="000000"/>
          <w:sz w:val="22"/>
          <w:szCs w:val="26"/>
          <w:rtl/>
        </w:rPr>
        <w:t xml:space="preserve"> نسبت مطالبات غیرجاری بانک از ۴.۶ درصد در ۱۲/۱۴۰۳ به ۸.۰ درصد در ۱۲/۱۴۰۴ رسیده است. رکوردهای دارای برچسب اعتبارات اسنادی با ۴.۲ درصد پرتفوی ۴۰.۴ درصد مطالبات غیرجاری را دارند؛ شاخص‌های پیش‌نگر (۷۰ درصد افزایش نسبی نرخ مهاجرت یک‌ماهه از جاری به سررسیدگذشته و ۳۸ درصد کاهش نسبی نرخ بازگشت) هشداری برای پایش مطالبات غیرجاری در ۱۴۰۵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جغرافیا (فصل ۷):</w:t>
      </w:r>
      <w:r>
        <w:rPr>
          <w:rFonts w:ascii="Cambria" w:cs="B Nazanin" w:eastAsia="B Nazanin" w:hAnsi="Cambria"/>
          <w:color w:val="000000"/>
          <w:sz w:val="22"/>
          <w:szCs w:val="26"/>
          <w:rtl/>
        </w:rPr>
        <w:t xml:space="preserve"> تهران ۲۲.۵ درصد منابع را دارد و ۲۶ استان بیش از منابع خود تسهیلات داده‌اند. چهار استان سمنان، هرمزگان، مرکزی و مازندران ۱۳.۲ درصد تسهیلات اما ۳۷.۹ درصد مطالبات غیرجاری بانک را دارند.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b/>
          <w:bCs/>
          <w:color w:val="000000"/>
          <w:sz w:val="22"/>
          <w:szCs w:val="26"/>
          <w:rtl/>
        </w:rPr>
        <w:t xml:space="preserve">سودآوری (فصل ۸):</w:t>
      </w:r>
      <w:r>
        <w:rPr>
          <w:rFonts w:ascii="Cambria" w:cs="B Nazanin" w:eastAsia="B Nazanin" w:hAnsi="Cambria"/>
          <w:color w:val="000000"/>
          <w:sz w:val="22"/>
          <w:szCs w:val="26"/>
          <w:rtl/>
        </w:rPr>
        <w:t xml:space="preserve"> هزینه‌ی تأمین مالی از ۸.۲ به ۱۰.۵ درصد رسیده است. حاشیه‌ی ناخالص مالی ۱۴۰۴ بر مبنای نرخ قراردادی (سقف) ۶.۶ واحد درصد و بر مبنای درآمد دریافتی بین منفی ۱.۷ و ۲.۸ واحد درصد است.</w:t>
      </w:r>
    </w:p>
    <w:p>
      <w:pPr>
        <w:pStyle w:val="Heading3"/>
        <w:keepNext/>
        <w:bidi/>
        <w:spacing w:after="160" w:before="300"/>
        <w:jc w:val="left"/>
      </w:pPr>
      <w:r>
        <w:rPr>
          <w:rFonts w:ascii="B Titr" w:cs="B Titr" w:eastAsia="B Titr" w:hAnsi="B Titr"/>
          <w:b w:val="false"/>
          <w:bCs w:val="false"/>
          <w:color w:val="000000"/>
          <w:sz w:val="26"/>
          <w:szCs w:val="26"/>
          <w:rtl/>
        </w:rPr>
        <w:t xml:space="preserve">۹.۱.۱ محدودیت‌های اثرگذار بر تصمیم</w:t>
      </w:r>
    </w:p>
    <w:p>
      <w:pPr>
        <w:bidi/>
        <w:spacing w:after="160" w:line="312"/>
        <w:jc w:val="left"/>
      </w:pPr>
      <w:r>
        <w:rPr>
          <w:rFonts w:ascii="Cambria" w:cs="B Nazanin" w:eastAsia="B Nazanin" w:hAnsi="Cambria"/>
          <w:color w:val="000000"/>
          <w:sz w:val="22"/>
          <w:szCs w:val="26"/>
          <w:rtl/>
        </w:rPr>
        <w:t xml:space="preserve">محدودیت‌های زیر می‌توانند رتبه‌بندی ریسک یا نتیجه‌گیری مدیریتی را تغییر دهند و پیش از تصمیم باید در نظر گرفته شوند: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۲۲.۴ درصد مانده‌ی تسهیلات (۵۳.۸ درصد مطالبات غیرجاری) رکورد قرارداد ندارد؛ نتایج سطح قرارداد بر ۷۷.۶ درصد پرتفوی متکی‌اند.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تعداد اعتبارات اسنادی در پایگاه (۲۰,۷۳۳ قرارداد) با آمار رسمی (۸۵۳ فقره) یکسان نشده است؛ ریسک این گروه برای رکوردهای دارای این برچسب گزارش شده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نرخ‌های انتقال بر دو جفت ماه متکی‌اند و تغییر طبقه‌بندی دی تا بهمن ۱۴۰۴ را دربرمی‌گیرند.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فروش متقاطع، تمرکز مشتری و ساختار ماندگاری و ریزش ویژگی نمونه‌اند و به کل بانک تعمیم داده نمی‌شوند.</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حاشیه‌ی مالی بدون صورت سود و زیان رسمی و با پوشش دفتر اقساط محدود برآورد شده است.</w:t>
      </w:r>
    </w:p>
    <w:p>
      <w:pPr>
        <w:bidi/>
        <w:spacing w:after="120" w:line="300"/>
        <w:ind w:start="300"/>
        <w:jc w:val="left"/>
      </w:pPr>
      <w:r>
        <w:rPr>
          <w:rFonts w:ascii="Cambria" w:cs="B Nazanin" w:eastAsia="B Nazanin" w:hAnsi="Cambria"/>
          <w:color w:val="000000"/>
          <w:sz w:val="22"/>
          <w:szCs w:val="26"/>
          <w:rtl/>
        </w:rPr>
        <w:t xml:space="preserve">• </w:t>
      </w:r>
      <w:r>
        <w:rPr>
          <w:rFonts w:ascii="Cambria" w:cs="B Nazanin" w:eastAsia="B Nazanin" w:hAnsi="Cambria"/>
          <w:color w:val="000000"/>
          <w:sz w:val="22"/>
          <w:szCs w:val="26"/>
          <w:rtl/>
        </w:rPr>
        <w:t xml:space="preserve">سرمایه، کفایت سرمایه، ذخایر و مقایسه با بانک‌های مشابه در داده‌های دریافتی نبوده و در این گزارش بررسی نشده‌اند.</w:t>
      </w:r>
    </w:p>
    <w:p>
      <w:pPr>
        <w:pBdr>
          <w:bottom w:val="single" w:color="BBBBBB" w:sz="6"/>
        </w:pBdr>
        <w:spacing w:after="100" w:before="100"/>
      </w:pPr>
    </w:p>
    <w:p>
      <w:pPr>
        <w:pStyle w:val="Heading2"/>
        <w:keepNext/>
        <w:bidi/>
        <w:spacing w:after="160" w:before="300"/>
        <w:jc w:val="left"/>
      </w:pPr>
      <w:bookmarkStart w:name="_Toc83" w:id="83"/>
      <w:r>
        <w:rPr>
          <w:rFonts w:ascii="B Titr" w:cs="B Titr" w:eastAsia="B Titr" w:hAnsi="B Titr"/>
          <w:b w:val="false"/>
          <w:bCs w:val="false"/>
          <w:color w:val="000000"/>
          <w:sz w:val="26"/>
          <w:szCs w:val="26"/>
          <w:rtl/>
        </w:rPr>
        <w:t xml:space="preserve">۹.۲ پیشنهادهای اولیه برای مدیریت</w:t>
      </w:r>
      <w:bookmarkEnd w:id="83"/>
    </w:p>
    <w:p>
      <w:pPr>
        <w:bidi/>
        <w:spacing w:after="160" w:line="312"/>
        <w:jc w:val="left"/>
      </w:pPr>
      <w:r>
        <w:rPr>
          <w:rFonts w:ascii="Cambria" w:cs="B Nazanin" w:eastAsia="B Nazanin" w:hAnsi="Cambria"/>
          <w:color w:val="000000"/>
          <w:sz w:val="22"/>
          <w:szCs w:val="26"/>
          <w:rtl/>
        </w:rPr>
        <w:t xml:space="preserve">یافته‌های فاز ۱ شش محور اقدام را نشان می‌دهد. این پیشنهادها اولیه‌اند و در فازهای ۲ تا ۵ با تحلیل رفتاری و مدل‌سازی دقیق‌تر می‌شوند.</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b/>
          <w:bCs/>
          <w:color w:val="000000"/>
          <w:sz w:val="22"/>
          <w:szCs w:val="26"/>
          <w:rtl/>
        </w:rPr>
        <w:t xml:space="preserve">هدف‌گذاری فروش متقاطع.</w:t>
      </w:r>
      <w:r>
        <w:rPr>
          <w:rFonts w:ascii="Cambria" w:cs="B Nazanin" w:eastAsia="B Nazanin" w:hAnsi="Cambria"/>
          <w:color w:val="000000"/>
          <w:sz w:val="22"/>
          <w:szCs w:val="26"/>
          <w:rtl/>
        </w:rPr>
        <w:t xml:space="preserve"> در نمونه، ۱۰۱,۱۹۶ سپرده‌گذار فاقد تسهیلات با مانده‌ی بیش از ۱۰ میلیون تومان، که ۴,۳۳۴ نفر آنان بیش از ۱ میلیارد تومان دارند، نقطه‌ی شروع برنامه‌ی فروش تسهیلات‌اند (بخش ۳.۳). اجرای برنامه با پایش نسبت تسهیلات به منابع (بخش ۵.۳) و کیفیت دارایی (فصل ۶) همراه است و هدف‌گذاری برای کل بانک پس از وزن‌دهی نمونه انجام می‌شود.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b/>
          <w:bCs/>
          <w:color w:val="000000"/>
          <w:sz w:val="22"/>
          <w:szCs w:val="26"/>
          <w:rtl/>
        </w:rPr>
        <w:t xml:space="preserve">پایش متمرکز مطالبات غیرجاری.</w:t>
      </w:r>
      <w:r>
        <w:rPr>
          <w:rFonts w:ascii="Cambria" w:cs="B Nazanin" w:eastAsia="B Nazanin" w:hAnsi="Cambria"/>
          <w:color w:val="000000"/>
          <w:sz w:val="22"/>
          <w:szCs w:val="26"/>
          <w:rtl/>
        </w:rPr>
        <w:t xml:space="preserve"> سه کانون بیشترین اثر را دارند: رکوردهای دارای برچسب اعتبارات اسنادی (۴۰.۴ درصد مطالبات غیرجاری با ۴.۲ درصد پرتفوی)، چهار استان پرمخاطره (۳۷.۹ درصد مطالبات غیرجاری) و وام‌های بزرگ (فصل ۶). پایش ماهانه‌ی شاخص‌های پیش‌نگر برای این کانون‌ها مقدم بر سایر اقدامات است.</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b/>
          <w:bCs/>
          <w:color w:val="000000"/>
          <w:sz w:val="22"/>
          <w:szCs w:val="26"/>
          <w:rtl/>
        </w:rPr>
        <w:t xml:space="preserve">تحقق حاشیه‌ی قراردادی.</w:t>
      </w:r>
      <w:r>
        <w:rPr>
          <w:rFonts w:ascii="Cambria" w:cs="B Nazanin" w:eastAsia="B Nazanin" w:hAnsi="Cambria"/>
          <w:color w:val="000000"/>
          <w:sz w:val="22"/>
          <w:szCs w:val="26"/>
          <w:rtl/>
        </w:rPr>
        <w:t xml:space="preserve"> نرخ قراردادی ۱۷.۰۸ درصد است اما بازده درآمد دریافتی ۱۴۰۴ برابر ۸.۸ تا ۱۳.۲ درصد است؛ حاشیه‌ی مالی میان سقف ۶.۶ واحد درصد و بازه‌ی منفی ۱.۷ تا ۲.۸ واحد درصد قرار دارد. بهبود وصول اقساط و کاهش مطالبات غیرجاری، نزدیک‌کردن بازده دریافتی به نرخ قراردادی ظرفیتی برای بهبود سودآوری است؛ سهم هر عامل با صورت سود و زیان رسمی مشخص می‌شود.</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b/>
          <w:bCs/>
          <w:color w:val="000000"/>
          <w:sz w:val="22"/>
          <w:szCs w:val="26"/>
          <w:rtl/>
        </w:rPr>
        <w:t xml:space="preserve">مدیریت هزینه‌ی منابع.</w:t>
      </w:r>
      <w:r>
        <w:rPr>
          <w:rFonts w:ascii="Cambria" w:cs="B Nazanin" w:eastAsia="B Nazanin" w:hAnsi="Cambria"/>
          <w:color w:val="000000"/>
          <w:sz w:val="22"/>
          <w:szCs w:val="26"/>
          <w:rtl/>
        </w:rPr>
        <w:t xml:space="preserve"> نرخ هزینه‌ی تأمین مالی در پنج سال ۲.۲ واحد درصد افزایش یافته و سپرده‌ی بلندمدت ۴۶.۵ درصد منابع را تشکیل می‌دهد. افزایش سهم قرض‌الحسنه و کوتاه‌مدت، به‌ویژه در تهران که کمترین سهم قرض‌الحسنه را دارد، هزینه را کاهش می‌دهد.</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b/>
          <w:bCs/>
          <w:color w:val="000000"/>
          <w:sz w:val="22"/>
          <w:szCs w:val="26"/>
          <w:rtl/>
        </w:rPr>
        <w:t xml:space="preserve">تجهیز منابع در استان‌های کم‌منبع.</w:t>
      </w:r>
      <w:r>
        <w:rPr>
          <w:rFonts w:ascii="Cambria" w:cs="B Nazanin" w:eastAsia="B Nazanin" w:hAnsi="Cambria"/>
          <w:color w:val="000000"/>
          <w:sz w:val="22"/>
          <w:szCs w:val="26"/>
          <w:rtl/>
        </w:rPr>
        <w:t xml:space="preserve"> در استان‌هایی مانند سمنان، لرستان و یزد نسبت تسهیلات به منابع نزدیک به ۲۰۰ درصد است. برنامه‌ی جذب سپرده در این استان‌ها وابستگی به منابع سایر استان‌ها را کم می‌کند.</w:t>
      </w:r>
    </w:p>
    <w:p>
      <w:pPr>
        <w:bidi/>
        <w:spacing w:after="120" w:line="300"/>
        <w:ind w:start="300"/>
        <w:jc w:val="left"/>
      </w:pPr>
      <w:r>
        <w:rPr>
          <w:rFonts w:ascii="Cambria" w:cs="B Nazanin" w:eastAsia="B Nazanin" w:hAnsi="Cambria"/>
          <w:color w:val="000000"/>
          <w:sz w:val="22"/>
          <w:szCs w:val="26"/>
          <w:rtl/>
        </w:rPr>
        <w:t xml:space="preserve">۶. </w:t>
      </w:r>
      <w:r>
        <w:rPr>
          <w:rFonts w:ascii="Cambria" w:cs="B Nazanin" w:eastAsia="B Nazanin" w:hAnsi="Cambria"/>
          <w:b/>
          <w:bCs/>
          <w:color w:val="000000"/>
          <w:sz w:val="22"/>
          <w:szCs w:val="26"/>
          <w:rtl/>
        </w:rPr>
        <w:t xml:space="preserve">تکمیل داده‌ها.</w:t>
      </w:r>
      <w:r>
        <w:rPr>
          <w:rFonts w:ascii="Cambria" w:cs="B Nazanin" w:eastAsia="B Nazanin" w:hAnsi="Cambria"/>
          <w:color w:val="000000"/>
          <w:sz w:val="22"/>
          <w:szCs w:val="26"/>
          <w:rtl/>
        </w:rPr>
        <w:t xml:space="preserve"> اطلاعات قرارداد ۲۲.۴ درصد مانده‌ی تسهیلات، با نسبت غیرجاری ۲۱.۰ درصد، و جدول مشخصات مشتریان مهم‌ترین شکاف‌های اطلاعاتی‌اند و تکمیل آن‌ها کیفیت تصمیم‌گیری در هر پنج محور بالا را افزایش می‌دهد (بخش ۹.۴).</w:t>
      </w:r>
    </w:p>
    <w:p>
      <w:pPr>
        <w:pBdr>
          <w:bottom w:val="single" w:color="BBBBBB" w:sz="6"/>
        </w:pBdr>
        <w:spacing w:after="100" w:before="100"/>
      </w:pPr>
    </w:p>
    <w:p>
      <w:pPr>
        <w:pStyle w:val="Heading2"/>
        <w:keepNext/>
        <w:bidi/>
        <w:spacing w:after="160" w:before="300"/>
        <w:jc w:val="left"/>
      </w:pPr>
      <w:bookmarkStart w:name="_Toc84" w:id="84"/>
      <w:r>
        <w:rPr>
          <w:rFonts w:ascii="B Titr" w:cs="B Titr" w:eastAsia="B Titr" w:hAnsi="B Titr"/>
          <w:b w:val="false"/>
          <w:bCs w:val="false"/>
          <w:color w:val="000000"/>
          <w:sz w:val="26"/>
          <w:szCs w:val="26"/>
          <w:rtl/>
        </w:rPr>
        <w:t xml:space="preserve">۹.۳ مسیر پیش رو: فازهای ۲ تا ۵</w:t>
      </w:r>
      <w:bookmarkEnd w:id="84"/>
    </w:p>
    <w:p>
      <w:pPr>
        <w:bidi/>
        <w:spacing w:after="160" w:line="312"/>
        <w:jc w:val="left"/>
      </w:pPr>
      <w:r>
        <w:rPr>
          <w:rFonts w:ascii="Cambria" w:cs="B Nazanin" w:eastAsia="B Nazanin" w:hAnsi="Cambria"/>
          <w:color w:val="000000"/>
          <w:sz w:val="22"/>
          <w:szCs w:val="26"/>
          <w:rtl/>
        </w:rPr>
        <w:t xml:space="preserve">فاز ۱ پایه‌ی اطلاعاتی چهار فاز بعدی را فراهم می‌کند. جدول ۹-۱ هدف، ورودی و خروجی هر فاز را نشان می‌دهد.</w:t>
      </w:r>
    </w:p>
    <w:p>
      <w:pPr>
        <w:keepNext/>
        <w:bidi/>
        <w:spacing w:after="100" w:before="200"/>
        <w:jc w:val="left"/>
      </w:pPr>
      <w:r>
        <w:rPr>
          <w:rFonts w:ascii="B Nazanin" w:cs="B Nazanin" w:eastAsia="B Nazanin" w:hAnsi="B Nazanin"/>
          <w:b/>
          <w:bCs/>
          <w:color w:val="000000"/>
          <w:sz w:val="22"/>
          <w:szCs w:val="22"/>
          <w:rtl/>
        </w:rPr>
        <w:t xml:space="preserve">جدول ۹-۱: فازهای پروژه‌ی تحلیل رفتار مشتریان پس از فاز ۱</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55"/>
        <w:gridCol w:w="2098"/>
        <w:gridCol w:w="2098"/>
        <w:gridCol w:w="2098"/>
        <w:gridCol w:w="2101"/>
      </w:tblGrid>
      <w:tr>
        <w:trPr>
          <w:cantSplit/>
          <w:tblHeader/>
        </w:trPr>
        <w:tc>
          <w:tcPr>
            <w:tcW w:type="dxa" w:w="95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فاز</w:t>
            </w:r>
          </w:p>
        </w:tc>
        <w:tc>
          <w:tcPr>
            <w:tcW w:type="dxa" w:w="20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موضوع</w:t>
            </w:r>
          </w:p>
        </w:tc>
        <w:tc>
          <w:tcPr>
            <w:tcW w:type="dxa" w:w="20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ورودی اصلی</w:t>
            </w:r>
          </w:p>
        </w:tc>
        <w:tc>
          <w:tcPr>
            <w:tcW w:type="dxa" w:w="2098"/>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خروجی</w:t>
            </w:r>
          </w:p>
        </w:tc>
        <w:tc>
          <w:tcPr>
            <w:tcW w:type="dxa" w:w="2101"/>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داده‌ی تکمیلی مؤثر</w:t>
            </w:r>
          </w:p>
        </w:tc>
      </w:tr>
      <w:tr>
        <w:trPr>
          <w:cantSplit/>
        </w:trPr>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خوشه‌بندی مشتریان در بازه‌ی ۵ ساله</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تحلیلی، شاخص‌های رفتاری فصل ۳</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بخش‌های رفتاری مشتریان و پروفایل هر بخش</w:t>
            </w:r>
          </w:p>
        </w:tc>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جدول مشخصات مشتریان (حقیقی/حقوقی، سن، جنسیت، شغل، جغرافیا)</w:t>
            </w:r>
          </w:p>
        </w:tc>
      </w:tr>
      <w:tr>
        <w:trPr>
          <w:cantSplit/>
        </w:trPr>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الگوهای رفتاری به تفکیک گروه‌ها: سودآور، کلان، خرد، جغرافیا و بخش اقتصادی</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خوشه‌های فاز ۲، ساختار استانی و هزینه‌ی منابع (فصل‌های ۷ و ۸)</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تحلیل سودآوری و رفتار هر گروه</w:t>
            </w:r>
          </w:p>
        </w:tc>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اطلاعات قرارداد کامل، جدول سود پرداختی کامل</w:t>
            </w:r>
          </w:p>
        </w:tc>
      </w:tr>
      <w:tr>
        <w:trPr>
          <w:cantSplit/>
        </w:trPr>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۴</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مدل‌های پیش‌بینی: سود و زیان، نکول، ارزش طول عمر و گرایش مشتری</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خروجی فازهای ۲ و ۳، شاخص‌های پیش‌نگر فصل ۶</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مدل‌های آموزش‌دیده و ارزیابی دقت آن‌ها</w:t>
            </w:r>
          </w:p>
        </w:tc>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نمونه‌ی مشتریان غیرفعال و ریزش‌کرده</w:t>
            </w:r>
          </w:p>
        </w:tc>
      </w:tr>
      <w:tr>
        <w:trPr>
          <w:cantSplit/>
        </w:trPr>
        <w:tc>
          <w:tcPr>
            <w:tcW w:type="dxa" w:w="95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یافته‌ها و راهکارهای سیاستی</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خروجی تمام فازها</w:t>
            </w:r>
          </w:p>
        </w:tc>
        <w:tc>
          <w:tcPr>
            <w:tcW w:type="dxa" w:w="2098"/>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گزارش نهایی و برنامه‌ی اقدام</w:t>
            </w:r>
          </w:p>
        </w:tc>
        <w:tc>
          <w:tcPr>
            <w:tcW w:type="dxa" w:w="2101"/>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
            </w:r>
          </w:p>
        </w:tc>
      </w:tr>
    </w:tbl>
    <w:p>
      <w:pPr>
        <w:spacing w:after="200"/>
      </w:pPr>
    </w:p>
    <w:p>
      <w:pPr>
        <w:bidi/>
        <w:spacing w:after="160" w:line="312"/>
        <w:jc w:val="left"/>
      </w:pPr>
      <w:r>
        <w:rPr>
          <w:rFonts w:ascii="Cambria" w:cs="B Nazanin" w:eastAsia="B Nazanin" w:hAnsi="Cambria"/>
          <w:color w:val="000000"/>
          <w:sz w:val="22"/>
          <w:szCs w:val="26"/>
          <w:rtl/>
        </w:rPr>
        <w:t xml:space="preserve">اجرای فاز ۲ منوط به تأیید گزارش حاضر است. دریافت داده‌های اولویت نخست (بخش ۹.۴) عمق تحلیل را افزایش می‌دهد؛ در صورت دریافت نشدن جدول مشخصات مشتریان، فاز ۲ با بخش‌بندی رفتاری و رابطه‌ای بر مبنای داده‌ی موجود انجام می‌شود و ابعاد جمعیت‌شناختی در مرحله‌ی تکمیل افزوده خواهد شد.</w:t>
      </w:r>
    </w:p>
    <w:p>
      <w:pPr>
        <w:pBdr>
          <w:bottom w:val="single" w:color="BBBBBB" w:sz="6"/>
        </w:pBdr>
        <w:spacing w:after="100" w:before="100"/>
      </w:pPr>
    </w:p>
    <w:p>
      <w:pPr>
        <w:pStyle w:val="Heading2"/>
        <w:keepNext/>
        <w:bidi/>
        <w:spacing w:after="160" w:before="300"/>
        <w:jc w:val="left"/>
      </w:pPr>
      <w:bookmarkStart w:name="_Toc85" w:id="85"/>
      <w:r>
        <w:rPr>
          <w:rFonts w:ascii="B Titr" w:cs="B Titr" w:eastAsia="B Titr" w:hAnsi="B Titr"/>
          <w:b w:val="false"/>
          <w:bCs w:val="false"/>
          <w:color w:val="000000"/>
          <w:sz w:val="26"/>
          <w:szCs w:val="26"/>
          <w:rtl/>
        </w:rPr>
        <w:t xml:space="preserve">۹.۴ داده‌های درخواستی از بانک</w:t>
      </w:r>
      <w:bookmarkEnd w:id="85"/>
    </w:p>
    <w:p>
      <w:pPr>
        <w:bidi/>
        <w:spacing w:after="160" w:line="312"/>
        <w:jc w:val="left"/>
      </w:pPr>
      <w:r>
        <w:rPr>
          <w:rFonts w:ascii="Cambria" w:cs="B Nazanin" w:eastAsia="B Nazanin" w:hAnsi="Cambria"/>
          <w:color w:val="000000"/>
          <w:sz w:val="22"/>
          <w:szCs w:val="26"/>
          <w:rtl/>
        </w:rPr>
        <w:t xml:space="preserve">جدول ۹-۲ داده‌های تکمیلی را به ترتیب اولویت فهرست می‌کند. اولویت ۱ مواردی است که بیشترین اثر را بر کیفیت فاز ۲ دارند.</w:t>
      </w:r>
    </w:p>
    <w:p>
      <w:pPr>
        <w:keepNext/>
        <w:bidi/>
        <w:spacing w:after="100" w:before="200"/>
        <w:jc w:val="left"/>
      </w:pPr>
      <w:r>
        <w:rPr>
          <w:rFonts w:ascii="B Nazanin" w:cs="B Nazanin" w:eastAsia="B Nazanin" w:hAnsi="B Nazanin"/>
          <w:b/>
          <w:bCs/>
          <w:color w:val="000000"/>
          <w:sz w:val="22"/>
          <w:szCs w:val="22"/>
          <w:rtl/>
        </w:rPr>
        <w:t xml:space="preserve">جدول ۹-۲: داده‌های درخواستی از بانک و اولویت آن‌ها</w:t>
      </w:r>
    </w:p>
    <w:tbl>
      <w:tblPr>
        <w:bidiVisual/>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7"/>
        <w:gridCol w:w="2885"/>
        <w:gridCol w:w="2885"/>
        <w:gridCol w:w="2083"/>
      </w:tblGrid>
      <w:tr>
        <w:trPr>
          <w:cantSplit/>
          <w:tblHeader/>
        </w:trPr>
        <w:tc>
          <w:tcPr>
            <w:tcW w:type="dxa" w:w="1497"/>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اولویت</w:t>
            </w:r>
          </w:p>
        </w:tc>
        <w:tc>
          <w:tcPr>
            <w:tcW w:type="dxa" w:w="28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داده‌ی درخواستی</w:t>
            </w:r>
          </w:p>
        </w:tc>
        <w:tc>
          <w:tcPr>
            <w:tcW w:type="dxa" w:w="2885"/>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کاربرد</w:t>
            </w:r>
          </w:p>
        </w:tc>
        <w:tc>
          <w:tcPr>
            <w:tcW w:type="dxa" w:w="2083"/>
            <w:tcBorders>
              <w:top w:val="single" w:color="BFBFBF" w:sz="4"/>
              <w:left w:val="single" w:color="BFBFBF" w:sz="4"/>
              <w:bottom w:val="single" w:color="BFBFBF" w:sz="4"/>
              <w:right w:val="single" w:color="BFBFBF" w:sz="4"/>
            </w:tcBorders>
            <w:shd w:fill="DCE6F1" w:val="clear"/>
            <w:tcMar>
              <w:top w:type="dxa" w:w="40"/>
              <w:left w:type="dxa" w:w="80"/>
              <w:bottom w:type="dxa" w:w="40"/>
              <w:right w:type="dxa" w:w="80"/>
            </w:tcMar>
          </w:tcPr>
          <w:p>
            <w:pPr>
              <w:bidi/>
              <w:spacing w:after="0"/>
              <w:jc w:val="left"/>
            </w:pPr>
            <w:r>
              <w:rPr>
                <w:rFonts w:ascii="B Nazanin" w:cs="B Nazanin" w:eastAsia="B Nazanin" w:hAnsi="B Nazanin"/>
                <w:b/>
                <w:bCs/>
                <w:color w:val="000000"/>
                <w:sz w:val="22"/>
                <w:szCs w:val="22"/>
                <w:rtl/>
              </w:rPr>
              <w:t xml:space="preserve">فصل‌های اثرپذیر</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جدول نگاشت شناسه‌ی مشتری به جدول مشخصات مشتریان (</w:t>
            </w:r>
            <w:r>
              <w:rPr>
                <w:rFonts w:ascii="Cambria" w:cs="B Nazanin" w:eastAsia="B Nazanin" w:hAnsi="Cambria"/>
                <w:b w:val="false"/>
                <w:bCs w:val="false"/>
                <w:color w:val="000000"/>
                <w:sz w:val="22"/>
                <w:szCs w:val="22"/>
              </w:rPr>
              <w:t xml:space="preserve">Customer_Profile</w:t>
            </w:r>
            <w:r>
              <w:rPr>
                <w:rFonts w:ascii="B Nazanin" w:cs="B Nazanin" w:eastAsia="B Nazanin" w:hAnsi="B Nazanin"/>
                <w:b w:val="false"/>
                <w:bCs w:val="false"/>
                <w:color w:val="000000"/>
                <w:sz w:val="22"/>
                <w:szCs w:val="22"/>
                <w:rtl/>
              </w:rPr>
              <w:t xml:space="preserve">)</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تفکیک حقیقی و حقوقی؛ تحلیل بر اساس سن، جنسیت، شغل و جغرافیا</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 و فاز ۲</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اطلاعات قرارداد برای ۶۳۷,۹۷۵ قرارداد باقی‌مانده (۲۲.۴٪ مانده)</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تحلیل سطح قرارداد برای کل پرتفوی؛ دقت تحلیل ریسک</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 و ۶</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۱</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فهرست قراردادهای اعتبارات اسنادی با مشتری، وثیقه و طبقه‌ی مطالبات</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تطبیق تعریف با آمار رسمی و تحلیل کامل این گروه</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 و ۶</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جدول سود پرداختی سپرده برای تمام حساب‌ها، همراه با شناسه‌ی تراکنش</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هزینه‌ی تأمین مالی به تفکیک گروه مشتری</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 و فاز ۳</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نمونه‌ای از مشتریان غیرفعال و ریزش‌کرده</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برآورد ریزش کل بانک و مدل گرایش مشتری</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 و فاز ۴</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سررسید سپرده‌ها</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ارزیابی تطابق سررسید منابع و مصارف</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۵ و ۶</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صورت سود و زیان رسمی بانک (۱۴۰۰ تا ۱۴۰۴)</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تطبیق درآمد دریافتی با نرخ قراردادی و بازبینی برآورد سودآوری</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۸</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نگاشت رسمی شعبه به شهر و استان و درجه‌ی عملکردی شعب</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تحلیل سطح شعبه در گزارش محرمانه</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۷</w:t>
            </w:r>
          </w:p>
        </w:tc>
      </w:tr>
      <w:tr>
        <w:trPr>
          <w:cantSplit/>
        </w:trPr>
        <w:tc>
          <w:tcPr>
            <w:tcW w:type="dxa" w:w="1497"/>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۳</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سری تسهیلات پرداختی و اقساط ماهانه‌ی کل بانک</w:t>
            </w:r>
          </w:p>
        </w:tc>
        <w:tc>
          <w:tcPr>
            <w:tcW w:type="dxa" w:w="2885"/>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تطبیق جریان‌های تسهیلات با نمونه</w:t>
            </w:r>
          </w:p>
        </w:tc>
        <w:tc>
          <w:tcPr>
            <w:tcW w:type="dxa" w:w="2083"/>
            <w:tcBorders>
              <w:top w:val="single" w:color="BFBFBF" w:sz="4"/>
              <w:left w:val="single" w:color="BFBFBF" w:sz="4"/>
              <w:bottom w:val="single" w:color="BFBFBF" w:sz="4"/>
              <w:right w:val="single" w:color="BFBFBF" w:sz="4"/>
            </w:tcBorders>
            <w:tcMar>
              <w:top w:type="dxa" w:w="40"/>
              <w:left w:type="dxa" w:w="80"/>
              <w:bottom w:type="dxa" w:w="40"/>
              <w:right w:type="dxa" w:w="80"/>
            </w:tcMar>
          </w:tcPr>
          <w:p>
            <w:pPr>
              <w:bidi/>
              <w:spacing w:after="0"/>
              <w:jc w:val="left"/>
            </w:pPr>
            <w:r>
              <w:rPr>
                <w:rFonts w:ascii="B Nazanin" w:cs="B Nazanin" w:eastAsia="B Nazanin" w:hAnsi="B Nazanin"/>
                <w:b w:val="false"/>
                <w:bCs w:val="false"/>
                <w:color w:val="000000"/>
                <w:sz w:val="22"/>
                <w:szCs w:val="22"/>
                <w:rtl/>
              </w:rPr>
              <w:t xml:space="preserve">۲ و ۸</w:t>
            </w:r>
          </w:p>
        </w:tc>
      </w:tr>
    </w:tbl>
    <w:p>
      <w:pPr>
        <w:spacing w:after="200"/>
      </w:pPr>
    </w:p>
    <w:p>
      <w:pPr>
        <w:pBdr>
          <w:bottom w:val="single" w:color="BBBBBB" w:sz="6"/>
        </w:pBdr>
        <w:spacing w:after="100" w:before="100"/>
      </w:pPr>
    </w:p>
    <w:p>
      <w:pPr>
        <w:pStyle w:val="Heading2"/>
        <w:keepNext/>
        <w:bidi/>
        <w:spacing w:after="160" w:before="300"/>
        <w:jc w:val="left"/>
      </w:pPr>
      <w:bookmarkStart w:name="_Toc86" w:id="86"/>
      <w:r>
        <w:rPr>
          <w:rFonts w:ascii="B Titr" w:cs="B Titr" w:eastAsia="B Titr" w:hAnsi="B Titr"/>
          <w:b w:val="false"/>
          <w:bCs w:val="false"/>
          <w:color w:val="000000"/>
          <w:sz w:val="26"/>
          <w:szCs w:val="26"/>
          <w:rtl/>
        </w:rPr>
        <w:t xml:space="preserve">۹.۵ پرسش‌های فنی از بانک</w:t>
      </w:r>
      <w:bookmarkEnd w:id="86"/>
    </w:p>
    <w:p>
      <w:pPr>
        <w:bidi/>
        <w:spacing w:after="160" w:line="312"/>
        <w:jc w:val="left"/>
      </w:pPr>
      <w:r>
        <w:rPr>
          <w:rFonts w:ascii="Cambria" w:cs="B Nazanin" w:eastAsia="B Nazanin" w:hAnsi="Cambria"/>
          <w:color w:val="000000"/>
          <w:sz w:val="22"/>
          <w:szCs w:val="26"/>
          <w:rtl/>
        </w:rPr>
        <w:t xml:space="preserve">موارد زیر پرسش‌هایی درباره‌ی ساختار داده‌اند و پاسخ بانک دقت تفسیر را افزایش می‌دهد. در پایان هر مورد روشن شده است که تحلیل‌های گزارش تا چه اندازه به آن وابسته‌اند.</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b/>
          <w:bCs/>
          <w:color w:val="000000"/>
          <w:sz w:val="22"/>
          <w:szCs w:val="26"/>
          <w:rtl/>
        </w:rPr>
        <w:t xml:space="preserve">تعریف ستون میانگین مانده‌ی سپرده</w:t>
      </w:r>
      <w:r>
        <w:rPr>
          <w:rFonts w:ascii="Cambria" w:cs="B Nazanin" w:eastAsia="B Nazanin" w:hAnsi="Cambria"/>
          <w:color w:val="000000"/>
          <w:sz w:val="22"/>
          <w:szCs w:val="26"/>
          <w:rtl/>
        </w:rPr>
        <w:t xml:space="preserve"> (</w:t>
      </w:r>
      <w:r>
        <w:rPr>
          <w:rFonts w:ascii="Cambria" w:cs="B Nazanin" w:eastAsia="B Nazanin" w:hAnsi="Cambria"/>
          <w:b w:val="false"/>
          <w:bCs w:val="false"/>
          <w:color w:val="000000"/>
          <w:sz w:val="22"/>
          <w:szCs w:val="26"/>
        </w:rPr>
        <w:t xml:space="preserve">avr_total_amount_eq</w:t>
      </w:r>
      <w:r>
        <w:rPr>
          <w:rFonts w:ascii="Cambria" w:cs="B Nazanin" w:eastAsia="B Nazanin" w:hAnsi="Cambria"/>
          <w:color w:val="000000"/>
          <w:sz w:val="22"/>
          <w:szCs w:val="26"/>
          <w:rtl/>
        </w:rPr>
        <w:t xml:space="preserve">): روش محاسبه‌ی دقیق این ستون، به‌ویژه در ماه افتتاح حساب. ارقام فصل ۴ بر این ستون استوارند و هم‌خوانی ماهانه‌ی آن با آمار رسمی (بخش ۲.۴.۴) نشان می‌دهد تعریف آن در طول دوره ثابت بوده است.</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b/>
          <w:bCs/>
          <w:color w:val="000000"/>
          <w:sz w:val="22"/>
          <w:szCs w:val="26"/>
          <w:rtl/>
        </w:rPr>
        <w:t xml:space="preserve">ماهیت مبلغ کارمزد:</w:t>
      </w:r>
      <w:r>
        <w:rPr>
          <w:rFonts w:ascii="Cambria" w:cs="B Nazanin" w:eastAsia="B Nazanin" w:hAnsi="Cambria"/>
          <w:color w:val="000000"/>
          <w:sz w:val="22"/>
          <w:szCs w:val="26"/>
          <w:rtl/>
        </w:rPr>
        <w:t xml:space="preserve"> مبلغ هر کد کارمزد مبلغ همان ماه است یا مقدار تجمعی. از درآمد کارمزد در برآورد حاشیه استفاده نشده است (بخش ۸.۵).</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b/>
          <w:bCs/>
          <w:color w:val="000000"/>
          <w:sz w:val="22"/>
          <w:szCs w:val="26"/>
          <w:rtl/>
        </w:rPr>
        <w:t xml:space="preserve">تفکیک انواع سپرده از ۱۱/۱۴۰۴:</w:t>
      </w:r>
      <w:r>
        <w:rPr>
          <w:rFonts w:ascii="Cambria" w:cs="B Nazanin" w:eastAsia="B Nazanin" w:hAnsi="Cambria"/>
          <w:color w:val="000000"/>
          <w:sz w:val="22"/>
          <w:szCs w:val="26"/>
          <w:rtl/>
        </w:rPr>
        <w:t xml:space="preserve"> در فایل رسمی ماهانه‌ی بانک، از ۱۱/۱۴۰۴ به بعد جمع انواع سپرده با ستون «مانده‌ی منابع ریالی» برابر نیست. در تحلیل ترکیب منابع فقط ماه‌هایی به کار رفته که این تطابق در آن‌ها برقرار است (تا ۱۰/۱۴۰۴).</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b/>
          <w:bCs/>
          <w:color w:val="000000"/>
          <w:sz w:val="22"/>
          <w:szCs w:val="26"/>
          <w:rtl/>
        </w:rPr>
        <w:t xml:space="preserve">شعبه‌ی مستقل مرکزی (کد ۳۱۳):</w:t>
      </w:r>
      <w:r>
        <w:rPr>
          <w:rFonts w:ascii="Cambria" w:cs="B Nazanin" w:eastAsia="B Nazanin" w:hAnsi="Cambria"/>
          <w:color w:val="000000"/>
          <w:sz w:val="22"/>
          <w:szCs w:val="26"/>
          <w:rtl/>
        </w:rPr>
        <w:t xml:space="preserve"> این واحد در ۱۲/۱۴۰۴ حدود ۸.۵ درصد منابع و ۸.۱ درصد تسهیلات بانک را دارد. مانده‌ی تسهیلات منتسب به آن در نمونه ۱۰.۱ هزار میلیارد تومان (حدود ۸۴ درصد رقم رسمی) است؛ برای سپرده‌ی آن، چون سپرده‌ها کلید شعبه ندارند، تفکیک ممکن نیست. تأیید نحوه‌ی ثبت مشتریان این واحد در داده‌ی سپرده درخواست می‌شود.</w:t>
      </w:r>
    </w:p>
    <w:p>
      <w:pPr>
        <w:bidi/>
        <w:spacing w:after="120" w:line="300"/>
        <w:ind w:start="300"/>
        <w:jc w:val="left"/>
      </w:pPr>
      <w:r>
        <w:rPr>
          <w:rFonts w:ascii="Cambria" w:cs="B Nazanin" w:eastAsia="B Nazanin" w:hAnsi="Cambria"/>
          <w:color w:val="000000"/>
          <w:sz w:val="22"/>
          <w:szCs w:val="26"/>
          <w:rtl/>
        </w:rPr>
        <w:t xml:space="preserve">۵. </w:t>
      </w:r>
      <w:r>
        <w:rPr>
          <w:rFonts w:ascii="Cambria" w:cs="B Nazanin" w:eastAsia="B Nazanin" w:hAnsi="Cambria"/>
          <w:b/>
          <w:bCs/>
          <w:color w:val="000000"/>
          <w:sz w:val="22"/>
          <w:szCs w:val="26"/>
          <w:rtl/>
        </w:rPr>
        <w:t xml:space="preserve">تعریف اعتبارات اسنادی:</w:t>
      </w:r>
      <w:r>
        <w:rPr>
          <w:rFonts w:ascii="Cambria" w:cs="B Nazanin" w:eastAsia="B Nazanin" w:hAnsi="Cambria"/>
          <w:color w:val="000000"/>
          <w:sz w:val="22"/>
          <w:szCs w:val="26"/>
          <w:rtl/>
        </w:rPr>
        <w:t xml:space="preserve"> پایگاه‌داده ۲۰,۷۳۳ قرارداد با این بخش اقتصادی ثبت کرده و آمار رسمی ۸۵۳ فقره (۱۲/۱۴۰۴) را نشان می‌دهد. تحلیل فصل ۶ بر تعریف پایگاه‌داده استوار است و تأیید تعریف بانک، تطبیق مستقیم را ممکن می‌کند.</w:t>
      </w:r>
    </w:p>
    <w:p>
      <w:pPr>
        <w:bidi/>
        <w:spacing w:after="120" w:line="300"/>
        <w:ind w:start="300"/>
        <w:jc w:val="left"/>
      </w:pPr>
      <w:r>
        <w:rPr>
          <w:rFonts w:ascii="Cambria" w:cs="B Nazanin" w:eastAsia="B Nazanin" w:hAnsi="Cambria"/>
          <w:color w:val="000000"/>
          <w:sz w:val="22"/>
          <w:szCs w:val="26"/>
          <w:rtl/>
        </w:rPr>
        <w:t xml:space="preserve">۶. </w:t>
      </w:r>
      <w:r>
        <w:rPr>
          <w:rFonts w:ascii="Cambria" w:cs="B Nazanin" w:eastAsia="B Nazanin" w:hAnsi="Cambria"/>
          <w:b/>
          <w:bCs/>
          <w:color w:val="000000"/>
          <w:sz w:val="22"/>
          <w:szCs w:val="26"/>
          <w:rtl/>
        </w:rPr>
        <w:t xml:space="preserve">درآمد سود تسهیلات در حساب‌های بانک:</w:t>
      </w:r>
      <w:r>
        <w:rPr>
          <w:rFonts w:ascii="Cambria" w:cs="B Nazanin" w:eastAsia="B Nazanin" w:hAnsi="Cambria"/>
          <w:color w:val="000000"/>
          <w:sz w:val="22"/>
          <w:szCs w:val="26"/>
          <w:rtl/>
        </w:rPr>
        <w:t xml:space="preserve"> مبلغ سود شناسایی‌شده‌ی سالانه، برای مقایسه با نرخ قراردادی (۱۷.۰۸ درصد) و بازده دریافتی (۸.۸ تا ۱۳.۲ درصد). این مورد با صورت سود و زیان رسمی (جدول ۹-۲) پاسخ داده می‌شود.</w:t>
      </w:r>
    </w:p>
    <w:p>
      <w:pPr>
        <w:bidi/>
        <w:spacing w:after="120" w:line="300"/>
        <w:ind w:start="300"/>
        <w:jc w:val="left"/>
      </w:pPr>
      <w:r>
        <w:rPr>
          <w:rFonts w:ascii="Cambria" w:cs="B Nazanin" w:eastAsia="B Nazanin" w:hAnsi="Cambria"/>
          <w:color w:val="000000"/>
          <w:sz w:val="22"/>
          <w:szCs w:val="26"/>
          <w:rtl/>
        </w:rPr>
        <w:t xml:space="preserve">۷. </w:t>
      </w:r>
      <w:r>
        <w:rPr>
          <w:rFonts w:ascii="Cambria" w:cs="B Nazanin" w:eastAsia="B Nazanin" w:hAnsi="Cambria"/>
          <w:b/>
          <w:bCs/>
          <w:color w:val="000000"/>
          <w:sz w:val="22"/>
          <w:szCs w:val="26"/>
          <w:rtl/>
        </w:rPr>
        <w:t xml:space="preserve">سرشکن‌شدن سود شعب</w:t>
      </w:r>
      <w:r>
        <w:rPr>
          <w:rFonts w:ascii="Cambria" w:cs="B Nazanin" w:eastAsia="B Nazanin" w:hAnsi="Cambria"/>
          <w:color w:val="000000"/>
          <w:sz w:val="22"/>
          <w:szCs w:val="26"/>
          <w:rtl/>
        </w:rPr>
        <w:t xml:space="preserve"> (</w:t>
      </w:r>
      <w:r>
        <w:rPr>
          <w:rFonts w:ascii="Cambria" w:cs="B Nazanin" w:eastAsia="B Nazanin" w:hAnsi="Cambria"/>
          <w:b w:val="false"/>
          <w:bCs w:val="false"/>
          <w:color w:val="000000"/>
          <w:sz w:val="22"/>
          <w:szCs w:val="26"/>
        </w:rPr>
        <w:t xml:space="preserve">Interset_branch_sum</w:t>
      </w:r>
      <w:r>
        <w:rPr>
          <w:rFonts w:ascii="Cambria" w:cs="B Nazanin" w:eastAsia="B Nazanin" w:hAnsi="Cambria"/>
          <w:color w:val="000000"/>
          <w:sz w:val="22"/>
          <w:szCs w:val="26"/>
          <w:rtl/>
        </w:rPr>
        <w:t xml:space="preserve">): روش تخصیص سود پرداختی در جدول مرجع بانک. برآورد هزینه‌ی تأمین مالی (فصل ۸) بر همین جدول مبتنی است و جدول سود پرداختی نمونه در برآورد به کار نرفته است.</w:t>
      </w:r>
    </w:p>
    <w:p>
      <w:pPr>
        <w:bidi/>
        <w:spacing w:after="120" w:line="300"/>
        <w:ind w:start="300"/>
        <w:jc w:val="left"/>
      </w:pPr>
      <w:r>
        <w:rPr>
          <w:rFonts w:ascii="Cambria" w:cs="B Nazanin" w:eastAsia="B Nazanin" w:hAnsi="Cambria"/>
          <w:color w:val="000000"/>
          <w:sz w:val="22"/>
          <w:szCs w:val="26"/>
          <w:rtl/>
        </w:rPr>
        <w:t xml:space="preserve">۸. </w:t>
      </w:r>
      <w:r>
        <w:rPr>
          <w:rFonts w:ascii="Cambria" w:cs="B Nazanin" w:eastAsia="B Nazanin" w:hAnsi="Cambria"/>
          <w:b/>
          <w:bCs/>
          <w:color w:val="000000"/>
          <w:sz w:val="22"/>
          <w:szCs w:val="26"/>
          <w:rtl/>
        </w:rPr>
        <w:t xml:space="preserve">مبنای طبقات مانده‌ی سپرده در فایل توزیع مشتریان:</w:t>
      </w:r>
      <w:r>
        <w:rPr>
          <w:rFonts w:ascii="Cambria" w:cs="B Nazanin" w:eastAsia="B Nazanin" w:hAnsi="Cambria"/>
          <w:color w:val="000000"/>
          <w:sz w:val="22"/>
          <w:szCs w:val="26"/>
          <w:rtl/>
        </w:rPr>
        <w:t xml:space="preserve"> تعریف مانده‌ی مشتری در این فایل، تا مقایسه‌ی تعدادی طبقات بالای مانده‌ی سپرده با نمونه ممکن شود. از این مقایسه در تحلیل‌ها استفاده نشده است؛ مقایسه‌ی طبقات تسهیلات (نمودار ۲-۳) با تعریف هم‌خوان انجام شده است.</w:t>
      </w:r>
    </w:p>
    <w:p>
      <w:pPr>
        <w:bidi/>
        <w:spacing w:after="120" w:line="300"/>
        <w:ind w:start="300"/>
        <w:jc w:val="left"/>
      </w:pPr>
      <w:r>
        <w:rPr>
          <w:rFonts w:ascii="Cambria" w:cs="B Nazanin" w:eastAsia="B Nazanin" w:hAnsi="Cambria"/>
          <w:color w:val="000000"/>
          <w:sz w:val="22"/>
          <w:szCs w:val="26"/>
          <w:rtl/>
        </w:rPr>
        <w:t xml:space="preserve">۹. </w:t>
      </w:r>
      <w:r>
        <w:rPr>
          <w:rFonts w:ascii="Cambria" w:cs="B Nazanin" w:eastAsia="B Nazanin" w:hAnsi="Cambria"/>
          <w:b/>
          <w:bCs/>
          <w:color w:val="000000"/>
          <w:sz w:val="22"/>
          <w:szCs w:val="26"/>
          <w:rtl/>
        </w:rPr>
        <w:t xml:space="preserve">مبلغ‌های </w:t>
      </w:r>
      <w:r>
        <w:rPr>
          <w:rFonts w:ascii="Cambria" w:cs="B Nazanin" w:eastAsia="B Nazanin" w:hAnsi="Cambria"/>
          <w:b/>
          <w:bCs/>
          <w:color w:val="000000"/>
          <w:sz w:val="22"/>
          <w:szCs w:val="26"/>
        </w:rPr>
        <w:t xml:space="preserve">amount_eq</w:t>
      </w:r>
      <w:r>
        <w:rPr>
          <w:rFonts w:ascii="Cambria" w:cs="B Nazanin" w:eastAsia="B Nazanin" w:hAnsi="Cambria"/>
          <w:color w:val="000000"/>
          <w:sz w:val="22"/>
          <w:szCs w:val="26"/>
          <w:rtl/>
        </w:rPr>
        <w:t xml:space="preserve"> در جدول خلاصه‌ی ماهانه‌ی مشتری: مجموع تراکنش‌ها یا خالص مانده. از این ستون در تحلیل‌های اصلی استفاده نشده است.</w:t>
      </w:r>
    </w:p>
    <w:p>
      <w:pPr>
        <w:bidi/>
        <w:spacing w:after="120" w:line="300"/>
        <w:ind w:start="300"/>
        <w:jc w:val="left"/>
      </w:pPr>
      <w:r>
        <w:rPr>
          <w:rFonts w:ascii="Cambria" w:cs="B Nazanin" w:eastAsia="B Nazanin" w:hAnsi="Cambria"/>
          <w:color w:val="000000"/>
          <w:sz w:val="22"/>
          <w:szCs w:val="26"/>
          <w:rtl/>
        </w:rPr>
        <w:t xml:space="preserve">۱۰. </w:t>
      </w:r>
      <w:r>
        <w:rPr>
          <w:rFonts w:ascii="Cambria" w:cs="B Nazanin" w:eastAsia="B Nazanin" w:hAnsi="Cambria"/>
          <w:b/>
          <w:bCs/>
          <w:color w:val="000000"/>
          <w:sz w:val="22"/>
          <w:szCs w:val="26"/>
          <w:rtl/>
        </w:rPr>
        <w:t xml:space="preserve">حساب‌های «نزد سایر بانک‌ها»</w:t>
      </w:r>
      <w:r>
        <w:rPr>
          <w:rFonts w:ascii="Cambria" w:cs="B Nazanin" w:eastAsia="B Nazanin" w:hAnsi="Cambria"/>
          <w:color w:val="000000"/>
          <w:sz w:val="22"/>
          <w:szCs w:val="26"/>
          <w:rtl/>
        </w:rPr>
        <w:t xml:space="preserve"> (۱,۱۰۰ حساب): دارایی بانک‌اند یا بدهی. حجم آن‌ها بر نتایج اثر محسوسی ندارد.</w:t>
      </w:r>
    </w:p>
    <w:p>
      <w:pPr>
        <w:bidi/>
        <w:spacing w:after="120" w:line="300"/>
        <w:ind w:start="300"/>
        <w:jc w:val="left"/>
      </w:pPr>
      <w:r>
        <w:rPr>
          <w:rFonts w:ascii="Cambria" w:cs="B Nazanin" w:eastAsia="B Nazanin" w:hAnsi="Cambria"/>
          <w:color w:val="000000"/>
          <w:sz w:val="22"/>
          <w:szCs w:val="26"/>
          <w:rtl/>
        </w:rPr>
        <w:t xml:space="preserve">۱۱. </w:t>
      </w:r>
      <w:r>
        <w:rPr>
          <w:rFonts w:ascii="Cambria" w:cs="B Nazanin" w:eastAsia="B Nazanin" w:hAnsi="Cambria"/>
          <w:b/>
          <w:bCs/>
          <w:color w:val="000000"/>
          <w:sz w:val="22"/>
          <w:szCs w:val="26"/>
          <w:rtl/>
        </w:rPr>
        <w:t xml:space="preserve">شناسه‌ی داخلی شعب:</w:t>
      </w:r>
      <w:r>
        <w:rPr>
          <w:rFonts w:ascii="Cambria" w:cs="B Nazanin" w:eastAsia="B Nazanin" w:hAnsi="Cambria"/>
          <w:color w:val="000000"/>
          <w:sz w:val="22"/>
          <w:szCs w:val="26"/>
          <w:rtl/>
        </w:rPr>
        <w:t xml:space="preserve"> برای هشت شناسه‌ی داخلی که در جدول فهرست شعب با دو کد شعبه‌ی متفاوت ثبت شده‌اند، شناسه‌ی صحیح هر شعبه اعلام شود. شعب در تحلیل‌ها با کد شناسایی شده‌اند و این مورد بر ارقام اثر ندارد.</w:t>
      </w:r>
    </w:p>
    <w:p>
      <w:pPr>
        <w:bidi/>
        <w:spacing w:after="120" w:line="300"/>
        <w:ind w:start="300"/>
        <w:jc w:val="left"/>
      </w:pPr>
      <w:r>
        <w:rPr>
          <w:rFonts w:ascii="Cambria" w:cs="B Nazanin" w:eastAsia="B Nazanin" w:hAnsi="Cambria"/>
          <w:color w:val="000000"/>
          <w:sz w:val="22"/>
          <w:szCs w:val="26"/>
          <w:rtl/>
        </w:rPr>
        <w:t xml:space="preserve">۱۲. </w:t>
      </w:r>
      <w:r>
        <w:rPr>
          <w:rFonts w:ascii="Cambria" w:cs="B Nazanin" w:eastAsia="B Nazanin" w:hAnsi="Cambria"/>
          <w:b/>
          <w:bCs/>
          <w:color w:val="000000"/>
          <w:sz w:val="22"/>
          <w:szCs w:val="26"/>
          <w:rtl/>
        </w:rPr>
        <w:t xml:space="preserve">جابه‌جایی طبقات مطالبات در دی تا بهمن ۱۴۰۴:</w:t>
      </w:r>
      <w:r>
        <w:rPr>
          <w:rFonts w:ascii="Cambria" w:cs="B Nazanin" w:eastAsia="B Nazanin" w:hAnsi="Cambria"/>
          <w:color w:val="000000"/>
          <w:sz w:val="22"/>
          <w:szCs w:val="26"/>
          <w:rtl/>
        </w:rPr>
        <w:t xml:space="preserve"> در این فاصله بخشی از مانده‌ی مشکوک‌الوصول به طبقه‌ی معوق منتقل شده و مجموع مطالبات غیرجاری ثابت مانده است (بخش ۶.۲.۳). علت این تغییر طبقه‌بندی اعلام شود. تحلیل‌های گزارش بر مجموع مطالبات غیرجاری متکی‌اند و به آن وابسته نیستند.</w:t>
      </w:r>
    </w:p>
    <w:p>
      <w:pPr>
        <w:bidi/>
        <w:spacing w:after="120" w:line="300"/>
        <w:ind w:start="300"/>
        <w:jc w:val="left"/>
      </w:pPr>
      <w:r>
        <w:rPr>
          <w:rFonts w:ascii="Cambria" w:cs="B Nazanin" w:eastAsia="B Nazanin" w:hAnsi="Cambria"/>
          <w:color w:val="000000"/>
          <w:sz w:val="22"/>
          <w:szCs w:val="26"/>
          <w:rtl/>
        </w:rPr>
        <w:t xml:space="preserve">۱۳. </w:t>
      </w:r>
      <w:r>
        <w:rPr>
          <w:rFonts w:ascii="Cambria" w:cs="B Nazanin" w:eastAsia="B Nazanin" w:hAnsi="Cambria"/>
          <w:b/>
          <w:bCs/>
          <w:color w:val="000000"/>
          <w:sz w:val="22"/>
          <w:szCs w:val="26"/>
          <w:rtl/>
        </w:rPr>
        <w:t xml:space="preserve">وضعیت </w:t>
      </w:r>
      <w:r>
        <w:rPr>
          <w:rFonts w:ascii="Cambria" w:cs="B Nazanin" w:eastAsia="B Nazanin" w:hAnsi="Cambria"/>
          <w:b/>
          <w:bCs/>
          <w:color w:val="000000"/>
          <w:sz w:val="22"/>
          <w:szCs w:val="26"/>
        </w:rPr>
        <w:t xml:space="preserve">X</w:t>
      </w:r>
      <w:r>
        <w:rPr>
          <w:rFonts w:ascii="Cambria" w:cs="B Nazanin" w:eastAsia="B Nazanin" w:hAnsi="Cambria"/>
          <w:b/>
          <w:bCs/>
          <w:color w:val="000000"/>
          <w:sz w:val="22"/>
          <w:szCs w:val="26"/>
          <w:rtl/>
        </w:rPr>
        <w:t xml:space="preserve"> در ماتریس انتقال:</w:t>
      </w:r>
      <w:r>
        <w:rPr>
          <w:rFonts w:ascii="Cambria" w:cs="B Nazanin" w:eastAsia="B Nazanin" w:hAnsi="Cambria"/>
          <w:color w:val="000000"/>
          <w:sz w:val="22"/>
          <w:szCs w:val="26"/>
          <w:rtl/>
        </w:rPr>
        <w:t xml:space="preserve"> برای ۷۲۳,۰۲۵ قرارداد با این شناسه، معادل‌بودن آن با قرارداد تسویه‌شده یا فاقد مانده تأیید شود (بخش ۶.۸). این وضعیت از محاسبه‌ی نرخ‌های انتقال کنار گذاشته شده است.</w:t>
      </w:r>
    </w:p>
    <w:p>
      <w:pPr>
        <w:bidi/>
        <w:spacing w:after="120" w:line="300"/>
        <w:ind w:start="300"/>
        <w:jc w:val="left"/>
      </w:pPr>
      <w:r>
        <w:rPr>
          <w:rFonts w:ascii="Cambria" w:cs="B Nazanin" w:eastAsia="B Nazanin" w:hAnsi="Cambria"/>
          <w:color w:val="000000"/>
          <w:sz w:val="22"/>
          <w:szCs w:val="26"/>
          <w:rtl/>
        </w:rPr>
        <w:t xml:space="preserve">۱۴. </w:t>
      </w:r>
      <w:r>
        <w:rPr>
          <w:rFonts w:ascii="Cambria" w:cs="B Nazanin" w:eastAsia="B Nazanin" w:hAnsi="Cambria"/>
          <w:b/>
          <w:bCs/>
          <w:color w:val="000000"/>
          <w:sz w:val="22"/>
          <w:szCs w:val="26"/>
          <w:rtl/>
        </w:rPr>
        <w:t xml:space="preserve">نوع ۸۴۸,۵۵۳ حساب سپرده:</w:t>
      </w:r>
      <w:r>
        <w:rPr>
          <w:rFonts w:ascii="Cambria" w:cs="B Nazanin" w:eastAsia="B Nazanin" w:hAnsi="Cambria"/>
          <w:color w:val="000000"/>
          <w:sz w:val="22"/>
          <w:szCs w:val="26"/>
          <w:rtl/>
        </w:rPr>
        <w:t xml:space="preserve"> نوع این حساب‌ها (۴۰.۳ درصد حساب‌ها و ۱۱.۸ درصد مانده‌ی نمونه) در جدول اطلاعات حساب ثبت نشده است (بخش ۴.۳.۲). ترکیب هزینه‌ای منابع در فصل ۸ بر آمار رسمی مبتنی است و به این مورد وابسته نیست.</w:t>
      </w:r>
    </w:p>
    <w:p>
      <w:pPr>
        <w:bidi/>
        <w:spacing w:after="120" w:line="300"/>
        <w:ind w:start="300"/>
        <w:jc w:val="left"/>
      </w:pPr>
      <w:r>
        <w:rPr>
          <w:rFonts w:ascii="Cambria" w:cs="B Nazanin" w:eastAsia="B Nazanin" w:hAnsi="Cambria"/>
          <w:color w:val="000000"/>
          <w:sz w:val="22"/>
          <w:szCs w:val="26"/>
          <w:rtl/>
        </w:rPr>
        <w:t xml:space="preserve">۱۵. </w:t>
      </w:r>
      <w:r>
        <w:rPr>
          <w:rFonts w:ascii="Cambria" w:cs="B Nazanin" w:eastAsia="B Nazanin" w:hAnsi="Cambria"/>
          <w:b/>
          <w:bCs/>
          <w:color w:val="000000"/>
          <w:sz w:val="22"/>
          <w:szCs w:val="26"/>
          <w:rtl/>
        </w:rPr>
        <w:t xml:space="preserve">علت نبود رکورد قرارداد برای ۶۳۷,۹۷۵ قرارداد:</w:t>
      </w:r>
      <w:r>
        <w:rPr>
          <w:rFonts w:ascii="Cambria" w:cs="B Nazanin" w:eastAsia="B Nazanin" w:hAnsi="Cambria"/>
          <w:color w:val="000000"/>
          <w:sz w:val="22"/>
          <w:szCs w:val="26"/>
          <w:rtl/>
        </w:rPr>
        <w:t xml:space="preserve"> این قراردادها ۲۲.۴ درصد مانده‌ی تسهیلات را دارند و نسبت غیرجاری آن‌ها ۲۱.۰۴ درصد است (بخش ۶.۳). مشخص شود قراردادهای قدیمی یا آرشیوشده از جدول قرارداد خارج شده‌اند یا علت دیگری دارد.</w:t>
      </w:r>
    </w:p>
    <w:p>
      <w:pPr>
        <w:bidi/>
        <w:spacing w:after="120" w:line="300"/>
        <w:ind w:start="300"/>
        <w:jc w:val="left"/>
      </w:pPr>
      <w:r>
        <w:rPr>
          <w:rFonts w:ascii="Cambria" w:cs="B Nazanin" w:eastAsia="B Nazanin" w:hAnsi="Cambria"/>
          <w:color w:val="000000"/>
          <w:sz w:val="22"/>
          <w:szCs w:val="26"/>
          <w:rtl/>
        </w:rPr>
        <w:t xml:space="preserve">۱۶. </w:t>
      </w:r>
      <w:r>
        <w:rPr>
          <w:rFonts w:ascii="Cambria" w:cs="B Nazanin" w:eastAsia="B Nazanin" w:hAnsi="Cambria"/>
          <w:b/>
          <w:bCs/>
          <w:color w:val="000000"/>
          <w:sz w:val="22"/>
          <w:szCs w:val="26"/>
          <w:rtl/>
        </w:rPr>
        <w:t xml:space="preserve">شناسه‌ی گیرنده‌ی اصلی:</w:t>
      </w:r>
      <w:r>
        <w:rPr>
          <w:rFonts w:ascii="Cambria" w:cs="B Nazanin" w:eastAsia="B Nazanin" w:hAnsi="Cambria"/>
          <w:color w:val="000000"/>
          <w:sz w:val="22"/>
          <w:szCs w:val="26"/>
          <w:rtl/>
        </w:rPr>
        <w:t xml:space="preserve"> در ۱۲/۱۴۰۴ حدود ۳۷۳ هزار شناسه‌ی گیرنده‌ی اصلی در جدول قراردادها مانده‌ی مثبت دارند. فهرست گیرندگان تسهیلات (</w:t>
      </w:r>
      <w:r>
        <w:rPr>
          <w:rFonts w:ascii="Cambria" w:cs="B Nazanin" w:eastAsia="B Nazanin" w:hAnsi="Cambria"/>
          <w:b w:val="false"/>
          <w:bCs w:val="false"/>
          <w:color w:val="000000"/>
          <w:sz w:val="22"/>
          <w:szCs w:val="26"/>
        </w:rPr>
        <w:t xml:space="preserve">Loan_Grant_Customer</w:t>
      </w:r>
      <w:r>
        <w:rPr>
          <w:rFonts w:ascii="Cambria" w:cs="B Nazanin" w:eastAsia="B Nazanin" w:hAnsi="Cambria"/>
          <w:color w:val="000000"/>
          <w:sz w:val="22"/>
          <w:szCs w:val="26"/>
          <w:rtl/>
        </w:rPr>
        <w:t xml:space="preserve">) ۲۴۹,۷۰۸ شناسه دارد و فقط ۲۰۹,۴۲۸ نفر از آن ۳۷۳ هزار نفر در آن هستند (۷۰.۸ درصد مانده‌ی قابل‌انتساب). دلیل غیبت بیش از ۱۶۳ هزار دارنده‌ی مانده در فهرست گیرندگان اعلام شود. شمارش مشتریان تسهیلاتی در فصل ۳ بر فهرست گیرندگان و تحلیل تمرکز در فصل‌های ۴ و ۶ بر گیرنده‌ی اصلی هر قرارداد استوار است.</w:t>
      </w:r>
    </w:p>
    <w:p>
      <w:pPr>
        <w:bidi/>
        <w:spacing w:after="120" w:line="300"/>
        <w:ind w:start="300"/>
        <w:jc w:val="left"/>
      </w:pPr>
      <w:r>
        <w:rPr>
          <w:rFonts w:ascii="Cambria" w:cs="B Nazanin" w:eastAsia="B Nazanin" w:hAnsi="Cambria"/>
          <w:color w:val="000000"/>
          <w:sz w:val="22"/>
          <w:szCs w:val="26"/>
          <w:rtl/>
        </w:rPr>
        <w:t xml:space="preserve">۱۷. </w:t>
      </w:r>
      <w:r>
        <w:rPr>
          <w:rFonts w:ascii="Cambria" w:cs="B Nazanin" w:eastAsia="B Nazanin" w:hAnsi="Cambria"/>
          <w:b/>
          <w:bCs/>
          <w:color w:val="000000"/>
          <w:sz w:val="22"/>
          <w:szCs w:val="26"/>
          <w:rtl/>
        </w:rPr>
        <w:t xml:space="preserve">شمار مشتریان طبقه‌ی بیش از ۲۰ میلیارد تومان:</w:t>
      </w:r>
      <w:r>
        <w:rPr>
          <w:rFonts w:ascii="Cambria" w:cs="B Nazanin" w:eastAsia="B Nazanin" w:hAnsi="Cambria"/>
          <w:color w:val="000000"/>
          <w:sz w:val="22"/>
          <w:szCs w:val="26"/>
          <w:rtl/>
        </w:rPr>
        <w:t xml:space="preserve"> در نمونه ۴۰۱ و در فایل توزیع مشتریان ۲۶۲ نفر است؛ تعریف مانده‌ی مشتری و مقطع طبقه‌بندی فایل توزیع اعلام شود (بخش ۲.۴.۲).</w:t>
      </w:r>
    </w:p>
    <w:p>
      <w:pPr>
        <w:bidi/>
        <w:spacing w:after="120" w:line="300"/>
        <w:ind w:start="300"/>
        <w:jc w:val="left"/>
      </w:pPr>
      <w:r>
        <w:rPr>
          <w:rFonts w:ascii="Cambria" w:cs="B Nazanin" w:eastAsia="B Nazanin" w:hAnsi="Cambria"/>
          <w:color w:val="000000"/>
          <w:sz w:val="22"/>
          <w:szCs w:val="26"/>
          <w:rtl/>
        </w:rPr>
        <w:t xml:space="preserve">۱۸. </w:t>
      </w:r>
      <w:r>
        <w:rPr>
          <w:rFonts w:ascii="Cambria" w:cs="B Nazanin" w:eastAsia="B Nazanin" w:hAnsi="Cambria"/>
          <w:b/>
          <w:bCs/>
          <w:color w:val="000000"/>
          <w:sz w:val="22"/>
          <w:szCs w:val="26"/>
          <w:rtl/>
        </w:rPr>
        <w:t xml:space="preserve">آمار رسمی ۱۲/۱۴۰۰ و ۱۱/۱۴۰۱:</w:t>
      </w:r>
      <w:r>
        <w:rPr>
          <w:rFonts w:ascii="Cambria" w:cs="B Nazanin" w:eastAsia="B Nazanin" w:hAnsi="Cambria"/>
          <w:color w:val="000000"/>
          <w:sz w:val="22"/>
          <w:szCs w:val="26"/>
          <w:rtl/>
        </w:rPr>
        <w:t xml:space="preserve"> تفکیک انواع سپرده و مطالبات غیرجاری این دو ماه در فایل رسمی ثبت نشده است؛ تکمیل آن امکان مقایسه‌ی ۶۰ ماهه را فراهم می‌کند (بخش ۲.۳).</w:t>
      </w:r>
    </w:p>
    <w:p>
      <w:pPr>
        <w:pBdr>
          <w:bottom w:val="single" w:color="BBBBBB" w:sz="6"/>
        </w:pBdr>
        <w:spacing w:after="100" w:before="100"/>
      </w:pPr>
    </w:p>
    <w:p>
      <w:pPr>
        <w:pStyle w:val="Heading2"/>
        <w:keepNext/>
        <w:bidi/>
        <w:spacing w:after="160" w:before="300"/>
        <w:jc w:val="left"/>
      </w:pPr>
      <w:bookmarkStart w:name="_Toc87" w:id="87"/>
      <w:r>
        <w:rPr>
          <w:rFonts w:ascii="B Titr" w:cs="B Titr" w:eastAsia="B Titr" w:hAnsi="B Titr"/>
          <w:b w:val="false"/>
          <w:bCs w:val="false"/>
          <w:color w:val="000000"/>
          <w:sz w:val="26"/>
          <w:szCs w:val="26"/>
          <w:rtl/>
        </w:rPr>
        <w:t xml:space="preserve">۹.۶ درخواست از بانک</w:t>
      </w:r>
      <w:bookmarkEnd w:id="87"/>
    </w:p>
    <w:p>
      <w:pPr>
        <w:bidi/>
        <w:spacing w:after="160" w:line="312"/>
        <w:jc w:val="left"/>
      </w:pPr>
      <w:r>
        <w:rPr>
          <w:rFonts w:ascii="Cambria" w:cs="B Nazanin" w:eastAsia="B Nazanin" w:hAnsi="Cambria"/>
          <w:color w:val="000000"/>
          <w:sz w:val="22"/>
          <w:szCs w:val="26"/>
          <w:rtl/>
        </w:rPr>
        <w:t xml:space="preserve">با تحویل این گزارش، از بانک درخواست می‌شود:</w:t>
      </w:r>
    </w:p>
    <w:p>
      <w:pPr>
        <w:bidi/>
        <w:spacing w:after="120" w:line="300"/>
        <w:ind w:start="300"/>
        <w:jc w:val="left"/>
      </w:pPr>
      <w:r>
        <w:rPr>
          <w:rFonts w:ascii="Cambria" w:cs="B Nazanin" w:eastAsia="B Nazanin" w:hAnsi="Cambria"/>
          <w:color w:val="000000"/>
          <w:sz w:val="22"/>
          <w:szCs w:val="26"/>
          <w:rtl/>
        </w:rPr>
        <w:t xml:space="preserve">۱. </w:t>
      </w:r>
      <w:r>
        <w:rPr>
          <w:rFonts w:ascii="Cambria" w:cs="B Nazanin" w:eastAsia="B Nazanin" w:hAnsi="Cambria"/>
          <w:color w:val="000000"/>
          <w:sz w:val="22"/>
          <w:szCs w:val="26"/>
          <w:rtl/>
        </w:rPr>
        <w:t xml:space="preserve">گزارش فاز ۱ را بررسی و تأیید کند، یا نظرات اصلاحی خود را اعلام نماید.</w:t>
      </w:r>
    </w:p>
    <w:p>
      <w:pPr>
        <w:bidi/>
        <w:spacing w:after="120" w:line="300"/>
        <w:ind w:start="300"/>
        <w:jc w:val="left"/>
      </w:pPr>
      <w:r>
        <w:rPr>
          <w:rFonts w:ascii="Cambria" w:cs="B Nazanin" w:eastAsia="B Nazanin" w:hAnsi="Cambria"/>
          <w:color w:val="000000"/>
          <w:sz w:val="22"/>
          <w:szCs w:val="26"/>
          <w:rtl/>
        </w:rPr>
        <w:t xml:space="preserve">۲. </w:t>
      </w:r>
      <w:r>
        <w:rPr>
          <w:rFonts w:ascii="Cambria" w:cs="B Nazanin" w:eastAsia="B Nazanin" w:hAnsi="Cambria"/>
          <w:color w:val="000000"/>
          <w:sz w:val="22"/>
          <w:szCs w:val="26"/>
          <w:rtl/>
        </w:rPr>
        <w:t xml:space="preserve">داده‌های اولویت ۱ و ۲ (جدول ۹-۲) را در اختیار تیم پروژه قرار دهد و برای هماهنگی دریافت داده، نماینده‌ای معرفی کند.</w:t>
      </w:r>
    </w:p>
    <w:p>
      <w:pPr>
        <w:bidi/>
        <w:spacing w:after="120" w:line="300"/>
        <w:ind w:start="300"/>
        <w:jc w:val="left"/>
      </w:pPr>
      <w:r>
        <w:rPr>
          <w:rFonts w:ascii="Cambria" w:cs="B Nazanin" w:eastAsia="B Nazanin" w:hAnsi="Cambria"/>
          <w:color w:val="000000"/>
          <w:sz w:val="22"/>
          <w:szCs w:val="26"/>
          <w:rtl/>
        </w:rPr>
        <w:t xml:space="preserve">۳. </w:t>
      </w:r>
      <w:r>
        <w:rPr>
          <w:rFonts w:ascii="Cambria" w:cs="B Nazanin" w:eastAsia="B Nazanin" w:hAnsi="Cambria"/>
          <w:color w:val="000000"/>
          <w:sz w:val="22"/>
          <w:szCs w:val="26"/>
          <w:rtl/>
        </w:rPr>
        <w:t xml:space="preserve">به پرسش‌های فنی بخش ۹.۵، دست‌کم برای موارد ۱، ۴، ۵، ۱۵ و ۱۶، پاسخ دهد.</w:t>
      </w:r>
    </w:p>
    <w:p>
      <w:pPr>
        <w:bidi/>
        <w:spacing w:after="120" w:line="300"/>
        <w:ind w:start="300"/>
        <w:jc w:val="left"/>
      </w:pPr>
      <w:r>
        <w:rPr>
          <w:rFonts w:ascii="Cambria" w:cs="B Nazanin" w:eastAsia="B Nazanin" w:hAnsi="Cambria"/>
          <w:color w:val="000000"/>
          <w:sz w:val="22"/>
          <w:szCs w:val="26"/>
          <w:rtl/>
        </w:rPr>
        <w:t xml:space="preserve">۴. </w:t>
      </w:r>
      <w:r>
        <w:rPr>
          <w:rFonts w:ascii="Cambria" w:cs="B Nazanin" w:eastAsia="B Nazanin" w:hAnsi="Cambria"/>
          <w:color w:val="000000"/>
          <w:sz w:val="22"/>
          <w:szCs w:val="26"/>
          <w:rtl/>
        </w:rPr>
        <w:t xml:space="preserve">در خصوص قالب گزارش محرمانه‌ی عملکرد شعب (فقط با کد شعبه) و گیرندگان آن اعلام نظر کند.</w:t>
      </w:r>
    </w:p>
    <w:p>
      <w:pPr>
        <w:bidi/>
        <w:spacing w:after="160" w:line="312"/>
        <w:jc w:val="left"/>
      </w:pPr>
      <w:r>
        <w:rPr>
          <w:rFonts w:ascii="Cambria" w:cs="B Nazanin" w:eastAsia="B Nazanin" w:hAnsi="Cambria"/>
          <w:color w:val="000000"/>
          <w:sz w:val="22"/>
          <w:szCs w:val="26"/>
          <w:rtl/>
        </w:rPr>
        <w:t xml:space="preserve">پس از تأیید گزارش و دریافت داده‌های اولویت ۱، فاز ۲ (خوشه‌بندی مشتریان) آغاز می‌شود.</w:t>
      </w:r>
    </w:p>
    <w:p>
      <w:pPr>
        <w:pBdr>
          <w:bottom w:val="single" w:color="BBBBBB" w:sz="6"/>
        </w:pBdr>
        <w:spacing w:after="100" w:before="100"/>
      </w:pP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 Nazanin" w:cs="B Nazanin" w:eastAsia="B Nazanin" w:hAnsi="B Nazani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B Nazanin" w:eastAsia="B Nazanin" w:hAnsi="Cambria"/>
        <w:sz w:val="22"/>
        <w:szCs w:val="26"/>
        <w:rtl/>
      </w:rPr>
    </w:rPrDefault>
    <w:pPrDefault>
      <w:pPr>
        <w:bidi/>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8e6122621ba901d9a759bdacb6e5ff10aca995a8.png"/><Relationship Id="rId9" Type="http://schemas.openxmlformats.org/officeDocument/2006/relationships/image" Target="media/6c0cb5f80ea68c0d4e91dd11b2f6ad679d54ec49.png"/><Relationship Id="rId10" Type="http://schemas.openxmlformats.org/officeDocument/2006/relationships/image" Target="media/77dc7af04d28fed46ea7ded7265ee0f8d1cb503e.png"/><Relationship Id="rId11" Type="http://schemas.openxmlformats.org/officeDocument/2006/relationships/image" Target="media/8c1041479c1c3668936bfe5929e10e9ac330bed8.png"/><Relationship Id="rId12" Type="http://schemas.openxmlformats.org/officeDocument/2006/relationships/image" Target="media/0cb3c5c015da4b1793cc71c9221f748fd58a70e3.png"/><Relationship Id="rId13" Type="http://schemas.openxmlformats.org/officeDocument/2006/relationships/image" Target="media/230a3d2af19f3b8497ecbcf30c7d4be8e57de409.png"/><Relationship Id="rId14" Type="http://schemas.openxmlformats.org/officeDocument/2006/relationships/image" Target="media/c1a984d635d5a53714b5fa9c11a8ddf4b84fe9cf.png"/><Relationship Id="rId15" Type="http://schemas.openxmlformats.org/officeDocument/2006/relationships/image" Target="media/3f77d094ac3abfe7dbdc40291dd6f85955a86007.png"/><Relationship Id="rId16" Type="http://schemas.openxmlformats.org/officeDocument/2006/relationships/image" Target="media/f0c8870c28881e5a08c331f567a3ec9846cb8611.png"/><Relationship Id="rId17" Type="http://schemas.openxmlformats.org/officeDocument/2006/relationships/image" Target="media/55c123817342c557c6e789783f121a25406e79b3.png"/><Relationship Id="rId18" Type="http://schemas.openxmlformats.org/officeDocument/2006/relationships/image" Target="media/5801ee65ea88e681d25b427859315dcb81c245f8.png"/><Relationship Id="rId19" Type="http://schemas.openxmlformats.org/officeDocument/2006/relationships/image" Target="media/904ce1ab5f0a0b005e590e10141bea75a8b5f80d.png"/><Relationship Id="rId20" Type="http://schemas.openxmlformats.org/officeDocument/2006/relationships/image" Target="media/15fa58d5a5db9b9b204598af5a90148fbe5d23c2.png"/><Relationship Id="rId21" Type="http://schemas.openxmlformats.org/officeDocument/2006/relationships/image" Target="media/c74cc800e3c288b444e2e9b021d241efd6bae78d.png"/><Relationship Id="rId22" Type="http://schemas.openxmlformats.org/officeDocument/2006/relationships/image" Target="media/0ff8466e004713bb521f2e1c9f56417815bb81e7.png"/><Relationship Id="rId23" Type="http://schemas.openxmlformats.org/officeDocument/2006/relationships/image" Target="media/8dc8312697d0d99aef11bcb7753d26f70bbdf9ad.png"/><Relationship Id="rId24" Type="http://schemas.openxmlformats.org/officeDocument/2006/relationships/image" Target="media/638292c1653c230f584f140750bca2d6dff4ef1e.png"/><Relationship Id="rId25" Type="http://schemas.openxmlformats.org/officeDocument/2006/relationships/image" Target="media/5eaaa08c7c0f0975639aa66a688c0fea282fd1e6.png"/><Relationship Id="rId26" Type="http://schemas.openxmlformats.org/officeDocument/2006/relationships/image" Target="media/b9c83d9d72adeb7a8e2394ff0168aedb71e5dc8f.png"/><Relationship Id="rId27" Type="http://schemas.openxmlformats.org/officeDocument/2006/relationships/image" Target="media/2d8702fcb7d37420d91830179046becc2739287d.png"/><Relationship Id="rId28" Type="http://schemas.openxmlformats.org/officeDocument/2006/relationships/image" Target="media/5ca0104b67cc1db3a7c2184d6e7ae4de6f9f8d96.png"/><Relationship Id="rId29" Type="http://schemas.openxmlformats.org/officeDocument/2006/relationships/image" Target="media/9cbc96ca8c2295206d216f06ad8c3db5725b9900.png"/><Relationship Id="rId30" Type="http://schemas.openxmlformats.org/officeDocument/2006/relationships/image" Target="media/96f2c6b04ef2040c1fa4775a6c44b22278cd6d8f.png"/><Relationship Id="rId31" Type="http://schemas.openxmlformats.org/officeDocument/2006/relationships/image" Target="media/efd180f71fb708974a64619bb0860c24dc18aac7.png"/><Relationship Id="rId32" Type="http://schemas.openxmlformats.org/officeDocument/2006/relationships/image" Target="media/3edc8ceb3b475134f3bb4434b42e890a786ffb35.png"/><Relationship Id="rId33" Type="http://schemas.openxmlformats.org/officeDocument/2006/relationships/image" Target="media/4094c543753452389e7e6144cd37a3cc809d63c4.png"/><Relationship Id="rId34" Type="http://schemas.openxmlformats.org/officeDocument/2006/relationships/image" Target="media/8a37ba9f659ae1bdc98bc04bbfc5f0be90dd535c.png"/><Relationship Id="rId35" Type="http://schemas.openxmlformats.org/officeDocument/2006/relationships/image" Target="media/90fa3ebd48e0bc293485862ce25c343fd05cd743.png"/><Relationship Id="rId36" Type="http://schemas.openxmlformats.org/officeDocument/2006/relationships/image" Target="media/c07351a23985c7c2b6a602b357bdb9be3cd2ff69.png"/><Relationship Id="rId37" Type="http://schemas.openxmlformats.org/officeDocument/2006/relationships/image" Target="media/c7a714e13478c20aefd1c15c442e36454cbcf299.png"/><Relationship Id="rId38" Type="http://schemas.openxmlformats.org/officeDocument/2006/relationships/image" Target="media/d73af7f1810d9f1d4bb1fb46db13ad2d9684ad32.png"/><Relationship Id="rId39" Type="http://schemas.openxmlformats.org/officeDocument/2006/relationships/image" Target="media/ec8997f40cebb5bcf972888a080e225f8068f75c.png"/><Relationship Id="rId40" Type="http://schemas.openxmlformats.org/officeDocument/2006/relationships/image" Target="media/ab5e4b94b45fa4250eb35b1ace495ab799b8d049.png"/><Relationship Id="rId41" Type="http://schemas.openxmlformats.org/officeDocument/2006/relationships/image" Target="media/b13162c69b0397156e4c3777bfc7bba29454b854.png"/><Relationship Id="rId42" Type="http://schemas.openxmlformats.org/officeDocument/2006/relationships/image" Target="media/70c9b1d891ead5cfde6e4ed8a571539b22dd43f6.png"/><Relationship Id="rId43" Type="http://schemas.openxmlformats.org/officeDocument/2006/relationships/image" Target="media/a58652b4b2d060754241730607599c7719c7e083.png"/><Relationship Id="rId44" Type="http://schemas.openxmlformats.org/officeDocument/2006/relationships/image" Target="media/d8190da86feab5c44e9ee94c3d39aab3d1ee7ecc.png"/><Relationship Id="rId45" Type="http://schemas.openxmlformats.org/officeDocument/2006/relationships/image" Target="media/a84ab6d3b695525b3556b13e819fc6ef65e1a30e.png"/><Relationship Id="rId46" Type="http://schemas.openxmlformats.org/officeDocument/2006/relationships/image" Target="media/05ec3d36d25a712b3bbacc41e24c5a8b16e41ac4.png"/><Relationship Id="rId47" Type="http://schemas.openxmlformats.org/officeDocument/2006/relationships/image" Target="media/330e59a87809a9bc55f643acd7cb774b5b3c263f.png"/><Relationship Id="rId48" Type="http://schemas.openxmlformats.org/officeDocument/2006/relationships/image" Target="media/8f1b1eebc99da8bef1a6b329664bc6e356efbaa5.png"/><Relationship Id="rId49" Type="http://schemas.openxmlformats.org/officeDocument/2006/relationships/image" Target="media/71945311c70075f00d6b561e36bdbd011f0fac9d.png"/><Relationship Id="rId50" Type="http://schemas.openxmlformats.org/officeDocument/2006/relationships/image" Target="media/6dabd29f766201ba8a73c9c005d9f72e0fe4b570.png"/><Relationship Id="rId51" Type="http://schemas.openxmlformats.org/officeDocument/2006/relationships/image" Target="media/a79bd041a19f68a519262970cbecac51bf0237a3.png"/><Relationship Id="rId52" Type="http://schemas.openxmlformats.org/officeDocument/2006/relationships/image" Target="media/c2ef0632f1902fd559e8b9f88ec14a2736acbaa2.png"/><Relationship Id="rId53" Type="http://schemas.openxmlformats.org/officeDocument/2006/relationships/image" Target="media/78b7584a60f0edb63f7ace8196bc2d292f60ffeb.png"/><Relationship Id="rId54" Type="http://schemas.openxmlformats.org/officeDocument/2006/relationships/image" Target="media/e2abdde3a0a73b66256909f0fabbf9fd8678f622.png"/><Relationship Id="rId55" Type="http://schemas.openxmlformats.org/officeDocument/2006/relationships/image" Target="media/c69f7d9e0abeaf2fb1dfb84b4ac619704f5804e1.pn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گزارش نهایی فاز ۱</dc:title>
  <dc:creator>TT Data Analysis</dc:creator>
  <cp:lastModifiedBy>Un-named</cp:lastModifiedBy>
  <cp:revision>1</cp:revision>
  <dcterms:created xsi:type="dcterms:W3CDTF">2026-10-09T13:11:41.242Z</dcterms:created>
  <dcterms:modified xsi:type="dcterms:W3CDTF">2026-10-09T13:11:41.243Z</dcterms:modified>
</cp:coreProperties>
</file>

<file path=docProps/custom.xml><?xml version="1.0" encoding="utf-8"?>
<Properties xmlns="http://schemas.openxmlformats.org/officeDocument/2006/custom-properties" xmlns:vt="http://schemas.openxmlformats.org/officeDocument/2006/docPropsVTypes"/>
</file>