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380" w:type="pct"/>
        <w:tblCellSpacing w:w="15" w:type="dxa"/>
        <w:tblCellMar>
          <w:top w:w="15" w:type="dxa"/>
          <w:left w:w="15" w:type="dxa"/>
          <w:bottom w:w="15" w:type="dxa"/>
          <w:right w:w="15" w:type="dxa"/>
        </w:tblCellMar>
        <w:tblLook w:val="04A0" w:firstRow="1" w:lastRow="0" w:firstColumn="1" w:lastColumn="0" w:noHBand="0" w:noVBand="1"/>
      </w:tblPr>
      <w:tblGrid>
        <w:gridCol w:w="1472"/>
        <w:gridCol w:w="4855"/>
      </w:tblGrid>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Description</w:t>
            </w:r>
          </w:p>
        </w:tc>
        <w:tc>
          <w:tcPr>
            <w:tcW w:w="0" w:type="auto"/>
            <w:vAlign w:val="center"/>
            <w:hideMark/>
          </w:tcPr>
          <w:p w:rsidR="00922589" w:rsidRPr="00922589" w:rsidRDefault="009F1A5B" w:rsidP="009F1A5B">
            <w:pPr>
              <w:rPr>
                <w:rFonts w:ascii="Times New Roman" w:hAnsi="Times New Roman" w:cs="Times New Roman"/>
                <w:sz w:val="24"/>
                <w:szCs w:val="24"/>
              </w:rPr>
            </w:pPr>
            <w:r w:rsidRPr="009F1A5B">
              <w:rPr>
                <w:rFonts w:ascii="Times New Roman" w:hAnsi="Times New Roman" w:cs="Times New Roman"/>
                <w:sz w:val="24"/>
                <w:szCs w:val="24"/>
              </w:rPr>
              <w:t xml:space="preserve">An innovative cloud application provisioning tool that provides advanced mission resource visibility, </w:t>
            </w:r>
            <w:r w:rsidR="006B6C94">
              <w:rPr>
                <w:rFonts w:ascii="Times New Roman" w:hAnsi="Times New Roman" w:cs="Times New Roman"/>
                <w:sz w:val="24"/>
                <w:szCs w:val="24"/>
              </w:rPr>
              <w:t xml:space="preserve">ease of use, </w:t>
            </w:r>
            <w:r w:rsidRPr="009F1A5B">
              <w:rPr>
                <w:rFonts w:ascii="Times New Roman" w:hAnsi="Times New Roman" w:cs="Times New Roman"/>
                <w:sz w:val="24"/>
                <w:szCs w:val="24"/>
              </w:rPr>
              <w:t>and up to 50% cost savings in the AWS C2S environment.</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Submitter Name</w:t>
            </w:r>
          </w:p>
        </w:tc>
        <w:tc>
          <w:tcPr>
            <w:tcW w:w="0" w:type="auto"/>
            <w:vAlign w:val="center"/>
            <w:hideMark/>
          </w:tcPr>
          <w:p w:rsidR="00922589" w:rsidRPr="00922589" w:rsidRDefault="001D0F18"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Oscar Ganteaume</w:t>
            </w:r>
            <w:r w:rsidR="00922589" w:rsidRPr="00922589">
              <w:rPr>
                <w:rFonts w:ascii="Times New Roman" w:eastAsia="Times New Roman" w:hAnsi="Times New Roman" w:cs="Times New Roman"/>
                <w:sz w:val="24"/>
                <w:szCs w:val="24"/>
              </w:rPr>
              <w:t xml:space="preserve"> </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Submitter Company</w:t>
            </w:r>
          </w:p>
        </w:tc>
        <w:tc>
          <w:tcPr>
            <w:tcW w:w="0" w:type="auto"/>
            <w:vAlign w:val="center"/>
            <w:hideMark/>
          </w:tcPr>
          <w:p w:rsidR="00922589" w:rsidRPr="00922589" w:rsidRDefault="001D0F18"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Axios</w:t>
            </w:r>
            <w:r w:rsidR="00922589" w:rsidRPr="00922589">
              <w:rPr>
                <w:rFonts w:ascii="Times New Roman" w:eastAsia="Times New Roman" w:hAnsi="Times New Roman" w:cs="Times New Roman"/>
                <w:sz w:val="24"/>
                <w:szCs w:val="24"/>
              </w:rPr>
              <w:t xml:space="preserve"> </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Focus Item</w:t>
            </w:r>
          </w:p>
        </w:tc>
        <w:tc>
          <w:tcPr>
            <w:tcW w:w="0" w:type="auto"/>
            <w:vAlign w:val="center"/>
            <w:hideMark/>
          </w:tcPr>
          <w:p w:rsidR="00922589" w:rsidRPr="00922589" w:rsidRDefault="00F75B80"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Focus Item</w:t>
            </w:r>
          </w:p>
        </w:tc>
      </w:tr>
    </w:tbl>
    <w:p w:rsidR="005C22E8" w:rsidRDefault="005C22E8"/>
    <w:p w:rsidR="00922589" w:rsidRPr="00922589" w:rsidRDefault="00922589" w:rsidP="00DF1EF3">
      <w:pPr>
        <w:pStyle w:val="Heading1"/>
        <w:numPr>
          <w:ilvl w:val="0"/>
          <w:numId w:val="2"/>
        </w:numPr>
        <w:ind w:hanging="720"/>
      </w:pPr>
      <w:r w:rsidRPr="00922589">
        <w:rPr>
          <w:u w:val="single"/>
        </w:rPr>
        <w:t>N</w:t>
      </w:r>
      <w:r w:rsidRPr="00922589">
        <w:t>eeds</w:t>
      </w:r>
    </w:p>
    <w:p w:rsidR="00FE09A5" w:rsidRPr="006854A0" w:rsidRDefault="00575255" w:rsidP="00FE09A5">
      <w:pPr>
        <w:rPr>
          <w:rFonts w:ascii="Arial" w:hAnsi="Arial" w:cs="Arial"/>
          <w:color w:val="C00000"/>
        </w:rPr>
      </w:pPr>
      <w:r w:rsidRPr="002F2694">
        <w:rPr>
          <w:rFonts w:ascii="Arial" w:hAnsi="Arial" w:cs="Arial"/>
        </w:rPr>
        <w:t xml:space="preserve">C2S developers require a streamlined tool to simplify resource allocation, </w:t>
      </w:r>
      <w:r w:rsidR="00C436FC" w:rsidRPr="002F2694">
        <w:rPr>
          <w:rFonts w:ascii="Arial" w:hAnsi="Arial" w:cs="Arial"/>
        </w:rPr>
        <w:t>management,</w:t>
      </w:r>
      <w:r w:rsidRPr="002F2694">
        <w:rPr>
          <w:rFonts w:ascii="Arial" w:hAnsi="Arial" w:cs="Arial"/>
        </w:rPr>
        <w:t xml:space="preserve"> and monitoring</w:t>
      </w:r>
      <w:r w:rsidR="006854A0" w:rsidRPr="002F2694">
        <w:rPr>
          <w:rFonts w:ascii="Arial" w:hAnsi="Arial" w:cs="Arial"/>
        </w:rPr>
        <w:t xml:space="preserve"> of mission workloads</w:t>
      </w:r>
      <w:r w:rsidRPr="002F2694">
        <w:rPr>
          <w:rFonts w:ascii="Arial" w:hAnsi="Arial" w:cs="Arial"/>
        </w:rPr>
        <w:t xml:space="preserve">.  </w:t>
      </w:r>
      <w:r w:rsidR="00FE09A5" w:rsidRPr="003C023B">
        <w:rPr>
          <w:rFonts w:ascii="Arial" w:hAnsi="Arial" w:cs="Arial"/>
        </w:rPr>
        <w:t xml:space="preserve">Cloud Services Providers deliver powerful </w:t>
      </w:r>
      <w:r w:rsidR="00FE09A5">
        <w:rPr>
          <w:rFonts w:ascii="Arial" w:hAnsi="Arial" w:cs="Arial"/>
        </w:rPr>
        <w:t xml:space="preserve">fee-for-service </w:t>
      </w:r>
      <w:r w:rsidR="00FE09A5" w:rsidRPr="003C023B">
        <w:rPr>
          <w:rFonts w:ascii="Arial" w:hAnsi="Arial" w:cs="Arial"/>
        </w:rPr>
        <w:t>capabilities which enable users to easily access computing resources.   The complexity required to efficiently utilize those resource</w:t>
      </w:r>
      <w:r w:rsidR="00FE09A5">
        <w:rPr>
          <w:rFonts w:ascii="Arial" w:hAnsi="Arial" w:cs="Arial"/>
        </w:rPr>
        <w:t>s</w:t>
      </w:r>
      <w:r w:rsidR="00FE09A5" w:rsidRPr="003C023B">
        <w:rPr>
          <w:rFonts w:ascii="Arial" w:hAnsi="Arial" w:cs="Arial"/>
        </w:rPr>
        <w:t xml:space="preserve"> however</w:t>
      </w:r>
      <w:r w:rsidR="00FE09A5">
        <w:rPr>
          <w:rFonts w:ascii="Arial" w:hAnsi="Arial" w:cs="Arial"/>
        </w:rPr>
        <w:t>,</w:t>
      </w:r>
      <w:r w:rsidR="00FE09A5" w:rsidRPr="003C023B">
        <w:rPr>
          <w:rFonts w:ascii="Arial" w:hAnsi="Arial" w:cs="Arial"/>
        </w:rPr>
        <w:t xml:space="preserve"> can inhibit </w:t>
      </w:r>
      <w:r w:rsidR="00FE09A5">
        <w:rPr>
          <w:rFonts w:ascii="Arial" w:hAnsi="Arial" w:cs="Arial"/>
        </w:rPr>
        <w:t xml:space="preserve">a developer </w:t>
      </w:r>
      <w:r w:rsidR="00FE09A5" w:rsidRPr="003C023B">
        <w:rPr>
          <w:rFonts w:ascii="Arial" w:hAnsi="Arial" w:cs="Arial"/>
        </w:rPr>
        <w:t xml:space="preserve">from </w:t>
      </w:r>
      <w:r w:rsidR="00FE09A5">
        <w:rPr>
          <w:rFonts w:ascii="Arial" w:hAnsi="Arial" w:cs="Arial"/>
        </w:rPr>
        <w:t>implementing their project in a straight forward and cost effective manner.  AWS’ overly complicated auto-scaling feature, for example, typically isn’t used because of the complexity in implementing:</w:t>
      </w:r>
    </w:p>
    <w:p w:rsidR="00FE09A5" w:rsidRPr="003D7815" w:rsidRDefault="00FE09A5" w:rsidP="003D7815">
      <w:pPr>
        <w:pStyle w:val="ListParagraph"/>
        <w:numPr>
          <w:ilvl w:val="0"/>
          <w:numId w:val="1"/>
        </w:numPr>
        <w:rPr>
          <w:rFonts w:ascii="Arial" w:hAnsi="Arial" w:cs="Arial"/>
          <w:sz w:val="22"/>
          <w:szCs w:val="22"/>
        </w:rPr>
      </w:pPr>
      <w:r w:rsidRPr="003D7815">
        <w:rPr>
          <w:rFonts w:ascii="Arial" w:hAnsi="Arial" w:cs="Arial"/>
          <w:sz w:val="22"/>
          <w:szCs w:val="22"/>
        </w:rPr>
        <w:t>Custom Threshold Metrics</w:t>
      </w:r>
      <w:r w:rsidR="003D7815" w:rsidRPr="003D7815">
        <w:rPr>
          <w:rFonts w:ascii="Arial" w:hAnsi="Arial" w:cs="Arial"/>
          <w:sz w:val="22"/>
          <w:szCs w:val="22"/>
        </w:rPr>
        <w:tab/>
        <w:t xml:space="preserve">-  </w:t>
      </w:r>
      <w:r w:rsidRPr="003D7815">
        <w:rPr>
          <w:rFonts w:ascii="Arial" w:hAnsi="Arial" w:cs="Arial"/>
          <w:sz w:val="22"/>
          <w:szCs w:val="22"/>
        </w:rPr>
        <w:t>Service Request Roles</w:t>
      </w:r>
    </w:p>
    <w:p w:rsidR="00FE09A5" w:rsidRPr="003D7815" w:rsidRDefault="00FE09A5" w:rsidP="003D7815">
      <w:pPr>
        <w:pStyle w:val="ListParagraph"/>
        <w:numPr>
          <w:ilvl w:val="0"/>
          <w:numId w:val="1"/>
        </w:numPr>
        <w:rPr>
          <w:rFonts w:ascii="Arial" w:hAnsi="Arial" w:cs="Arial"/>
          <w:sz w:val="22"/>
          <w:szCs w:val="22"/>
        </w:rPr>
      </w:pPr>
      <w:r w:rsidRPr="003D7815">
        <w:rPr>
          <w:rFonts w:ascii="Arial" w:hAnsi="Arial" w:cs="Arial"/>
          <w:sz w:val="22"/>
          <w:szCs w:val="22"/>
        </w:rPr>
        <w:t>Launch Configurations</w:t>
      </w:r>
      <w:r w:rsidR="003D7815" w:rsidRPr="003D7815">
        <w:rPr>
          <w:rFonts w:ascii="Arial" w:hAnsi="Arial" w:cs="Arial"/>
          <w:sz w:val="22"/>
          <w:szCs w:val="22"/>
        </w:rPr>
        <w:tab/>
      </w:r>
      <w:r w:rsidR="003D7815" w:rsidRPr="003D7815">
        <w:rPr>
          <w:rFonts w:ascii="Arial" w:hAnsi="Arial" w:cs="Arial"/>
          <w:sz w:val="22"/>
          <w:szCs w:val="22"/>
        </w:rPr>
        <w:tab/>
        <w:t xml:space="preserve">-  </w:t>
      </w:r>
      <w:r w:rsidRPr="003D7815">
        <w:rPr>
          <w:rFonts w:ascii="Arial" w:hAnsi="Arial" w:cs="Arial"/>
          <w:sz w:val="22"/>
          <w:szCs w:val="22"/>
        </w:rPr>
        <w:t>Auto Scaling Groups</w:t>
      </w:r>
    </w:p>
    <w:p w:rsidR="00FE09A5" w:rsidRPr="003D7815" w:rsidRDefault="00FE09A5" w:rsidP="003D7815">
      <w:pPr>
        <w:pStyle w:val="ListParagraph"/>
        <w:numPr>
          <w:ilvl w:val="0"/>
          <w:numId w:val="1"/>
        </w:numPr>
        <w:rPr>
          <w:rFonts w:ascii="Arial" w:hAnsi="Arial" w:cs="Arial"/>
          <w:sz w:val="22"/>
          <w:szCs w:val="22"/>
        </w:rPr>
      </w:pPr>
      <w:r w:rsidRPr="003D7815">
        <w:rPr>
          <w:rFonts w:ascii="Arial" w:hAnsi="Arial" w:cs="Arial"/>
          <w:sz w:val="22"/>
          <w:szCs w:val="22"/>
        </w:rPr>
        <w:t>Alarm Creation</w:t>
      </w:r>
      <w:r w:rsidR="003D7815" w:rsidRPr="003D7815">
        <w:rPr>
          <w:rFonts w:ascii="Arial" w:hAnsi="Arial" w:cs="Arial"/>
          <w:sz w:val="22"/>
          <w:szCs w:val="22"/>
        </w:rPr>
        <w:tab/>
      </w:r>
      <w:r w:rsidR="003D7815" w:rsidRPr="003D7815">
        <w:rPr>
          <w:rFonts w:ascii="Arial" w:hAnsi="Arial" w:cs="Arial"/>
          <w:sz w:val="22"/>
          <w:szCs w:val="22"/>
        </w:rPr>
        <w:tab/>
      </w:r>
      <w:r w:rsidR="003D7815" w:rsidRPr="003D7815">
        <w:rPr>
          <w:rFonts w:ascii="Arial" w:hAnsi="Arial" w:cs="Arial"/>
          <w:sz w:val="22"/>
          <w:szCs w:val="22"/>
        </w:rPr>
        <w:tab/>
        <w:t xml:space="preserve">-  </w:t>
      </w:r>
      <w:r w:rsidRPr="003D7815">
        <w:rPr>
          <w:rFonts w:ascii="Arial" w:hAnsi="Arial" w:cs="Arial"/>
          <w:sz w:val="22"/>
          <w:szCs w:val="22"/>
        </w:rPr>
        <w:t>Policy Creation</w:t>
      </w:r>
    </w:p>
    <w:p w:rsidR="00FE09A5" w:rsidRPr="00FE09A5" w:rsidRDefault="00FE09A5" w:rsidP="00FE09A5">
      <w:pPr>
        <w:pStyle w:val="ListParagraph"/>
        <w:ind w:left="1080"/>
        <w:rPr>
          <w:rFonts w:ascii="Arial" w:hAnsi="Arial" w:cs="Arial"/>
        </w:rPr>
      </w:pPr>
    </w:p>
    <w:p w:rsidR="00956821" w:rsidRDefault="00FE09A5" w:rsidP="00FE09A5">
      <w:pPr>
        <w:rPr>
          <w:rFonts w:ascii="Arial" w:hAnsi="Arial" w:cs="Arial"/>
        </w:rPr>
      </w:pPr>
      <w:r>
        <w:rPr>
          <w:rFonts w:ascii="Arial" w:hAnsi="Arial" w:cs="Arial"/>
        </w:rPr>
        <w:t>More commonly, a developer will statically over provision resourc</w:t>
      </w:r>
      <w:r w:rsidR="00956821">
        <w:rPr>
          <w:rFonts w:ascii="Arial" w:hAnsi="Arial" w:cs="Arial"/>
        </w:rPr>
        <w:t xml:space="preserve">es to guarantee functionality.  </w:t>
      </w:r>
    </w:p>
    <w:p w:rsidR="00FE09A5" w:rsidRPr="00C60899" w:rsidRDefault="00FE09A5" w:rsidP="00FE09A5">
      <w:pPr>
        <w:rPr>
          <w:rFonts w:ascii="Arial" w:hAnsi="Arial" w:cs="Arial"/>
        </w:rPr>
      </w:pPr>
      <w:r>
        <w:rPr>
          <w:rFonts w:ascii="Arial" w:hAnsi="Arial" w:cs="Arial"/>
        </w:rPr>
        <w:t>Zephyrus</w:t>
      </w:r>
      <w:r w:rsidRPr="003C023B">
        <w:rPr>
          <w:rFonts w:ascii="Arial" w:hAnsi="Arial" w:cs="Arial"/>
        </w:rPr>
        <w:t xml:space="preserve">’ primarily design </w:t>
      </w:r>
      <w:r>
        <w:rPr>
          <w:rFonts w:ascii="Arial" w:hAnsi="Arial" w:cs="Arial"/>
        </w:rPr>
        <w:t>goal is to abstract and simplify</w:t>
      </w:r>
      <w:r w:rsidRPr="003C023B">
        <w:rPr>
          <w:rFonts w:ascii="Arial" w:hAnsi="Arial" w:cs="Arial"/>
        </w:rPr>
        <w:t xml:space="preserve"> </w:t>
      </w:r>
      <w:r>
        <w:rPr>
          <w:rFonts w:ascii="Arial" w:hAnsi="Arial" w:cs="Arial"/>
        </w:rPr>
        <w:t xml:space="preserve">dynamic resource allocation and load balancing by </w:t>
      </w:r>
      <w:r w:rsidRPr="003C023B">
        <w:rPr>
          <w:rFonts w:ascii="Arial" w:hAnsi="Arial" w:cs="Arial"/>
        </w:rPr>
        <w:t>h</w:t>
      </w:r>
      <w:r>
        <w:rPr>
          <w:rFonts w:ascii="Arial" w:hAnsi="Arial" w:cs="Arial"/>
        </w:rPr>
        <w:t>iding AWS’</w:t>
      </w:r>
      <w:r w:rsidRPr="003C023B">
        <w:rPr>
          <w:rFonts w:ascii="Arial" w:hAnsi="Arial" w:cs="Arial"/>
        </w:rPr>
        <w:t xml:space="preserve"> inherent complexity</w:t>
      </w:r>
      <w:r>
        <w:rPr>
          <w:rFonts w:ascii="Arial" w:hAnsi="Arial" w:cs="Arial"/>
        </w:rPr>
        <w:t>.  The added benefit of elegantly applying dynamic resource control, results in significant</w:t>
      </w:r>
      <w:r w:rsidR="00BB345E">
        <w:rPr>
          <w:rFonts w:ascii="Arial" w:hAnsi="Arial" w:cs="Arial"/>
        </w:rPr>
        <w:t xml:space="preserve"> (up to 50%)</w:t>
      </w:r>
      <w:r>
        <w:rPr>
          <w:rFonts w:ascii="Arial" w:hAnsi="Arial" w:cs="Arial"/>
        </w:rPr>
        <w:t xml:space="preserve"> AWS cost reductions.</w:t>
      </w:r>
    </w:p>
    <w:p w:rsidR="00922589" w:rsidRDefault="00922589" w:rsidP="00DF1EF3">
      <w:pPr>
        <w:pStyle w:val="Heading1"/>
        <w:numPr>
          <w:ilvl w:val="0"/>
          <w:numId w:val="2"/>
        </w:numPr>
        <w:ind w:hanging="720"/>
      </w:pPr>
      <w:r>
        <w:rPr>
          <w:color w:val="003366"/>
          <w:u w:val="single"/>
        </w:rPr>
        <w:t>A</w:t>
      </w:r>
      <w:r>
        <w:t>pproach</w:t>
      </w:r>
    </w:p>
    <w:p w:rsidR="00C47C88" w:rsidRPr="00956821" w:rsidRDefault="00C47C88" w:rsidP="00C47C88">
      <w:pPr>
        <w:rPr>
          <w:rFonts w:ascii="Arial" w:hAnsi="Arial" w:cs="Arial"/>
        </w:rPr>
      </w:pPr>
      <w:r>
        <w:rPr>
          <w:rFonts w:ascii="Arial" w:hAnsi="Arial" w:cs="Arial"/>
        </w:rPr>
        <w:t xml:space="preserve">Zephyrus was developed under internal IRAD to explore cloud agnostic resource allocation, workload load balancing, and cost containment in anticipation of the governments cloud processing initiatives.  </w:t>
      </w:r>
      <w:r w:rsidRPr="004F6F8F">
        <w:rPr>
          <w:rFonts w:ascii="Arial" w:hAnsi="Arial" w:cs="Arial"/>
        </w:rPr>
        <w:t>In add</w:t>
      </w:r>
      <w:r>
        <w:rPr>
          <w:rFonts w:ascii="Arial" w:hAnsi="Arial" w:cs="Arial"/>
        </w:rPr>
        <w:t>ition to greatly simplifying C2S</w:t>
      </w:r>
      <w:r w:rsidRPr="004F6F8F">
        <w:rPr>
          <w:rFonts w:ascii="Arial" w:hAnsi="Arial" w:cs="Arial"/>
        </w:rPr>
        <w:t xml:space="preserve"> resource provisioning</w:t>
      </w:r>
      <w:r>
        <w:rPr>
          <w:rFonts w:ascii="Arial" w:hAnsi="Arial" w:cs="Arial"/>
        </w:rPr>
        <w:t>,</w:t>
      </w:r>
      <w:r w:rsidRPr="004F6F8F">
        <w:rPr>
          <w:rFonts w:ascii="Arial" w:hAnsi="Arial" w:cs="Arial"/>
        </w:rPr>
        <w:t xml:space="preserve"> saving valuable labor hours, Axios also successfully implemented dynamic load balancing to efficiently distribute mission processing loads.  Our </w:t>
      </w:r>
      <w:r>
        <w:rPr>
          <w:rFonts w:ascii="Arial" w:hAnsi="Arial" w:cs="Arial"/>
        </w:rPr>
        <w:t>Zephyrus</w:t>
      </w:r>
      <w:r w:rsidRPr="004F6F8F">
        <w:rPr>
          <w:rFonts w:ascii="Arial" w:hAnsi="Arial" w:cs="Arial"/>
        </w:rPr>
        <w:t xml:space="preserve"> fin</w:t>
      </w:r>
      <w:r>
        <w:rPr>
          <w:rFonts w:ascii="Arial" w:hAnsi="Arial" w:cs="Arial"/>
        </w:rPr>
        <w:t>ancial results also show up to 5</w:t>
      </w:r>
      <w:r w:rsidRPr="004F6F8F">
        <w:rPr>
          <w:rFonts w:ascii="Arial" w:hAnsi="Arial" w:cs="Arial"/>
        </w:rPr>
        <w:t xml:space="preserve">0% cost savings in the C2S environment over a stock C2S environment.  </w:t>
      </w:r>
    </w:p>
    <w:p w:rsidR="000529D8" w:rsidRPr="003C023B" w:rsidRDefault="000529D8" w:rsidP="000529D8">
      <w:pPr>
        <w:rPr>
          <w:rFonts w:ascii="Arial" w:hAnsi="Arial" w:cs="Arial"/>
        </w:rPr>
      </w:pPr>
      <w:r>
        <w:rPr>
          <w:rFonts w:ascii="Arial" w:hAnsi="Arial" w:cs="Arial"/>
        </w:rPr>
        <w:t>Taking into account the current shortcomings of the AWS services, Zephyrus</w:t>
      </w:r>
      <w:r w:rsidRPr="003C023B">
        <w:rPr>
          <w:rFonts w:ascii="Arial" w:hAnsi="Arial" w:cs="Arial"/>
        </w:rPr>
        <w:t xml:space="preserve">’ primarily design goal is to facilitate </w:t>
      </w:r>
      <w:r>
        <w:rPr>
          <w:rFonts w:ascii="Arial" w:hAnsi="Arial" w:cs="Arial"/>
        </w:rPr>
        <w:t xml:space="preserve">dynamic resource allocation while </w:t>
      </w:r>
      <w:r w:rsidRPr="003C023B">
        <w:rPr>
          <w:rFonts w:ascii="Arial" w:hAnsi="Arial" w:cs="Arial"/>
        </w:rPr>
        <w:t>hiding its inherent complexity</w:t>
      </w:r>
      <w:r>
        <w:rPr>
          <w:rFonts w:ascii="Arial" w:hAnsi="Arial" w:cs="Arial"/>
        </w:rPr>
        <w:t>, dynamically “right-sizing” workloads &amp; providing visibility in a c</w:t>
      </w:r>
      <w:r w:rsidRPr="0052318D">
        <w:rPr>
          <w:rFonts w:ascii="Arial" w:hAnsi="Arial" w:cs="Arial"/>
        </w:rPr>
        <w:t>loud agnostic environment</w:t>
      </w:r>
      <w:r>
        <w:rPr>
          <w:rFonts w:ascii="Arial" w:hAnsi="Arial" w:cs="Arial"/>
        </w:rPr>
        <w:t xml:space="preserve">.  </w:t>
      </w:r>
    </w:p>
    <w:p w:rsidR="00A70E92" w:rsidRPr="0090497A" w:rsidRDefault="00922589" w:rsidP="001F261C">
      <w:pPr>
        <w:pStyle w:val="Heading1"/>
        <w:numPr>
          <w:ilvl w:val="0"/>
          <w:numId w:val="2"/>
        </w:numPr>
        <w:ind w:hanging="720"/>
      </w:pPr>
      <w:r>
        <w:rPr>
          <w:color w:val="003366"/>
          <w:u w:val="single"/>
        </w:rPr>
        <w:lastRenderedPageBreak/>
        <w:t>B</w:t>
      </w:r>
      <w:r>
        <w:t>enefits</w:t>
      </w:r>
    </w:p>
    <w:p w:rsidR="001F261C" w:rsidRDefault="0098136D" w:rsidP="001F261C">
      <w:pPr>
        <w:pStyle w:val="AOEGBodyText"/>
        <w:rPr>
          <w:rFonts w:ascii="Arial" w:eastAsiaTheme="minorHAnsi" w:hAnsi="Arial"/>
          <w:color w:val="auto"/>
          <w:sz w:val="22"/>
          <w:szCs w:val="22"/>
          <w:lang w:eastAsia="en-US" w:bidi="ar-SA"/>
        </w:rPr>
      </w:pPr>
      <w:r w:rsidRPr="00BB345E">
        <w:rPr>
          <w:rFonts w:ascii="Arial" w:hAnsi="Arial"/>
          <w:sz w:val="22"/>
          <w:szCs w:val="22"/>
        </w:rPr>
        <w:t>Zephyrus</w:t>
      </w:r>
      <w:bookmarkStart w:id="0" w:name="_GoBack"/>
      <w:bookmarkEnd w:id="0"/>
      <w:r w:rsidR="001F261C" w:rsidRPr="00BB345E">
        <w:rPr>
          <w:rFonts w:ascii="Arial" w:eastAsiaTheme="minorHAnsi" w:hAnsi="Arial"/>
          <w:color w:val="auto"/>
          <w:sz w:val="22"/>
          <w:szCs w:val="22"/>
          <w:lang w:eastAsia="en-US" w:bidi="ar-SA"/>
        </w:rPr>
        <w:t xml:space="preserve">'s primarily goal is to facilitate the use of cloud services by hiding its inherent complexity.  After an initial configuration in which a Virtual Machine (VM) image is defined and adapted for a specific cloud service provider, users will be able to create, modify, remove, and launch tasks without having to know how they are executed in the cloud.  To accomplish this goal, </w:t>
      </w:r>
      <w:r w:rsidRPr="00BB345E">
        <w:rPr>
          <w:rFonts w:ascii="Arial" w:hAnsi="Arial"/>
          <w:sz w:val="22"/>
          <w:szCs w:val="22"/>
        </w:rPr>
        <w:t>Zephyrus</w:t>
      </w:r>
      <w:r w:rsidR="001F261C" w:rsidRPr="00BB345E">
        <w:rPr>
          <w:rFonts w:ascii="Arial" w:eastAsiaTheme="minorHAnsi" w:hAnsi="Arial"/>
          <w:color w:val="auto"/>
          <w:sz w:val="22"/>
          <w:szCs w:val="22"/>
          <w:lang w:eastAsia="en-US" w:bidi="ar-SA"/>
        </w:rPr>
        <w:t xml:space="preserve"> provides a web application with configuration, tasking, and visualization pages.  Each page is designed to minimize cloud services knowledge requirements.  The configuration page allows administrators to configure the system’s cluster behavior.  Users can monitor the system’s health information through the visualization page.</w:t>
      </w:r>
    </w:p>
    <w:p w:rsidR="0090497A" w:rsidRPr="002F2694" w:rsidRDefault="0090497A" w:rsidP="0090497A">
      <w:pPr>
        <w:rPr>
          <w:rFonts w:ascii="Arial" w:hAnsi="Arial" w:cs="Arial"/>
        </w:rPr>
      </w:pPr>
      <w:r w:rsidRPr="002F2694">
        <w:rPr>
          <w:rFonts w:ascii="Arial" w:hAnsi="Arial" w:cs="Arial"/>
        </w:rPr>
        <w:t>Benefits:</w:t>
      </w:r>
    </w:p>
    <w:p w:rsidR="0090497A" w:rsidRPr="002F2694" w:rsidRDefault="0090497A" w:rsidP="0090497A">
      <w:pPr>
        <w:pStyle w:val="ListParagraph"/>
        <w:numPr>
          <w:ilvl w:val="0"/>
          <w:numId w:val="1"/>
        </w:numPr>
        <w:rPr>
          <w:rFonts w:ascii="Arial" w:hAnsi="Arial" w:cs="Arial"/>
          <w:sz w:val="22"/>
          <w:szCs w:val="22"/>
        </w:rPr>
      </w:pPr>
      <w:r w:rsidRPr="002F2694">
        <w:rPr>
          <w:rFonts w:ascii="Arial" w:hAnsi="Arial" w:cs="Arial"/>
          <w:sz w:val="22"/>
          <w:szCs w:val="22"/>
        </w:rPr>
        <w:t xml:space="preserve">Cloud Agnostic </w:t>
      </w:r>
      <w:r w:rsidR="006716A9" w:rsidRPr="002F2694">
        <w:rPr>
          <w:rFonts w:ascii="Arial" w:hAnsi="Arial" w:cs="Arial"/>
          <w:sz w:val="22"/>
          <w:szCs w:val="22"/>
        </w:rPr>
        <w:t>Resource</w:t>
      </w:r>
      <w:r w:rsidR="002100C6" w:rsidRPr="002F2694">
        <w:rPr>
          <w:rFonts w:ascii="Arial" w:hAnsi="Arial" w:cs="Arial"/>
          <w:sz w:val="22"/>
          <w:szCs w:val="22"/>
        </w:rPr>
        <w:t xml:space="preserve"> Allocation tool</w:t>
      </w:r>
      <w:r w:rsidR="00777FFD" w:rsidRPr="002F2694">
        <w:rPr>
          <w:rFonts w:ascii="Arial" w:hAnsi="Arial" w:cs="Arial"/>
          <w:sz w:val="22"/>
          <w:szCs w:val="22"/>
        </w:rPr>
        <w:t xml:space="preserve"> (supporting AWS, Azure, Google, etc.)</w:t>
      </w:r>
    </w:p>
    <w:p w:rsidR="0090497A" w:rsidRPr="002F2694" w:rsidRDefault="0090497A" w:rsidP="0090497A">
      <w:pPr>
        <w:pStyle w:val="ListParagraph"/>
        <w:numPr>
          <w:ilvl w:val="0"/>
          <w:numId w:val="1"/>
        </w:numPr>
        <w:rPr>
          <w:rFonts w:ascii="Arial" w:hAnsi="Arial" w:cs="Arial"/>
          <w:sz w:val="22"/>
          <w:szCs w:val="22"/>
        </w:rPr>
      </w:pPr>
      <w:r w:rsidRPr="002F2694">
        <w:rPr>
          <w:rFonts w:ascii="Arial" w:hAnsi="Arial" w:cs="Arial"/>
          <w:sz w:val="22"/>
          <w:szCs w:val="22"/>
        </w:rPr>
        <w:t xml:space="preserve">Load </w:t>
      </w:r>
      <w:r w:rsidR="002100C6" w:rsidRPr="002F2694">
        <w:rPr>
          <w:rFonts w:ascii="Arial" w:hAnsi="Arial" w:cs="Arial"/>
          <w:sz w:val="22"/>
          <w:szCs w:val="22"/>
        </w:rPr>
        <w:t>Balancing</w:t>
      </w:r>
      <w:r w:rsidRPr="002F2694">
        <w:rPr>
          <w:rFonts w:ascii="Arial" w:hAnsi="Arial" w:cs="Arial"/>
          <w:sz w:val="22"/>
          <w:szCs w:val="22"/>
        </w:rPr>
        <w:t xml:space="preserve"> between VMs</w:t>
      </w:r>
    </w:p>
    <w:p w:rsidR="0090497A" w:rsidRPr="002F2694" w:rsidRDefault="0090497A" w:rsidP="001F261C">
      <w:pPr>
        <w:pStyle w:val="ListParagraph"/>
        <w:numPr>
          <w:ilvl w:val="0"/>
          <w:numId w:val="1"/>
        </w:numPr>
        <w:rPr>
          <w:rFonts w:ascii="Arial" w:hAnsi="Arial" w:cs="Arial"/>
          <w:sz w:val="22"/>
          <w:szCs w:val="22"/>
        </w:rPr>
      </w:pPr>
      <w:r w:rsidRPr="002F2694">
        <w:rPr>
          <w:rFonts w:ascii="Arial" w:hAnsi="Arial" w:cs="Arial"/>
          <w:sz w:val="22"/>
          <w:szCs w:val="22"/>
        </w:rPr>
        <w:t xml:space="preserve">Dynamic Allocation of </w:t>
      </w:r>
      <w:r w:rsidR="002100C6" w:rsidRPr="002F2694">
        <w:rPr>
          <w:rFonts w:ascii="Arial" w:hAnsi="Arial" w:cs="Arial"/>
          <w:sz w:val="22"/>
          <w:szCs w:val="22"/>
        </w:rPr>
        <w:t>Resources</w:t>
      </w:r>
    </w:p>
    <w:p w:rsidR="0090497A" w:rsidRPr="002F2694" w:rsidRDefault="00777FFD" w:rsidP="001F261C">
      <w:pPr>
        <w:pStyle w:val="ListParagraph"/>
        <w:numPr>
          <w:ilvl w:val="0"/>
          <w:numId w:val="1"/>
        </w:numPr>
        <w:rPr>
          <w:rFonts w:ascii="Arial" w:hAnsi="Arial" w:cs="Arial"/>
          <w:sz w:val="22"/>
          <w:szCs w:val="22"/>
        </w:rPr>
      </w:pPr>
      <w:r w:rsidRPr="002F2694">
        <w:rPr>
          <w:rFonts w:ascii="Arial" w:hAnsi="Arial" w:cs="Arial"/>
          <w:sz w:val="22"/>
          <w:szCs w:val="22"/>
        </w:rPr>
        <w:t>Tremendous cost savings</w:t>
      </w:r>
    </w:p>
    <w:p w:rsidR="00777FFD" w:rsidRPr="002F2694" w:rsidRDefault="00777FFD" w:rsidP="001F261C">
      <w:pPr>
        <w:pStyle w:val="ListParagraph"/>
        <w:numPr>
          <w:ilvl w:val="0"/>
          <w:numId w:val="1"/>
        </w:numPr>
        <w:rPr>
          <w:rFonts w:ascii="Arial" w:hAnsi="Arial" w:cs="Arial"/>
          <w:sz w:val="22"/>
          <w:szCs w:val="22"/>
        </w:rPr>
      </w:pPr>
      <w:r w:rsidRPr="002F2694">
        <w:rPr>
          <w:rFonts w:ascii="Arial" w:hAnsi="Arial" w:cs="Arial"/>
          <w:sz w:val="22"/>
          <w:szCs w:val="22"/>
        </w:rPr>
        <w:t>Process Visibility</w:t>
      </w:r>
    </w:p>
    <w:p w:rsidR="00777FFD" w:rsidRPr="002F2694" w:rsidRDefault="006716A9" w:rsidP="001F261C">
      <w:pPr>
        <w:pStyle w:val="ListParagraph"/>
        <w:numPr>
          <w:ilvl w:val="0"/>
          <w:numId w:val="1"/>
        </w:numPr>
        <w:rPr>
          <w:rFonts w:ascii="Arial" w:hAnsi="Arial" w:cs="Arial"/>
          <w:sz w:val="22"/>
          <w:szCs w:val="22"/>
        </w:rPr>
      </w:pPr>
      <w:r w:rsidRPr="002F2694">
        <w:rPr>
          <w:rFonts w:ascii="Arial" w:hAnsi="Arial" w:cs="Arial"/>
          <w:sz w:val="22"/>
          <w:szCs w:val="22"/>
        </w:rPr>
        <w:t>Ease of u</w:t>
      </w:r>
      <w:r w:rsidR="002100C6" w:rsidRPr="002F2694">
        <w:rPr>
          <w:rFonts w:ascii="Arial" w:hAnsi="Arial" w:cs="Arial"/>
          <w:sz w:val="22"/>
          <w:szCs w:val="22"/>
        </w:rPr>
        <w:t>se</w:t>
      </w:r>
      <w:r w:rsidRPr="002F2694">
        <w:rPr>
          <w:rFonts w:ascii="Arial" w:hAnsi="Arial" w:cs="Arial"/>
          <w:sz w:val="22"/>
          <w:szCs w:val="22"/>
        </w:rPr>
        <w:t xml:space="preserve"> compared to AWS</w:t>
      </w:r>
    </w:p>
    <w:p w:rsidR="006716A9" w:rsidRPr="00575255" w:rsidRDefault="006716A9" w:rsidP="006854A0">
      <w:pPr>
        <w:pStyle w:val="ListParagraph"/>
        <w:ind w:left="1080"/>
        <w:rPr>
          <w:rFonts w:ascii="Arial" w:hAnsi="Arial" w:cs="Arial"/>
          <w:color w:val="C00000"/>
        </w:rPr>
      </w:pPr>
    </w:p>
    <w:p w:rsidR="00EE508D" w:rsidRPr="00BB345E" w:rsidRDefault="00EE508D" w:rsidP="00EE508D">
      <w:pPr>
        <w:rPr>
          <w:rFonts w:ascii="Arial" w:hAnsi="Arial" w:cs="Arial"/>
        </w:rPr>
      </w:pPr>
      <w:r w:rsidRPr="00BB345E">
        <w:rPr>
          <w:rFonts w:ascii="Arial" w:hAnsi="Arial" w:cs="Arial"/>
        </w:rPr>
        <w:t xml:space="preserve">With support from our GED Seven Hills program, Axios tested the Zephyrus concept on a multi-user mission application and compared operational costs.  We ran two different scenarios and show the cost comparison in the table below.  The first scenario provides resources for up to 60 simultaneous users assuming a typical mission usage scenario, and consumption of On-Demand Instances.  The second scenario assumes there is some a priori knowledge of the production environment, which would allow the user to purchase Reserved Instances at a reduced cost in comparison to On-Demand Instances.  In both cases we can see a cost saving of almost 50% when the Zephyrus framework manages the cloud resources.  </w:t>
      </w:r>
    </w:p>
    <w:p w:rsidR="00EE508D" w:rsidRDefault="00EE508D" w:rsidP="00EE508D">
      <w:pPr>
        <w:pStyle w:val="BodyText"/>
      </w:pPr>
    </w:p>
    <w:tbl>
      <w:tblPr>
        <w:tblStyle w:val="LightShading-Accent1"/>
        <w:tblW w:w="8460" w:type="dxa"/>
        <w:jc w:val="center"/>
        <w:tblLayout w:type="fixed"/>
        <w:tblLook w:val="04A0" w:firstRow="1" w:lastRow="0" w:firstColumn="1" w:lastColumn="0" w:noHBand="0" w:noVBand="1"/>
      </w:tblPr>
      <w:tblGrid>
        <w:gridCol w:w="1692"/>
        <w:gridCol w:w="1692"/>
        <w:gridCol w:w="1692"/>
        <w:gridCol w:w="1692"/>
        <w:gridCol w:w="1692"/>
      </w:tblGrid>
      <w:tr w:rsidR="00EE508D" w:rsidRPr="00A42174" w:rsidTr="00A46A23">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Service</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AWS</w:t>
            </w:r>
          </w:p>
        </w:tc>
        <w:tc>
          <w:tcPr>
            <w:tcW w:w="1692" w:type="dxa"/>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Zephyrus/AWS</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AWS</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Zephyrus/AWS</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1692" w:type="dxa"/>
            <w:tcBorders>
              <w:top w:val="single" w:sz="8" w:space="0" w:color="4F81BD" w:themeColor="accent1"/>
              <w:bottom w:val="single" w:sz="4" w:space="0" w:color="auto"/>
            </w:tcBorders>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Scenario</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users (On-Demand Instances)</w:t>
            </w:r>
          </w:p>
        </w:tc>
        <w:tc>
          <w:tcPr>
            <w:tcW w:w="1692" w:type="dxa"/>
            <w:tcBorders>
              <w:top w:val="single" w:sz="8" w:space="0" w:color="4F81BD" w:themeColor="accent1"/>
              <w:bottom w:val="single" w:sz="4" w:space="0" w:color="auto"/>
            </w:tcBorders>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 (On-Demand Instances)</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 xml:space="preserve">Up to 60 users (Reserved Instances) </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users (Reserved Instances)</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tcBorders>
              <w:top w:val="single" w:sz="4" w:space="0" w:color="auto"/>
            </w:tcBorders>
            <w:noWrap/>
            <w:hideMark/>
          </w:tcPr>
          <w:p w:rsidR="00EE508D" w:rsidRPr="00A42174" w:rsidRDefault="00EE508D" w:rsidP="00A46A23">
            <w:pPr>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ECS</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$9,876.84</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$3,567.25</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$6,449.74</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$3,035.56</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EBS</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Pr>
          <w:p w:rsidR="00EE508D" w:rsidRPr="00810FA7" w:rsidRDefault="00EE508D" w:rsidP="00A46A23">
            <w:pPr>
              <w:jc w:val="center"/>
              <w:cnfStyle w:val="000000000000" w:firstRow="0" w:lastRow="0" w:firstColumn="0" w:lastColumn="0" w:oddVBand="0" w:evenVBand="0" w:oddHBand="0" w:evenHBand="0" w:firstRowFirstColumn="0" w:firstRowLastColumn="0" w:lastRowFirstColumn="0" w:lastRowLastColumn="0"/>
            </w:pP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$515.29</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$403.37</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RDS</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$556.32</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$365.38</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Other costs</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tcPr>
          <w:p w:rsidR="00EE508D" w:rsidRPr="00810FA7" w:rsidRDefault="00EE508D" w:rsidP="00A46A23">
            <w:pPr>
              <w:jc w:val="center"/>
              <w:cnfStyle w:val="000000000000" w:firstRow="0" w:lastRow="0" w:firstColumn="0" w:lastColumn="0" w:oddVBand="0" w:evenVBand="0" w:oddHBand="0" w:evenHBand="0" w:firstRowFirstColumn="0" w:firstRowLastColumn="0" w:lastRowFirstColumn="0" w:lastRowLastColumn="0"/>
            </w:pPr>
            <w:r w:rsidRPr="00810FA7">
              <w:t>$0.00</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Monthly Total</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$9,876.84</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$4,123.57</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$6,965.03</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$3,804.31</w:t>
            </w:r>
          </w:p>
        </w:tc>
      </w:tr>
    </w:tbl>
    <w:p w:rsidR="00EE508D" w:rsidRDefault="00EE508D" w:rsidP="00EE508D">
      <w:pPr>
        <w:pStyle w:val="BodyText"/>
        <w:jc w:val="center"/>
        <w:rPr>
          <w:sz w:val="20"/>
          <w:szCs w:val="20"/>
        </w:rPr>
      </w:pPr>
    </w:p>
    <w:p w:rsidR="002F2694" w:rsidRDefault="002F2694" w:rsidP="00EE508D">
      <w:pPr>
        <w:pStyle w:val="BodyText"/>
        <w:jc w:val="center"/>
        <w:rPr>
          <w:sz w:val="20"/>
          <w:szCs w:val="20"/>
        </w:rPr>
      </w:pPr>
    </w:p>
    <w:p w:rsidR="00922589" w:rsidRDefault="00922589" w:rsidP="00DF1EF3">
      <w:pPr>
        <w:pStyle w:val="Heading1"/>
        <w:numPr>
          <w:ilvl w:val="0"/>
          <w:numId w:val="2"/>
        </w:numPr>
        <w:ind w:hanging="720"/>
      </w:pPr>
      <w:r>
        <w:rPr>
          <w:u w:val="single"/>
        </w:rPr>
        <w:t>C</w:t>
      </w:r>
      <w:r>
        <w:t>ompetition</w:t>
      </w:r>
    </w:p>
    <w:p w:rsidR="002100C6" w:rsidRPr="002F2694" w:rsidRDefault="002100C6" w:rsidP="00922589">
      <w:pPr>
        <w:pStyle w:val="NormalWeb"/>
      </w:pPr>
      <w:r w:rsidRPr="002F2694">
        <w:rPr>
          <w:rStyle w:val="text-placeholder"/>
        </w:rPr>
        <w:lastRenderedPageBreak/>
        <w:t>The</w:t>
      </w:r>
      <w:r w:rsidR="005825C9" w:rsidRPr="002F2694">
        <w:rPr>
          <w:rStyle w:val="text-placeholder"/>
        </w:rPr>
        <w:t xml:space="preserve">re is no direct competition to the </w:t>
      </w:r>
      <w:r w:rsidRPr="002F2694">
        <w:rPr>
          <w:rStyle w:val="text-placeholder"/>
        </w:rPr>
        <w:t xml:space="preserve">Zephyrus </w:t>
      </w:r>
      <w:r w:rsidR="005825C9" w:rsidRPr="002F2694">
        <w:rPr>
          <w:rStyle w:val="text-placeholder"/>
        </w:rPr>
        <w:t>resource allocation and monitoring tool as a cloud agnostic</w:t>
      </w:r>
      <w:r w:rsidRPr="002F2694">
        <w:rPr>
          <w:rStyle w:val="text-placeholder"/>
        </w:rPr>
        <w:t xml:space="preserve"> resource management </w:t>
      </w:r>
      <w:r w:rsidR="005825C9" w:rsidRPr="002F2694">
        <w:rPr>
          <w:rStyle w:val="text-placeholder"/>
        </w:rPr>
        <w:t xml:space="preserve">and monitoring </w:t>
      </w:r>
      <w:r w:rsidRPr="002F2694">
        <w:rPr>
          <w:rStyle w:val="text-placeholder"/>
        </w:rPr>
        <w:t>tool.</w:t>
      </w:r>
      <w:r w:rsidR="005825C9" w:rsidRPr="002F2694">
        <w:rPr>
          <w:rStyle w:val="text-placeholder"/>
        </w:rPr>
        <w:t xml:space="preserve">  The AWS C2S environment offers some primitive tools to create custom metrics and add alarms &amp; policies to govern processes, but AWS does not</w:t>
      </w:r>
      <w:r w:rsidR="00575255" w:rsidRPr="002F2694">
        <w:rPr>
          <w:rStyle w:val="text-placeholder"/>
        </w:rPr>
        <w:t xml:space="preserve"> deliver a comprehensive and easy to use solution for dynamically managing workloads in the C2S environment.</w:t>
      </w:r>
    </w:p>
    <w:p w:rsidR="00AD5BBE" w:rsidRDefault="00AD5BBE" w:rsidP="00AD5BBE"/>
    <w:p w:rsidR="00061ADC" w:rsidRDefault="00061ADC" w:rsidP="00AD5BBE"/>
    <w:p w:rsidR="00061ADC" w:rsidRPr="00AD5BBE" w:rsidRDefault="00061ADC" w:rsidP="00AD5BBE"/>
    <w:p w:rsidR="00A13D61" w:rsidRDefault="00A13D61" w:rsidP="00AD5BBE"/>
    <w:p w:rsidR="00A02534" w:rsidRDefault="00A02534"/>
    <w:p w:rsidR="00A02534" w:rsidRDefault="00A02534"/>
    <w:sectPr w:rsidR="00A0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D444F"/>
    <w:multiLevelType w:val="hybridMultilevel"/>
    <w:tmpl w:val="D4F0A676"/>
    <w:lvl w:ilvl="0" w:tplc="807A48B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97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D62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89"/>
    <w:rsid w:val="000529D8"/>
    <w:rsid w:val="00061ADC"/>
    <w:rsid w:val="00064B78"/>
    <w:rsid w:val="000C0A8A"/>
    <w:rsid w:val="00104AF7"/>
    <w:rsid w:val="00163225"/>
    <w:rsid w:val="001A3F5A"/>
    <w:rsid w:val="001D0F18"/>
    <w:rsid w:val="001F261C"/>
    <w:rsid w:val="002100C6"/>
    <w:rsid w:val="0027775E"/>
    <w:rsid w:val="002B121C"/>
    <w:rsid w:val="002F2694"/>
    <w:rsid w:val="002F4FDB"/>
    <w:rsid w:val="003110D5"/>
    <w:rsid w:val="00373A05"/>
    <w:rsid w:val="003C28EC"/>
    <w:rsid w:val="003D7815"/>
    <w:rsid w:val="004C6E86"/>
    <w:rsid w:val="00575255"/>
    <w:rsid w:val="005825C9"/>
    <w:rsid w:val="005C22E8"/>
    <w:rsid w:val="006019F9"/>
    <w:rsid w:val="00635483"/>
    <w:rsid w:val="006716A9"/>
    <w:rsid w:val="006854A0"/>
    <w:rsid w:val="006B6C94"/>
    <w:rsid w:val="007572B3"/>
    <w:rsid w:val="00777FFD"/>
    <w:rsid w:val="0090497A"/>
    <w:rsid w:val="00922589"/>
    <w:rsid w:val="00956821"/>
    <w:rsid w:val="0098136D"/>
    <w:rsid w:val="009F1A5B"/>
    <w:rsid w:val="00A02534"/>
    <w:rsid w:val="00A13D61"/>
    <w:rsid w:val="00A70E92"/>
    <w:rsid w:val="00AB7EF1"/>
    <w:rsid w:val="00AD5BBE"/>
    <w:rsid w:val="00BB345E"/>
    <w:rsid w:val="00BD2D13"/>
    <w:rsid w:val="00C436FC"/>
    <w:rsid w:val="00C47C88"/>
    <w:rsid w:val="00D00CFB"/>
    <w:rsid w:val="00DF1EF3"/>
    <w:rsid w:val="00E20EB9"/>
    <w:rsid w:val="00EA7AF5"/>
    <w:rsid w:val="00EE508D"/>
    <w:rsid w:val="00F157F0"/>
    <w:rsid w:val="00F35C01"/>
    <w:rsid w:val="00F75B80"/>
    <w:rsid w:val="00F80F10"/>
    <w:rsid w:val="00FA230E"/>
    <w:rsid w:val="00F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626CB-F9E8-4033-A59B-730BF414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1E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placeholder">
    <w:name w:val="text-placeholder"/>
    <w:basedOn w:val="DefaultParagraphFont"/>
    <w:rsid w:val="00922589"/>
  </w:style>
  <w:style w:type="character" w:customStyle="1" w:styleId="Heading1Char">
    <w:name w:val="Heading 1 Char"/>
    <w:basedOn w:val="DefaultParagraphFont"/>
    <w:link w:val="Heading1"/>
    <w:uiPriority w:val="9"/>
    <w:rsid w:val="009225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25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FE09A5"/>
    <w:pPr>
      <w:spacing w:after="0" w:line="240" w:lineRule="auto"/>
      <w:ind w:left="720"/>
      <w:contextualSpacing/>
    </w:pPr>
    <w:rPr>
      <w:rFonts w:ascii="Times New Roman" w:eastAsia="MS Mincho" w:hAnsi="Times New Roman" w:cs="Times New Roman"/>
      <w:sz w:val="24"/>
      <w:szCs w:val="24"/>
      <w:lang w:eastAsia="ja-JP"/>
    </w:rPr>
  </w:style>
  <w:style w:type="paragraph" w:styleId="BodyText">
    <w:name w:val="Body Text"/>
    <w:basedOn w:val="Normal"/>
    <w:link w:val="BodyTextChar"/>
    <w:uiPriority w:val="99"/>
    <w:unhideWhenUsed/>
    <w:rsid w:val="00EE508D"/>
    <w:pPr>
      <w:spacing w:after="120" w:line="240" w:lineRule="auto"/>
    </w:pPr>
    <w:rPr>
      <w:rFonts w:ascii="Times New Roman" w:eastAsia="Calibri" w:hAnsi="Times New Roman" w:cs="Times New Roman"/>
      <w:sz w:val="24"/>
    </w:rPr>
  </w:style>
  <w:style w:type="character" w:customStyle="1" w:styleId="BodyTextChar">
    <w:name w:val="Body Text Char"/>
    <w:basedOn w:val="DefaultParagraphFont"/>
    <w:link w:val="BodyText"/>
    <w:uiPriority w:val="99"/>
    <w:rsid w:val="00EE508D"/>
    <w:rPr>
      <w:rFonts w:ascii="Times New Roman" w:eastAsia="Calibri" w:hAnsi="Times New Roman" w:cs="Times New Roman"/>
      <w:sz w:val="24"/>
    </w:rPr>
  </w:style>
  <w:style w:type="table" w:styleId="LightShading-Accent1">
    <w:name w:val="Light Shading Accent 1"/>
    <w:basedOn w:val="TableNormal"/>
    <w:uiPriority w:val="60"/>
    <w:rsid w:val="00EE508D"/>
    <w:pPr>
      <w:spacing w:after="0" w:line="240" w:lineRule="auto"/>
    </w:pPr>
    <w:rPr>
      <w:rFonts w:ascii="Times New Roman" w:eastAsia="MS Mincho"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0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FB"/>
    <w:rPr>
      <w:rFonts w:ascii="Tahoma" w:hAnsi="Tahoma" w:cs="Tahoma"/>
      <w:sz w:val="16"/>
      <w:szCs w:val="16"/>
    </w:rPr>
  </w:style>
  <w:style w:type="paragraph" w:customStyle="1" w:styleId="AOEGBodyText">
    <w:name w:val="A OEG Body Text"/>
    <w:basedOn w:val="BodyText"/>
    <w:link w:val="AOEGBodyTextChar"/>
    <w:autoRedefine/>
    <w:qFormat/>
    <w:rsid w:val="001F261C"/>
    <w:pPr>
      <w:spacing w:after="140" w:line="288" w:lineRule="auto"/>
    </w:pPr>
    <w:rPr>
      <w:rFonts w:eastAsia="Arial" w:cs="Arial"/>
      <w:color w:val="000000"/>
      <w:szCs w:val="24"/>
      <w:lang w:eastAsia="zh-CN" w:bidi="hi-IN"/>
    </w:rPr>
  </w:style>
  <w:style w:type="character" w:customStyle="1" w:styleId="AOEGBodyTextChar">
    <w:name w:val="A OEG Body Text Char"/>
    <w:basedOn w:val="BodyTextChar"/>
    <w:link w:val="AOEGBodyText"/>
    <w:rsid w:val="001F261C"/>
    <w:rPr>
      <w:rFonts w:ascii="Times New Roman" w:eastAsia="Arial" w:hAnsi="Times New Roman" w:cs="Arial"/>
      <w:color w:val="000000"/>
      <w:sz w:val="24"/>
      <w:szCs w:val="24"/>
      <w:lang w:eastAsia="zh-CN" w:bidi="hi-IN"/>
    </w:rPr>
  </w:style>
  <w:style w:type="character" w:customStyle="1" w:styleId="Heading2Char">
    <w:name w:val="Heading 2 Char"/>
    <w:basedOn w:val="DefaultParagraphFont"/>
    <w:link w:val="Heading2"/>
    <w:uiPriority w:val="9"/>
    <w:rsid w:val="00DF1EF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1419">
      <w:bodyDiv w:val="1"/>
      <w:marLeft w:val="0"/>
      <w:marRight w:val="0"/>
      <w:marTop w:val="0"/>
      <w:marBottom w:val="0"/>
      <w:divBdr>
        <w:top w:val="none" w:sz="0" w:space="0" w:color="auto"/>
        <w:left w:val="none" w:sz="0" w:space="0" w:color="auto"/>
        <w:bottom w:val="none" w:sz="0" w:space="0" w:color="auto"/>
        <w:right w:val="none" w:sz="0" w:space="0" w:color="auto"/>
      </w:divBdr>
      <w:divsChild>
        <w:div w:id="928387838">
          <w:marLeft w:val="0"/>
          <w:marRight w:val="0"/>
          <w:marTop w:val="0"/>
          <w:marBottom w:val="0"/>
          <w:divBdr>
            <w:top w:val="none" w:sz="0" w:space="0" w:color="auto"/>
            <w:left w:val="none" w:sz="0" w:space="0" w:color="auto"/>
            <w:bottom w:val="none" w:sz="0" w:space="0" w:color="auto"/>
            <w:right w:val="none" w:sz="0" w:space="0" w:color="auto"/>
          </w:divBdr>
          <w:divsChild>
            <w:div w:id="1620843386">
              <w:marLeft w:val="0"/>
              <w:marRight w:val="0"/>
              <w:marTop w:val="0"/>
              <w:marBottom w:val="0"/>
              <w:divBdr>
                <w:top w:val="none" w:sz="0" w:space="0" w:color="auto"/>
                <w:left w:val="none" w:sz="0" w:space="0" w:color="auto"/>
                <w:bottom w:val="none" w:sz="0" w:space="0" w:color="auto"/>
                <w:right w:val="none" w:sz="0" w:space="0" w:color="auto"/>
              </w:divBdr>
              <w:divsChild>
                <w:div w:id="1941600000">
                  <w:marLeft w:val="0"/>
                  <w:marRight w:val="0"/>
                  <w:marTop w:val="0"/>
                  <w:marBottom w:val="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3316">
      <w:bodyDiv w:val="1"/>
      <w:marLeft w:val="0"/>
      <w:marRight w:val="0"/>
      <w:marTop w:val="0"/>
      <w:marBottom w:val="0"/>
      <w:divBdr>
        <w:top w:val="none" w:sz="0" w:space="0" w:color="auto"/>
        <w:left w:val="none" w:sz="0" w:space="0" w:color="auto"/>
        <w:bottom w:val="none" w:sz="0" w:space="0" w:color="auto"/>
        <w:right w:val="none" w:sz="0" w:space="0" w:color="auto"/>
      </w:divBdr>
      <w:divsChild>
        <w:div w:id="1592926779">
          <w:marLeft w:val="0"/>
          <w:marRight w:val="0"/>
          <w:marTop w:val="0"/>
          <w:marBottom w:val="0"/>
          <w:divBdr>
            <w:top w:val="none" w:sz="0" w:space="0" w:color="auto"/>
            <w:left w:val="none" w:sz="0" w:space="0" w:color="auto"/>
            <w:bottom w:val="none" w:sz="0" w:space="0" w:color="auto"/>
            <w:right w:val="none" w:sz="0" w:space="0" w:color="auto"/>
          </w:divBdr>
          <w:divsChild>
            <w:div w:id="575748983">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465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5495">
      <w:bodyDiv w:val="1"/>
      <w:marLeft w:val="0"/>
      <w:marRight w:val="0"/>
      <w:marTop w:val="0"/>
      <w:marBottom w:val="0"/>
      <w:divBdr>
        <w:top w:val="none" w:sz="0" w:space="0" w:color="auto"/>
        <w:left w:val="none" w:sz="0" w:space="0" w:color="auto"/>
        <w:bottom w:val="none" w:sz="0" w:space="0" w:color="auto"/>
        <w:right w:val="none" w:sz="0" w:space="0" w:color="auto"/>
      </w:divBdr>
      <w:divsChild>
        <w:div w:id="387919060">
          <w:marLeft w:val="0"/>
          <w:marRight w:val="0"/>
          <w:marTop w:val="0"/>
          <w:marBottom w:val="0"/>
          <w:divBdr>
            <w:top w:val="none" w:sz="0" w:space="0" w:color="auto"/>
            <w:left w:val="none" w:sz="0" w:space="0" w:color="auto"/>
            <w:bottom w:val="none" w:sz="0" w:space="0" w:color="auto"/>
            <w:right w:val="none" w:sz="0" w:space="0" w:color="auto"/>
          </w:divBdr>
          <w:divsChild>
            <w:div w:id="1585339833">
              <w:marLeft w:val="0"/>
              <w:marRight w:val="0"/>
              <w:marTop w:val="0"/>
              <w:marBottom w:val="0"/>
              <w:divBdr>
                <w:top w:val="none" w:sz="0" w:space="0" w:color="auto"/>
                <w:left w:val="none" w:sz="0" w:space="0" w:color="auto"/>
                <w:bottom w:val="none" w:sz="0" w:space="0" w:color="auto"/>
                <w:right w:val="none" w:sz="0" w:space="0" w:color="auto"/>
              </w:divBdr>
              <w:divsChild>
                <w:div w:id="1966613646">
                  <w:marLeft w:val="0"/>
                  <w:marRight w:val="0"/>
                  <w:marTop w:val="0"/>
                  <w:marBottom w:val="0"/>
                  <w:divBdr>
                    <w:top w:val="none" w:sz="0" w:space="0" w:color="auto"/>
                    <w:left w:val="none" w:sz="0" w:space="0" w:color="auto"/>
                    <w:bottom w:val="none" w:sz="0" w:space="0" w:color="auto"/>
                    <w:right w:val="none" w:sz="0" w:space="0" w:color="auto"/>
                  </w:divBdr>
                  <w:divsChild>
                    <w:div w:id="19640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7254">
      <w:bodyDiv w:val="1"/>
      <w:marLeft w:val="0"/>
      <w:marRight w:val="0"/>
      <w:marTop w:val="0"/>
      <w:marBottom w:val="0"/>
      <w:divBdr>
        <w:top w:val="none" w:sz="0" w:space="0" w:color="auto"/>
        <w:left w:val="none" w:sz="0" w:space="0" w:color="auto"/>
        <w:bottom w:val="none" w:sz="0" w:space="0" w:color="auto"/>
        <w:right w:val="none" w:sz="0" w:space="0" w:color="auto"/>
      </w:divBdr>
      <w:divsChild>
        <w:div w:id="1869558373">
          <w:marLeft w:val="0"/>
          <w:marRight w:val="0"/>
          <w:marTop w:val="0"/>
          <w:marBottom w:val="0"/>
          <w:divBdr>
            <w:top w:val="none" w:sz="0" w:space="0" w:color="auto"/>
            <w:left w:val="none" w:sz="0" w:space="0" w:color="auto"/>
            <w:bottom w:val="none" w:sz="0" w:space="0" w:color="auto"/>
            <w:right w:val="none" w:sz="0" w:space="0" w:color="auto"/>
          </w:divBdr>
          <w:divsChild>
            <w:div w:id="321856824">
              <w:marLeft w:val="0"/>
              <w:marRight w:val="0"/>
              <w:marTop w:val="0"/>
              <w:marBottom w:val="0"/>
              <w:divBdr>
                <w:top w:val="none" w:sz="0" w:space="0" w:color="auto"/>
                <w:left w:val="none" w:sz="0" w:space="0" w:color="auto"/>
                <w:bottom w:val="none" w:sz="0" w:space="0" w:color="auto"/>
                <w:right w:val="none" w:sz="0" w:space="0" w:color="auto"/>
              </w:divBdr>
              <w:divsChild>
                <w:div w:id="623771972">
                  <w:marLeft w:val="0"/>
                  <w:marRight w:val="0"/>
                  <w:marTop w:val="0"/>
                  <w:marBottom w:val="0"/>
                  <w:divBdr>
                    <w:top w:val="none" w:sz="0" w:space="0" w:color="auto"/>
                    <w:left w:val="none" w:sz="0" w:space="0" w:color="auto"/>
                    <w:bottom w:val="none" w:sz="0" w:space="0" w:color="auto"/>
                    <w:right w:val="none" w:sz="0" w:space="0" w:color="auto"/>
                  </w:divBdr>
                  <w:divsChild>
                    <w:div w:id="1972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295A7-5640-4C86-8633-E21C05D9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Ganteaume, Oscar [Axios]</cp:lastModifiedBy>
  <cp:revision>2</cp:revision>
  <cp:lastPrinted>2018-10-09T20:40:00Z</cp:lastPrinted>
  <dcterms:created xsi:type="dcterms:W3CDTF">2018-10-18T13:51:00Z</dcterms:created>
  <dcterms:modified xsi:type="dcterms:W3CDTF">2018-10-18T13:51:00Z</dcterms:modified>
</cp:coreProperties>
</file>