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BD378">
      <w:pPr>
        <w:spacing w:before="0" w:after="120" w:line="264" w:lineRule="auto"/>
        <w:jc w:val="center"/>
        <w:rPr>
          <w:color w:val="auto"/>
        </w:rPr>
      </w:pPr>
      <w:r>
        <w:rPr>
          <w:rFonts w:ascii="Calibri" w:hAnsi="Calibri" w:eastAsia="微软雅黑"/>
          <w:b/>
          <w:color w:val="auto"/>
          <w:sz w:val="44"/>
        </w:rPr>
        <w:t>富嘉云平台二次开发合同</w:t>
      </w:r>
    </w:p>
    <w:p w14:paraId="6FDA94C5">
      <w:pPr>
        <w:spacing w:before="0" w:after="320" w:line="264" w:lineRule="auto"/>
        <w:jc w:val="center"/>
        <w:rPr>
          <w:color w:val="auto"/>
        </w:rPr>
      </w:pPr>
      <w:r>
        <w:rPr>
          <w:rFonts w:ascii="Calibri" w:hAnsi="Calibri" w:eastAsia="微软雅黑"/>
          <w:b/>
          <w:color w:val="auto"/>
          <w:sz w:val="28"/>
        </w:rPr>
        <w:t>移动端用户质保信息功能开发</w:t>
      </w:r>
    </w:p>
    <w:tbl>
      <w:tblPr>
        <w:tblStyle w:val="32"/>
        <w:tblW w:w="9360" w:type="dxa"/>
        <w:tblInd w:w="12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7727"/>
      </w:tblGrid>
      <w:tr w14:paraId="514D3C6F">
        <w:trPr>
          <w:trHeight w:val="0" w:hRule="atLeast"/>
          <w:tblHeader/>
        </w:trPr>
        <w:tc>
          <w:tcPr>
            <w:tcW w:w="16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33BB">
            <w:pPr>
              <w:snapToGrid w:val="0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合同名称</w:t>
            </w:r>
          </w:p>
        </w:tc>
        <w:tc>
          <w:tcPr>
            <w:tcW w:w="77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4654">
            <w:pPr>
              <w:snapToGrid w:val="0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富嘉云平台二次开发合同</w:t>
            </w:r>
          </w:p>
        </w:tc>
      </w:tr>
      <w:tr w14:paraId="7AC98D8B">
        <w:trPr>
          <w:trHeight w:val="0" w:hRule="atLeast"/>
          <w:tblHeader/>
        </w:trPr>
        <w:tc>
          <w:tcPr>
            <w:tcW w:w="1633" w:type="dxa"/>
          </w:tcPr>
          <w:p w14:paraId="62A7B180">
            <w:pPr>
              <w:snapToGrid w:val="0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甲方</w:t>
            </w:r>
          </w:p>
        </w:tc>
        <w:tc>
          <w:tcPr>
            <w:tcW w:w="7727" w:type="dxa"/>
          </w:tcPr>
          <w:p w14:paraId="009F6880">
            <w:pPr>
              <w:snapToGrid w:val="0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深圳市富嘉电源科技有限公司</w:t>
            </w:r>
          </w:p>
        </w:tc>
      </w:tr>
      <w:tr w14:paraId="55BADE06">
        <w:trPr>
          <w:trHeight w:val="0" w:hRule="atLeast"/>
          <w:tblHeader/>
        </w:trPr>
        <w:tc>
          <w:tcPr>
            <w:tcW w:w="1633" w:type="dxa"/>
          </w:tcPr>
          <w:p w14:paraId="6181BDE4">
            <w:pPr>
              <w:snapToGrid w:val="0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乙方</w:t>
            </w:r>
          </w:p>
        </w:tc>
        <w:tc>
          <w:tcPr>
            <w:tcW w:w="7727" w:type="dxa"/>
          </w:tcPr>
          <w:p w14:paraId="39DD37D4">
            <w:pPr>
              <w:snapToGrid w:val="0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深圳市圆圆正正科技有限公司</w:t>
            </w:r>
          </w:p>
        </w:tc>
      </w:tr>
      <w:tr w14:paraId="611E2E54">
        <w:trPr>
          <w:trHeight w:val="0" w:hRule="atLeast"/>
          <w:tblHeader/>
        </w:trPr>
        <w:tc>
          <w:tcPr>
            <w:tcW w:w="1633" w:type="dxa"/>
          </w:tcPr>
          <w:p w14:paraId="683AA223">
            <w:pPr>
              <w:snapToGrid w:val="0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项目内容</w:t>
            </w:r>
          </w:p>
        </w:tc>
        <w:tc>
          <w:tcPr>
            <w:tcW w:w="7727" w:type="dxa"/>
          </w:tcPr>
          <w:p w14:paraId="0055F0F0">
            <w:pPr>
              <w:snapToGrid w:val="0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富嘉云平台移动端用户质保信息功能二次开发</w:t>
            </w:r>
          </w:p>
        </w:tc>
      </w:tr>
      <w:tr w14:paraId="40057428">
        <w:trPr>
          <w:trHeight w:val="0" w:hRule="atLeast"/>
          <w:tblHeader/>
        </w:trPr>
        <w:tc>
          <w:tcPr>
            <w:tcW w:w="1633" w:type="dxa"/>
          </w:tcPr>
          <w:p w14:paraId="3922DF9A">
            <w:pPr>
              <w:snapToGrid w:val="0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合同金额</w:t>
            </w:r>
          </w:p>
        </w:tc>
        <w:tc>
          <w:tcPr>
            <w:tcW w:w="7727" w:type="dxa"/>
          </w:tcPr>
          <w:p w14:paraId="5664A67E">
            <w:pPr>
              <w:snapToGrid w:val="0"/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人民币 4,500 元（大写：肆仟伍佰元整）</w:t>
            </w:r>
          </w:p>
        </w:tc>
      </w:tr>
      <w:tr w14:paraId="16234806">
        <w:trPr>
          <w:trHeight w:val="0" w:hRule="atLeast"/>
          <w:tblHeader/>
        </w:trPr>
        <w:tc>
          <w:tcPr>
            <w:tcW w:w="1633" w:type="dxa"/>
          </w:tcPr>
          <w:p w14:paraId="0C79E6F5">
            <w:pPr>
              <w:snapToGrid w:val="0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开发周期</w:t>
            </w:r>
          </w:p>
        </w:tc>
        <w:tc>
          <w:tcPr>
            <w:tcW w:w="7727" w:type="dxa"/>
          </w:tcPr>
          <w:p w14:paraId="15B58F56">
            <w:pPr>
              <w:snapToGrid w:val="0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1 周，自乙方收到首期款并取得甲方必要资料之日起计算</w:t>
            </w:r>
          </w:p>
        </w:tc>
      </w:tr>
    </w:tbl>
    <w:p w14:paraId="58C1E126">
      <w:pPr>
        <w:spacing w:before="0" w:after="80" w:line="264" w:lineRule="auto"/>
        <w:rPr>
          <w:color w:val="auto"/>
        </w:rPr>
      </w:pPr>
    </w:p>
    <w:p w14:paraId="15E0B4A1">
      <w:pPr>
        <w:pStyle w:val="3"/>
        <w:rPr>
          <w:color w:val="auto"/>
        </w:rPr>
      </w:pPr>
      <w:r>
        <w:rPr>
          <w:color w:val="auto"/>
        </w:rPr>
        <w:t>第一条 项目背景与合同目的</w:t>
      </w:r>
    </w:p>
    <w:p w14:paraId="6D418A46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甲方因业务发展需要，希望在富嘉云平台现有</w:t>
      </w:r>
      <w:bookmarkStart w:id="0" w:name="_GoBack"/>
      <w:bookmarkEnd w:id="0"/>
      <w:r>
        <w:rPr>
          <w:rFonts w:ascii="Calibri" w:hAnsi="Calibri" w:eastAsia="微软雅黑"/>
          <w:b w:val="0"/>
          <w:color w:val="auto"/>
          <w:sz w:val="22"/>
        </w:rPr>
        <w:t>系统基础上新增移动端用户质保信息功能。用户初次绑定电池设备后，可填写本人质保联系人信息，包括姓名、联系电话，便于后续维修、保养和售后服务跟进。考虑 APP 存在国外使用场景，移动端质保信息仅做引导填写，不作为用户继续使用 APP 或小程序的强制条件。</w:t>
      </w:r>
    </w:p>
    <w:p w14:paraId="25224540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同时，甲方希望云平台端在电池激活后自动计算质保到期时间，并支持后台针对单台电池单独修改质保时长，以满足多设备质保年限不统一的业务情况。乙方根据甲方确认的报价方案，为甲方提供富嘉云平台二次开发服务。双方经协商一致，订立本合同，以资共同遵守。</w:t>
      </w:r>
    </w:p>
    <w:p w14:paraId="20D07B97">
      <w:pPr>
        <w:pStyle w:val="3"/>
        <w:rPr>
          <w:color w:val="auto"/>
        </w:rPr>
      </w:pPr>
      <w:r>
        <w:rPr>
          <w:color w:val="auto"/>
        </w:rPr>
        <w:t>第二条 开发范围与交付内容</w:t>
      </w:r>
    </w:p>
    <w:p w14:paraId="4232E68C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本项目开发范围以现有富嘉云平台移动端、后端服务和 WEB 后台为基础，乙方应完成以下工作：</w:t>
      </w:r>
    </w:p>
    <w:p w14:paraId="44CF6799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移动端“我的”页面新增“质保信息”菜单入口。</w:t>
      </w:r>
    </w:p>
    <w:p w14:paraId="7A1BFC74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移动端质保信息页面展示用户本人质保基本信息，以及关联电池质保卡片。</w:t>
      </w:r>
    </w:p>
    <w:p w14:paraId="73EC8289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移动端支持用户填写、跳过或后续更新姓名、联系电话；仅引导填写，不强制填写，不阻断用户继续使用。</w:t>
      </w:r>
    </w:p>
    <w:p w14:paraId="6B5E692B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移动端电池质保卡片展示电池序列号、激活日期、质保截止日期。</w:t>
      </w:r>
    </w:p>
    <w:p w14:paraId="795E7D3E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后端新增或扩展用户质保信息存储、查询、保存接口，并返回用户关联电池质保列表。</w:t>
      </w:r>
    </w:p>
    <w:p w14:paraId="56E8CA0A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电池激活后，云平台根据激活日期自动计算质保截止日期。</w:t>
      </w:r>
    </w:p>
    <w:p w14:paraId="29262800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WEB 后台“BMS 管理 &gt; 电池列表 &gt; 电池详情”新增“质保”Tab，展示绑定用户、质保联系人、激活日期、质保截止日期和当前质保时长。</w:t>
      </w:r>
    </w:p>
    <w:p w14:paraId="28ABB375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WEB 后台支持针对单台电池单独修改质保时长，支持多设备质保年限不统一。</w:t>
      </w:r>
    </w:p>
    <w:p w14:paraId="559D8068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完成移动端、后端、WEB 后台联调测试，并提供必要交付说明。</w:t>
      </w:r>
    </w:p>
    <w:p w14:paraId="56DB50BF">
      <w:pPr>
        <w:spacing w:before="120" w:after="120" w:line="264" w:lineRule="auto"/>
        <w:rPr>
          <w:color w:val="auto"/>
        </w:rPr>
      </w:pPr>
      <w:r>
        <w:rPr>
          <w:rFonts w:ascii="Calibri" w:hAnsi="Calibri" w:eastAsia="微软雅黑"/>
          <w:b/>
          <w:color w:val="auto"/>
          <w:sz w:val="22"/>
        </w:rPr>
        <w:t>开发内容与费用明细</w:t>
      </w:r>
    </w:p>
    <w:tbl>
      <w:tblPr>
        <w:tblStyle w:val="32"/>
        <w:tblW w:w="9360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800"/>
        <w:gridCol w:w="5400"/>
        <w:gridCol w:w="1440"/>
      </w:tblGrid>
      <w:tr w14:paraId="34D8E313">
        <w:trPr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E60A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序号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6065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模块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91F6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开发内容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8C50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金额</w:t>
            </w:r>
          </w:p>
        </w:tc>
      </w:tr>
      <w:tr w14:paraId="58B4B9C3">
        <w:trPr>
          <w:jc w:val="center"/>
        </w:trPr>
        <w:tc>
          <w:tcPr>
            <w:tcW w:w="720" w:type="dxa"/>
          </w:tcPr>
          <w:p w14:paraId="23A0D1C2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1</w:t>
            </w:r>
          </w:p>
        </w:tc>
        <w:tc>
          <w:tcPr>
            <w:tcW w:w="1800" w:type="dxa"/>
          </w:tcPr>
          <w:p w14:paraId="72FDE25F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移动端入口与质保信息页面</w:t>
            </w:r>
          </w:p>
        </w:tc>
        <w:tc>
          <w:tcPr>
            <w:tcW w:w="5400" w:type="dxa"/>
          </w:tcPr>
          <w:p w14:paraId="2C39FB20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在移动端“我的”页面新增“质保信息”菜单入口；进入后展示当前用户质保基本信息、已关联电池质保卡片；未填写姓名、联系电话时做引导提示，但不强制填写、不阻断用户继续使用。</w:t>
            </w:r>
          </w:p>
        </w:tc>
        <w:tc>
          <w:tcPr>
            <w:tcW w:w="1440" w:type="dxa"/>
          </w:tcPr>
          <w:p w14:paraId="6E11C62F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1,000 元</w:t>
            </w:r>
          </w:p>
        </w:tc>
      </w:tr>
      <w:tr w14:paraId="0F7CF36C">
        <w:trPr>
          <w:jc w:val="center"/>
        </w:trPr>
        <w:tc>
          <w:tcPr>
            <w:tcW w:w="720" w:type="dxa"/>
          </w:tcPr>
          <w:p w14:paraId="09692387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2</w:t>
            </w:r>
          </w:p>
        </w:tc>
        <w:tc>
          <w:tcPr>
            <w:tcW w:w="1800" w:type="dxa"/>
          </w:tcPr>
          <w:p w14:paraId="2FECB4B1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移动端质保信息填写与保存</w:t>
            </w:r>
          </w:p>
        </w:tc>
        <w:tc>
          <w:tcPr>
            <w:tcW w:w="5400" w:type="dxa"/>
          </w:tcPr>
          <w:p w14:paraId="09BEE35B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支持用户维护本人姓名、联系电话；完成表单校验、保存接口对接、保存成功后的页面回显与状态刷新；用户可跳过填写。</w:t>
            </w:r>
          </w:p>
        </w:tc>
        <w:tc>
          <w:tcPr>
            <w:tcW w:w="1440" w:type="dxa"/>
          </w:tcPr>
          <w:p w14:paraId="0DAFF088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700 元</w:t>
            </w:r>
          </w:p>
        </w:tc>
      </w:tr>
      <w:tr w14:paraId="28B51E71">
        <w:trPr>
          <w:jc w:val="center"/>
        </w:trPr>
        <w:tc>
          <w:tcPr>
            <w:tcW w:w="720" w:type="dxa"/>
          </w:tcPr>
          <w:p w14:paraId="656B9B6B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3</w:t>
            </w:r>
          </w:p>
        </w:tc>
        <w:tc>
          <w:tcPr>
            <w:tcW w:w="1800" w:type="dxa"/>
          </w:tcPr>
          <w:p w14:paraId="49A18598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移动端电池质保卡片展示</w:t>
            </w:r>
          </w:p>
        </w:tc>
        <w:tc>
          <w:tcPr>
            <w:tcW w:w="5400" w:type="dxa"/>
          </w:tcPr>
          <w:p w14:paraId="46F88CD4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展示用户已绑定电池的质保卡片信息，包括电池序列号、激活日期、质保截止日期；无绑定电池、未填写质保信息或无质保数据时提供空状态提示。</w:t>
            </w:r>
          </w:p>
        </w:tc>
        <w:tc>
          <w:tcPr>
            <w:tcW w:w="1440" w:type="dxa"/>
          </w:tcPr>
          <w:p w14:paraId="12EEEE4B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700 元</w:t>
            </w:r>
          </w:p>
        </w:tc>
      </w:tr>
      <w:tr w14:paraId="00069AD8">
        <w:trPr>
          <w:jc w:val="center"/>
        </w:trPr>
        <w:tc>
          <w:tcPr>
            <w:tcW w:w="720" w:type="dxa"/>
          </w:tcPr>
          <w:p w14:paraId="22C4D148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4</w:t>
            </w:r>
          </w:p>
        </w:tc>
        <w:tc>
          <w:tcPr>
            <w:tcW w:w="1800" w:type="dxa"/>
          </w:tcPr>
          <w:p w14:paraId="49FE2B62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后端数据与接口支持</w:t>
            </w:r>
          </w:p>
        </w:tc>
        <w:tc>
          <w:tcPr>
            <w:tcW w:w="5400" w:type="dxa"/>
          </w:tcPr>
          <w:p w14:paraId="1E0E4391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新增/扩展用户质保信息存储与接口能力；电池激活后自动计算质保截止日期；支持移动端查询、保存用户质保信息，并返回用户关联电池质保列表。</w:t>
            </w:r>
          </w:p>
        </w:tc>
        <w:tc>
          <w:tcPr>
            <w:tcW w:w="1440" w:type="dxa"/>
          </w:tcPr>
          <w:p w14:paraId="31045C30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900 元</w:t>
            </w:r>
          </w:p>
        </w:tc>
      </w:tr>
      <w:tr w14:paraId="0B18769A">
        <w:trPr>
          <w:jc w:val="center"/>
        </w:trPr>
        <w:tc>
          <w:tcPr>
            <w:tcW w:w="720" w:type="dxa"/>
          </w:tcPr>
          <w:p w14:paraId="459CC118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5</w:t>
            </w:r>
          </w:p>
        </w:tc>
        <w:tc>
          <w:tcPr>
            <w:tcW w:w="1800" w:type="dxa"/>
          </w:tcPr>
          <w:p w14:paraId="643EA700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WEB 后台电池详情质保 Tab</w:t>
            </w:r>
          </w:p>
        </w:tc>
        <w:tc>
          <w:tcPr>
            <w:tcW w:w="5400" w:type="dxa"/>
          </w:tcPr>
          <w:p w14:paraId="3A86F967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在后台管理“BMS 管理 &gt; 电池列表 &gt; 电池详情”中新增“质保”Tab，展示该电池关联绑定用户基本信息、用户填写的质保信息、激活日期、质保截止日期，并支持单台电池质保时长单独修改。</w:t>
            </w:r>
          </w:p>
        </w:tc>
        <w:tc>
          <w:tcPr>
            <w:tcW w:w="1440" w:type="dxa"/>
          </w:tcPr>
          <w:p w14:paraId="0667A9D9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800 元</w:t>
            </w:r>
          </w:p>
        </w:tc>
      </w:tr>
      <w:tr w14:paraId="1E59FDA9">
        <w:trPr>
          <w:jc w:val="center"/>
        </w:trPr>
        <w:tc>
          <w:tcPr>
            <w:tcW w:w="720" w:type="dxa"/>
          </w:tcPr>
          <w:p w14:paraId="3B839304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6</w:t>
            </w:r>
          </w:p>
        </w:tc>
        <w:tc>
          <w:tcPr>
            <w:tcW w:w="1800" w:type="dxa"/>
          </w:tcPr>
          <w:p w14:paraId="249AB143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联调、测试与交付说明</w:t>
            </w:r>
          </w:p>
        </w:tc>
        <w:tc>
          <w:tcPr>
            <w:tcW w:w="5400" w:type="dxa"/>
          </w:tcPr>
          <w:p w14:paraId="202CAF9F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完成移动端、后端、WEB 后台联调，覆盖首次填写、跳过填写、再次编辑、已绑定电池展示、电池详情查看、质保时长修改等主要流程，并补充交付说明。</w:t>
            </w:r>
          </w:p>
        </w:tc>
        <w:tc>
          <w:tcPr>
            <w:tcW w:w="1440" w:type="dxa"/>
          </w:tcPr>
          <w:p w14:paraId="45E46825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400 元</w:t>
            </w:r>
          </w:p>
        </w:tc>
      </w:tr>
      <w:tr w14:paraId="5E1165DA">
        <w:trPr>
          <w:jc w:val="center"/>
        </w:trPr>
        <w:tc>
          <w:tcPr>
            <w:tcW w:w="720" w:type="dxa"/>
            <w:shd w:val="clear" w:color="auto" w:fill="EAF2F8"/>
          </w:tcPr>
          <w:p w14:paraId="28217562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shd w:val="clear" w:color="auto" w:fill="EAF2F8"/>
          </w:tcPr>
          <w:p w14:paraId="07C6A5C6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合计</w:t>
            </w:r>
          </w:p>
        </w:tc>
        <w:tc>
          <w:tcPr>
            <w:tcW w:w="5400" w:type="dxa"/>
            <w:shd w:val="clear" w:color="auto" w:fill="EAF2F8"/>
          </w:tcPr>
          <w:p w14:paraId="6C15634F">
            <w:pPr>
              <w:jc w:val="left"/>
              <w:rPr>
                <w:color w:val="auto"/>
              </w:rPr>
            </w:pPr>
          </w:p>
        </w:tc>
        <w:tc>
          <w:tcPr>
            <w:tcW w:w="1440" w:type="dxa"/>
            <w:shd w:val="clear" w:color="auto" w:fill="EAF2F8"/>
          </w:tcPr>
          <w:p w14:paraId="2CD29CFF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4,500 元</w:t>
            </w:r>
          </w:p>
        </w:tc>
      </w:tr>
    </w:tbl>
    <w:p w14:paraId="63D55CAE">
      <w:pPr>
        <w:spacing w:before="0" w:after="80" w:line="264" w:lineRule="auto"/>
        <w:rPr>
          <w:color w:val="auto"/>
        </w:rPr>
      </w:pPr>
    </w:p>
    <w:p w14:paraId="06F73266">
      <w:pPr>
        <w:pStyle w:val="3"/>
        <w:rPr>
          <w:color w:val="auto"/>
        </w:rPr>
      </w:pPr>
      <w:r>
        <w:rPr>
          <w:color w:val="auto"/>
        </w:rPr>
        <w:t>第三条 不包含事项</w:t>
      </w:r>
    </w:p>
    <w:p w14:paraId="60529A2F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除本合同第二条明确列明的开发内容外，以下事项不包含在本合同服务范围内：</w:t>
      </w:r>
    </w:p>
    <w:p w14:paraId="74BC6818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不包含复杂售后工单、维修工单、保养工单流程。</w:t>
      </w:r>
    </w:p>
    <w:p w14:paraId="27AC8836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不包含质保规则的复杂批量配置化，例如按不同客户、型号、批次自动套用不同质保年限；本项目仅包含电池激活后默认计算质保截止日期，以及后台对单台电池单独修改质保时长。</w:t>
      </w:r>
    </w:p>
    <w:p w14:paraId="5F084255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不包含历史存量电池质保信息的大规模人工清洗或批量导入。</w:t>
      </w:r>
    </w:p>
    <w:p w14:paraId="768BBF4C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不包含短信、电话外呼、公众号通知等售后触达能力。</w:t>
      </w:r>
    </w:p>
    <w:p w14:paraId="61AE16A9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不包含新的后台统计报表、质保到期提醒列表或质保运营看板。</w:t>
      </w:r>
    </w:p>
    <w:p w14:paraId="7A8F71CA">
      <w:pPr>
        <w:pStyle w:val="3"/>
        <w:rPr>
          <w:color w:val="auto"/>
        </w:rPr>
      </w:pPr>
      <w:r>
        <w:rPr>
          <w:color w:val="auto"/>
        </w:rPr>
        <w:t>第四条 开发周期</w:t>
      </w:r>
    </w:p>
    <w:p w14:paraId="69BCD6F2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本项目预计开发周期为 1 周。开发周期自乙方收到首期款且甲方提供必要开发资料之日起计算。因甲方资料提供延迟、需求变更、第三方接口限制或其他非乙方原因导致延期的，项目周期相应顺延。</w:t>
      </w:r>
    </w:p>
    <w:tbl>
      <w:tblPr>
        <w:tblStyle w:val="32"/>
        <w:tblW w:w="9360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960"/>
      </w:tblGrid>
      <w:tr w14:paraId="6214BCDF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9924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阶段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4384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时间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46A2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主要交付内容</w:t>
            </w:r>
          </w:p>
        </w:tc>
      </w:tr>
      <w:tr w14:paraId="262C1CA0">
        <w:trPr>
          <w:jc w:val="center"/>
        </w:trPr>
        <w:tc>
          <w:tcPr>
            <w:tcW w:w="1800" w:type="dxa"/>
          </w:tcPr>
          <w:p w14:paraId="5E5B7D43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第 1-2 天</w:t>
            </w:r>
          </w:p>
        </w:tc>
        <w:tc>
          <w:tcPr>
            <w:tcW w:w="2600" w:type="dxa"/>
          </w:tcPr>
          <w:p w14:paraId="2A7231B6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需求确认、数据结构与后端接口开发</w:t>
            </w:r>
          </w:p>
        </w:tc>
        <w:tc>
          <w:tcPr>
            <w:tcW w:w="4960" w:type="dxa"/>
          </w:tcPr>
          <w:p w14:paraId="76FAE736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完成用户质保信息存储、查询、保存接口、电池激活后质保到期计算及电池质保数据返回。</w:t>
            </w:r>
          </w:p>
        </w:tc>
      </w:tr>
      <w:tr w14:paraId="499B4631">
        <w:trPr>
          <w:jc w:val="center"/>
        </w:trPr>
        <w:tc>
          <w:tcPr>
            <w:tcW w:w="1800" w:type="dxa"/>
          </w:tcPr>
          <w:p w14:paraId="52F44485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第 3-4 天</w:t>
            </w:r>
          </w:p>
        </w:tc>
        <w:tc>
          <w:tcPr>
            <w:tcW w:w="2600" w:type="dxa"/>
          </w:tcPr>
          <w:p w14:paraId="7001AEF9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移动端页面开发与接口联调</w:t>
            </w:r>
          </w:p>
        </w:tc>
        <w:tc>
          <w:tcPr>
            <w:tcW w:w="4960" w:type="dxa"/>
          </w:tcPr>
          <w:p w14:paraId="2DD300A0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完成“我的”入口、质保信息页面、表单填写/跳过和电池质保卡片展示。</w:t>
            </w:r>
          </w:p>
        </w:tc>
      </w:tr>
      <w:tr w14:paraId="065C86B5">
        <w:trPr>
          <w:jc w:val="center"/>
        </w:trPr>
        <w:tc>
          <w:tcPr>
            <w:tcW w:w="1800" w:type="dxa"/>
          </w:tcPr>
          <w:p w14:paraId="0C11C53F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第 5 天</w:t>
            </w:r>
          </w:p>
        </w:tc>
        <w:tc>
          <w:tcPr>
            <w:tcW w:w="2600" w:type="dxa"/>
          </w:tcPr>
          <w:p w14:paraId="6E66D628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WEB 后台电池详情质保 Tab 开发</w:t>
            </w:r>
          </w:p>
        </w:tc>
        <w:tc>
          <w:tcPr>
            <w:tcW w:w="4960" w:type="dxa"/>
          </w:tcPr>
          <w:p w14:paraId="2E3643E2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完成电池详情页质保信息展示和单台电池质保时长修改。</w:t>
            </w:r>
          </w:p>
        </w:tc>
      </w:tr>
      <w:tr w14:paraId="0D80920E">
        <w:trPr>
          <w:jc w:val="center"/>
        </w:trPr>
        <w:tc>
          <w:tcPr>
            <w:tcW w:w="1800" w:type="dxa"/>
          </w:tcPr>
          <w:p w14:paraId="740CDA07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第 6-7 天</w:t>
            </w:r>
          </w:p>
        </w:tc>
        <w:tc>
          <w:tcPr>
            <w:tcW w:w="2600" w:type="dxa"/>
          </w:tcPr>
          <w:p w14:paraId="515FA682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联调测试、问题修复、交付整理</w:t>
            </w:r>
          </w:p>
        </w:tc>
        <w:tc>
          <w:tcPr>
            <w:tcW w:w="4960" w:type="dxa"/>
          </w:tcPr>
          <w:p w14:paraId="531B237C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完成主要流程回归、边界情况处理和交付说明。</w:t>
            </w:r>
          </w:p>
        </w:tc>
      </w:tr>
    </w:tbl>
    <w:p w14:paraId="53AF1960">
      <w:pPr>
        <w:spacing w:before="0" w:after="80" w:line="264" w:lineRule="auto"/>
        <w:rPr>
          <w:color w:val="auto"/>
        </w:rPr>
      </w:pPr>
    </w:p>
    <w:p w14:paraId="6582A98F">
      <w:pPr>
        <w:pStyle w:val="3"/>
        <w:rPr>
          <w:color w:val="auto"/>
        </w:rPr>
      </w:pPr>
      <w:r>
        <w:rPr>
          <w:color w:val="auto"/>
        </w:rPr>
        <w:t>第五条 合同金额与付款方式</w:t>
      </w:r>
    </w:p>
    <w:p w14:paraId="4D5AC021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本合同总金额为人民币 4,500 元，大写：肆仟伍佰元整。双方约定按以下方式付款：</w:t>
      </w:r>
    </w:p>
    <w:tbl>
      <w:tblPr>
        <w:tblStyle w:val="32"/>
        <w:tblW w:w="9360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400"/>
        <w:gridCol w:w="2160"/>
      </w:tblGrid>
      <w:tr w14:paraId="572DB00E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EAED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付款节点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9F57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付款条件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79A9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</w:rPr>
              <w:t>金额</w:t>
            </w:r>
          </w:p>
        </w:tc>
      </w:tr>
      <w:tr w14:paraId="766F157E">
        <w:trPr>
          <w:jc w:val="center"/>
        </w:trPr>
        <w:tc>
          <w:tcPr>
            <w:tcW w:w="1800" w:type="dxa"/>
          </w:tcPr>
          <w:p w14:paraId="567FD11D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首期款</w:t>
            </w:r>
          </w:p>
        </w:tc>
        <w:tc>
          <w:tcPr>
            <w:tcW w:w="5400" w:type="dxa"/>
          </w:tcPr>
          <w:p w14:paraId="4D051CC0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合同签订后 3 个工作日内，甲方向乙方支付合同总价的 50%。</w:t>
            </w:r>
          </w:p>
        </w:tc>
        <w:tc>
          <w:tcPr>
            <w:tcW w:w="2160" w:type="dxa"/>
          </w:tcPr>
          <w:p w14:paraId="56B87291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2,250 元</w:t>
            </w:r>
          </w:p>
        </w:tc>
      </w:tr>
      <w:tr w14:paraId="12079179">
        <w:trPr>
          <w:jc w:val="center"/>
        </w:trPr>
        <w:tc>
          <w:tcPr>
            <w:tcW w:w="1800" w:type="dxa"/>
          </w:tcPr>
          <w:p w14:paraId="6F934280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尾款</w:t>
            </w:r>
          </w:p>
        </w:tc>
        <w:tc>
          <w:tcPr>
            <w:tcW w:w="5400" w:type="dxa"/>
          </w:tcPr>
          <w:p w14:paraId="4F65FA42">
            <w:pPr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0"/>
              </w:rPr>
              <w:t>项目验收通过后 3 个工作日内，甲方向乙方支付合同总价的 50%。</w:t>
            </w:r>
          </w:p>
        </w:tc>
        <w:tc>
          <w:tcPr>
            <w:tcW w:w="2160" w:type="dxa"/>
          </w:tcPr>
          <w:p w14:paraId="2B7CA3E7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2,250 元</w:t>
            </w:r>
          </w:p>
        </w:tc>
      </w:tr>
      <w:tr w14:paraId="7C4480FB">
        <w:trPr>
          <w:jc w:val="center"/>
        </w:trPr>
        <w:tc>
          <w:tcPr>
            <w:tcW w:w="1800" w:type="dxa"/>
            <w:shd w:val="clear" w:color="auto" w:fill="EAF2F8"/>
          </w:tcPr>
          <w:p w14:paraId="58811F49">
            <w:pPr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合计</w:t>
            </w:r>
          </w:p>
        </w:tc>
        <w:tc>
          <w:tcPr>
            <w:tcW w:w="5400" w:type="dxa"/>
            <w:shd w:val="clear" w:color="auto" w:fill="EAF2F8"/>
          </w:tcPr>
          <w:p w14:paraId="77032C52">
            <w:pPr>
              <w:jc w:val="left"/>
              <w:rPr>
                <w:color w:val="auto"/>
              </w:rPr>
            </w:pPr>
          </w:p>
        </w:tc>
        <w:tc>
          <w:tcPr>
            <w:tcW w:w="2160" w:type="dxa"/>
            <w:shd w:val="clear" w:color="auto" w:fill="EAF2F8"/>
          </w:tcPr>
          <w:p w14:paraId="5CD1EE16">
            <w:pPr>
              <w:jc w:val="righ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0"/>
              </w:rPr>
              <w:t>4,500 元</w:t>
            </w:r>
          </w:p>
        </w:tc>
      </w:tr>
    </w:tbl>
    <w:p w14:paraId="13BD940F">
      <w:pPr>
        <w:spacing w:before="0" w:after="80" w:line="264" w:lineRule="auto"/>
        <w:rPr>
          <w:color w:val="auto"/>
        </w:rPr>
      </w:pPr>
    </w:p>
    <w:p w14:paraId="0B804AEA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如甲方要求乙方开具发票，发票类型、税率及开票信息由双方在正式签署或付款前另行确认；如报价未明确含税，则以双方最终书面确认为准。</w:t>
      </w:r>
    </w:p>
    <w:p w14:paraId="36DF4B1F">
      <w:pPr>
        <w:pStyle w:val="3"/>
        <w:rPr>
          <w:color w:val="auto"/>
        </w:rPr>
      </w:pPr>
      <w:r>
        <w:rPr>
          <w:color w:val="auto"/>
        </w:rPr>
        <w:t>第六条 甲方责任</w:t>
      </w:r>
    </w:p>
    <w:p w14:paraId="560C9EE5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甲方应按本合同约定及时支付开发费用。</w:t>
      </w:r>
    </w:p>
    <w:p w14:paraId="33F70CC8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甲方应及时提供项目开发所需资料，包括但不限于现有质保规则口径、测试账号、电池测试数据、页面确认意见及其他必要资料。</w:t>
      </w:r>
    </w:p>
    <w:p w14:paraId="5F0F88E5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甲方应安排人员参与需求确认、测试反馈和验收确认。</w:t>
      </w:r>
    </w:p>
    <w:p w14:paraId="4DFCDAB8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甲方应保证其提供的资料、业务规则、账号信息等内容合法、真实、有效，并自行承担因资料内容或第三方平台资质问题导致的责任。</w:t>
      </w:r>
    </w:p>
    <w:p w14:paraId="24F1F44B">
      <w:pPr>
        <w:pStyle w:val="3"/>
        <w:rPr>
          <w:color w:val="auto"/>
        </w:rPr>
      </w:pPr>
      <w:r>
        <w:rPr>
          <w:color w:val="auto"/>
        </w:rPr>
        <w:t>第七条 乙方责任</w:t>
      </w:r>
    </w:p>
    <w:p w14:paraId="2D14801A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乙方应按照本合同约定的范围、周期和质量要求完成开发工作。</w:t>
      </w:r>
    </w:p>
    <w:p w14:paraId="62617243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乙方应在开发过程中对甲方提出的合理问题进行沟通，并在交付前完成必要的自测和联调。</w:t>
      </w:r>
    </w:p>
    <w:p w14:paraId="72056762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乙方应对项目开发过程中获知的甲方业务资料、账号信息、技术资料承担保密义务。</w:t>
      </w:r>
    </w:p>
    <w:p w14:paraId="385010B9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乙方应在验收通过后提供 30 日免费缺陷修复服务，修复范围限于本合同开发内容自身缺陷，不包含新增需求、第三方平台变化或甲方自行修改导致的问题。</w:t>
      </w:r>
    </w:p>
    <w:p w14:paraId="6FDC6A7E">
      <w:pPr>
        <w:pStyle w:val="3"/>
        <w:rPr>
          <w:color w:val="auto"/>
        </w:rPr>
      </w:pPr>
      <w:r>
        <w:rPr>
          <w:color w:val="auto"/>
        </w:rPr>
        <w:t>第八条 验收标准与验收流程</w:t>
      </w:r>
    </w:p>
    <w:p w14:paraId="35AD7544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乙方完成开发并部署至双方确认的测试或生产环境后，向甲方提交验收通知。</w:t>
      </w:r>
    </w:p>
    <w:p w14:paraId="2AE60AC7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甲方应在收到验收通知后 5 个工作日内完成验收或提出书面修改意见。</w:t>
      </w:r>
    </w:p>
    <w:p w14:paraId="63151053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如甲方未在上述期限内提出书面异议，且系统功能可正常使用，视为项目验收通过。</w:t>
      </w:r>
    </w:p>
    <w:p w14:paraId="78267131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验收以本合同第二条及附件一所列功能为标准。新增需求、范围外优化、历史数据清理、第三方接口限制等事项不作为本项目验收阻却条件。</w:t>
      </w:r>
    </w:p>
    <w:p w14:paraId="057992CC">
      <w:pPr>
        <w:pStyle w:val="3"/>
        <w:rPr>
          <w:color w:val="auto"/>
        </w:rPr>
      </w:pPr>
      <w:r>
        <w:rPr>
          <w:color w:val="auto"/>
        </w:rPr>
        <w:t>第九条 需求变更</w:t>
      </w:r>
    </w:p>
    <w:p w14:paraId="1CD9E529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项目执行过程中，如甲方提出超出本合同范围的新增功能、流程调整、页面重构、权限扩展、数据迁移或其他变更，双方应另行确认变更范围、费用及周期。未经双方书面确认的需求变更，乙方有权暂不实施。</w:t>
      </w:r>
    </w:p>
    <w:p w14:paraId="07858E8B">
      <w:pPr>
        <w:pStyle w:val="3"/>
        <w:rPr>
          <w:color w:val="auto"/>
        </w:rPr>
      </w:pPr>
      <w:r>
        <w:rPr>
          <w:color w:val="auto"/>
        </w:rPr>
        <w:t>第十条 知识产权与使用权</w:t>
      </w:r>
    </w:p>
    <w:p w14:paraId="3F933B8D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甲方按合同约定付清全部款项后，取得本项目交付成果在富嘉云平台业务范围内的使用权。</w:t>
      </w:r>
    </w:p>
    <w:p w14:paraId="280CCA4A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乙方在项目实施前已拥有的通用框架、基础组件、公共工具、技术方案、开发经验及可复用代码仍归乙方所有。</w:t>
      </w:r>
    </w:p>
    <w:p w14:paraId="52BF40F1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项目中涉及的开源软件、第三方 SDK、平台能力等，其权利归属和使用限制按对应许可协议或平台规则执行。</w:t>
      </w:r>
    </w:p>
    <w:p w14:paraId="154B97FB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未经对方书面同意，任何一方不得将对方商业资料、技术资料、账号密钥等用于本合同以外目的。</w:t>
      </w:r>
    </w:p>
    <w:p w14:paraId="224D1377">
      <w:pPr>
        <w:pStyle w:val="3"/>
        <w:rPr>
          <w:color w:val="auto"/>
        </w:rPr>
      </w:pPr>
      <w:r>
        <w:rPr>
          <w:color w:val="auto"/>
        </w:rPr>
        <w:t>第十一条 保密条款</w:t>
      </w:r>
    </w:p>
    <w:p w14:paraId="15F13ADB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双方应对在合作过程中获悉的对方商业秘密、技术资料、系统账号、客户资料、运营数据等非公开信息承担保密义务。未经信息披露方书面同意，任何一方不得向第三方披露、转让或用于本合同以外目的。法律法规、监管机关或司法机关要求披露的除外，但披露方应在法律允许范围内及时通知对方。</w:t>
      </w:r>
    </w:p>
    <w:p w14:paraId="12AE0084">
      <w:pPr>
        <w:pStyle w:val="3"/>
        <w:rPr>
          <w:color w:val="auto"/>
        </w:rPr>
      </w:pPr>
      <w:r>
        <w:rPr>
          <w:color w:val="auto"/>
        </w:rPr>
        <w:t>第十二条 违约责任</w:t>
      </w:r>
    </w:p>
    <w:p w14:paraId="271E1DD2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甲方未按约定付款的，每逾期一日，应按逾期未付款金额的万分之五向乙方支付违约金；逾期超过 10 个工作日的，乙方有权暂停开发或交付，项目周期相应顺延。</w:t>
      </w:r>
    </w:p>
    <w:p w14:paraId="5E9EF86F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乙方无正当理由未按合同约定完成开发且逾期超过 10 个工作日的，甲方有权要求乙方限期整改；因甲方资料延迟、需求变更、第三方平台限制、不可抗力等原因导致的延期不视为乙方违约。</w:t>
      </w:r>
    </w:p>
    <w:p w14:paraId="4B3A6873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任何一方违反保密义务给对方造成损失的，应承担相应赔偿责任。</w:t>
      </w:r>
    </w:p>
    <w:p w14:paraId="3016C426">
      <w:pPr>
        <w:pStyle w:val="3"/>
        <w:rPr>
          <w:color w:val="auto"/>
        </w:rPr>
      </w:pPr>
      <w:r>
        <w:rPr>
          <w:color w:val="auto"/>
        </w:rPr>
        <w:t>第十三条 不可抗力</w:t>
      </w:r>
    </w:p>
    <w:p w14:paraId="4439907B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因自然灾害、政府行为、法律政策变化、网络中断、第三方服务异常及其他不可预见、不可避免且不可克服的事件导致合同不能履行或延期履行的，受影响一方不承担违约责任，但应及时通知对方并采取合理措施减少损失。</w:t>
      </w:r>
    </w:p>
    <w:p w14:paraId="6991E2B0">
      <w:pPr>
        <w:pStyle w:val="3"/>
        <w:rPr>
          <w:color w:val="auto"/>
        </w:rPr>
      </w:pPr>
      <w:r>
        <w:rPr>
          <w:color w:val="auto"/>
        </w:rPr>
        <w:t>第十四条 争议解决</w:t>
      </w:r>
    </w:p>
    <w:p w14:paraId="54654207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本合同的订立、履行、解释及争议解决均适用中华人民共和国法律。因本合同产生的争议，双方应友好协商解决；协商不成的，任一方可向乙方所在地有管辖权的人民法院提起诉讼。</w:t>
      </w:r>
    </w:p>
    <w:p w14:paraId="7D2C5BEB">
      <w:pPr>
        <w:pStyle w:val="3"/>
        <w:rPr>
          <w:color w:val="auto"/>
        </w:rPr>
      </w:pPr>
      <w:r>
        <w:rPr>
          <w:color w:val="auto"/>
        </w:rPr>
        <w:t>第十五条 合同生效及其他</w:t>
      </w:r>
    </w:p>
    <w:p w14:paraId="55B3429B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本合同自双方授权代表签字并加盖公章或合同专用章之日起生效。</w:t>
      </w:r>
    </w:p>
    <w:p w14:paraId="5D9D0D2B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本合同一式两份，甲乙双方各执一份，具有同等法律效力。</w:t>
      </w:r>
    </w:p>
    <w:p w14:paraId="34F642D7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本合同未尽事宜，双方可另行签署补充协议；补充协议与本合同具有同等法律效力。</w:t>
      </w:r>
    </w:p>
    <w:p w14:paraId="2C1190E5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本合同附件为本合同不可分割的组成部分，与正文具有同等法律效力。</w:t>
      </w:r>
    </w:p>
    <w:p w14:paraId="09E26C58">
      <w:pPr>
        <w:pStyle w:val="3"/>
        <w:rPr>
          <w:color w:val="auto"/>
        </w:rPr>
      </w:pPr>
      <w:r>
        <w:rPr>
          <w:color w:val="auto"/>
        </w:rPr>
        <w:t>附件一：项目范围确认</w:t>
      </w:r>
    </w:p>
    <w:p w14:paraId="197FC620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本项目为“移动端用户质保信息功能开发”。项目范围以本附件所列功能为准：</w:t>
      </w:r>
    </w:p>
    <w:p w14:paraId="5EE7A0A7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移动端“我的 &gt; 质保信息”入口和页面。</w:t>
      </w:r>
    </w:p>
    <w:p w14:paraId="77096EA0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用户质保基本信息填写、保存和回显能力；移动端仅引导填写，不强制填写。</w:t>
      </w:r>
    </w:p>
    <w:p w14:paraId="68C7562F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用户关联电池质保卡片展示。</w:t>
      </w:r>
    </w:p>
    <w:p w14:paraId="1FF1A648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电池激活后的质保截止日期自动计算能力。</w:t>
      </w:r>
    </w:p>
    <w:p w14:paraId="75718CB6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WEB 后台电池详情“质保”Tab。</w:t>
      </w:r>
    </w:p>
    <w:p w14:paraId="47E68050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WEB 后台单台电池质保时长修改能力，支持多设备质保年限不统一。</w:t>
      </w:r>
    </w:p>
    <w:p w14:paraId="6700C160">
      <w:pPr>
        <w:pStyle w:val="16"/>
        <w:spacing w:after="80" w:line="264" w:lineRule="auto"/>
        <w:rPr>
          <w:color w:val="auto"/>
        </w:rPr>
      </w:pPr>
      <w:r>
        <w:rPr>
          <w:rFonts w:ascii="Calibri" w:hAnsi="Calibri" w:eastAsia="微软雅黑"/>
          <w:color w:val="auto"/>
          <w:sz w:val="22"/>
        </w:rPr>
        <w:t>基础联调测试和交付说明。</w:t>
      </w:r>
    </w:p>
    <w:p w14:paraId="4515D45F">
      <w:pPr>
        <w:rPr>
          <w:color w:val="auto"/>
        </w:rPr>
      </w:pPr>
      <w:r>
        <w:rPr>
          <w:color w:val="auto"/>
        </w:rPr>
        <w:br w:type="page"/>
      </w:r>
    </w:p>
    <w:p w14:paraId="5AA46C8B">
      <w:pPr>
        <w:pStyle w:val="3"/>
        <w:rPr>
          <w:color w:val="auto"/>
        </w:rPr>
      </w:pPr>
      <w:r>
        <w:rPr>
          <w:color w:val="auto"/>
        </w:rPr>
        <w:t>签署页</w:t>
      </w:r>
    </w:p>
    <w:p w14:paraId="27225FBD">
      <w:pPr>
        <w:spacing w:before="0" w:after="120" w:line="264" w:lineRule="auto"/>
        <w:rPr>
          <w:color w:val="auto"/>
        </w:rPr>
      </w:pPr>
      <w:r>
        <w:rPr>
          <w:rFonts w:ascii="Calibri" w:hAnsi="Calibri" w:eastAsia="微软雅黑"/>
          <w:b w:val="0"/>
          <w:color w:val="auto"/>
          <w:sz w:val="22"/>
        </w:rPr>
        <w:t>以下无正文，为《富嘉云平台二次开发合同》签署页。</w:t>
      </w:r>
    </w:p>
    <w:tbl>
      <w:tblPr>
        <w:tblStyle w:val="32"/>
        <w:tblW w:w="9360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D7095C5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EB90">
            <w:pPr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2"/>
              </w:rPr>
              <w:t>甲方：深圳市富嘉电源科技有限公司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0DA5">
            <w:pPr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22"/>
              </w:rPr>
              <w:t>乙方：深圳市圆圆正正科技有限公司</w:t>
            </w:r>
          </w:p>
        </w:tc>
      </w:tr>
      <w:tr w14:paraId="4664ED6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910F">
            <w:pPr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2"/>
              </w:rPr>
              <w:t>授权代表签字：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0FA1">
            <w:pPr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2"/>
              </w:rPr>
              <w:t>授权代表签字：</w:t>
            </w:r>
          </w:p>
        </w:tc>
      </w:tr>
      <w:tr w14:paraId="13FAD10F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7835">
            <w:pPr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2"/>
              </w:rPr>
              <w:t>盖章：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D80E">
            <w:pPr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2"/>
              </w:rPr>
              <w:t>盖章：</w:t>
            </w:r>
          </w:p>
        </w:tc>
      </w:tr>
      <w:tr w14:paraId="6E8B2493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178E">
            <w:pPr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2"/>
              </w:rPr>
              <w:t>日期：      年    月    日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C704">
            <w:pPr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color w:val="auto"/>
                <w:sz w:val="22"/>
              </w:rPr>
              <w:t>日期：      年    月    日</w:t>
            </w:r>
          </w:p>
        </w:tc>
      </w:tr>
      <w:tr w14:paraId="08B04DC0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E1E0">
            <w:pPr>
              <w:rPr>
                <w:color w:val="auto"/>
              </w:rPr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F77B">
            <w:pPr>
              <w:rPr>
                <w:color w:val="auto"/>
              </w:rPr>
            </w:pPr>
          </w:p>
        </w:tc>
      </w:tr>
      <w:tr w14:paraId="4D119BCD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AE3C">
            <w:pPr>
              <w:rPr>
                <w:color w:val="auto"/>
              </w:rPr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69FF">
            <w:pPr>
              <w:rPr>
                <w:color w:val="auto"/>
              </w:rPr>
            </w:pPr>
          </w:p>
        </w:tc>
      </w:tr>
    </w:tbl>
    <w:p w14:paraId="5CCDC4BB">
      <w:pPr>
        <w:rPr>
          <w:color w:val="auto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66872">
    <w:pPr>
      <w:pStyle w:val="24"/>
      <w:spacing w:before="0" w:after="0" w:line="264" w:lineRule="auto"/>
      <w:jc w:val="center"/>
    </w:pPr>
    <w:r>
      <w:rPr>
        <w:rFonts w:ascii="Calibri" w:hAnsi="Calibri" w:eastAsia="微软雅黑"/>
        <w:b w:val="0"/>
        <w:color w:val="6B7280"/>
        <w:sz w:val="18"/>
      </w:rPr>
      <w:t>深圳市圆圆正正科技有限公司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E3730">
    <w:pPr>
      <w:pStyle w:val="25"/>
      <w:spacing w:before="0" w:after="0" w:line="264" w:lineRule="auto"/>
      <w:jc w:val="right"/>
    </w:pPr>
    <w:r>
      <w:rPr>
        <w:rFonts w:ascii="Calibri" w:hAnsi="Calibri" w:eastAsia="微软雅黑"/>
        <w:b w:val="0"/>
        <w:color w:val="6B7280"/>
        <w:sz w:val="18"/>
      </w:rPr>
      <w:t>富嘉云平台二次开发合同 | 移动端用户质保信息功能开发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75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深圳市圆圆正正科技有限公司</dc:creator>
  <dc:description>generated by python-docx</dc:description>
  <cp:keywords>富嘉云平台, 二次开发合同, 质保信息</cp:keywords>
  <cp:lastModifiedBy>帕佐</cp:lastModifiedBy>
  <dcterms:modified xsi:type="dcterms:W3CDTF">2026-06-25T10:28:39Z</dcterms:modified>
  <dc:subject>二次开发合同</dc:subject>
  <dc:title>富嘉云平台二次开发合同-移动端用户质保信息功能开发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AE450950B05A5CC757923C6AF7C6CF58_42</vt:lpwstr>
  </property>
</Properties>
</file>