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pPr>
              <w:numPr>
                <w:ilvl w:val="1"/>
                <w:numId w:val="100"/>
              </w:numPr>
            </w:pPr>
            <w:r>
              <w:t>This document MT Messaging Procedures (Part E) is one part of a suite of documentation to help participants understand what is required to become a high value clearing system (HVCS) participant and how to send and receive individual HVCS instructions that are exception and investigation messages.</w:t>
            </w:r>
          </w:p>
        </w:tc>
      </w:tr>
    </w:tbl>
    <w:tbl>
      <w:tblPr>
        <w:tblW w:type="dxa" w:w="9638"/>
        <w:jc w:val="left"/>
        <w:tblInd w:type="dxa" w:w="0"/>
        <w:tblLayout w:type="fixed"/>
      </w:tblPr>
      <w:tblGrid>
        <w:gridCol w:w="1701"/>
        <w:gridCol w:w="7937"/>
      </w:tblGrid>
      <w:tr>
        <w:tc>
          <w:p>
            <w:pPr>
              <w:numPr>
                <w:ilvl w:val="0"/>
                <w:numId w:val="100"/>
              </w:numPr>
            </w:pPr>
          </w:p>
        </w:tc>
        <w:tc>
          <w:p>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 (this document)</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r>
              <w:t>For information on how to determine whether the content of an applicable HVCS standard in Appendix 14 creates binding legal rights or obligations, please see</w:t>
            </w:r>
          </w:p>
          <w:p>
            <w:r>
              <w:rPr>
                <w:i/>
              </w:rPr>
              <w:t>Part A - Overview.</w:t>
            </w:r>
          </w:p>
          <w:p>
            <w:r>
              <w:t>Notwithstanding anything in clause 1.8 of the Rules or in Part A — Overview, any reference to actions a person "should" take or anything a person "should" do is intended to convey a best practice with which a person should comply with only, but which has no legal effect.</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discusses the MT Messaging Procedures that apply to HVCS instructions that are exception and investigation messages.</w:t>
            </w:r>
          </w:p>
          <w:p>
            <w:pPr>
              <w:numPr>
                <w:ilvl w:val="1"/>
                <w:numId w:val="100"/>
              </w:numPr>
            </w:pPr>
            <w:r>
              <w:t>This document is divided into six chapters (noting chapters 3, 4 and 5 have been deleted).</w:t>
            </w:r>
          </w:p>
          <w:p>
            <w:pPr>
              <w:numPr>
                <w:ilvl w:val="1"/>
                <w:numId w:val="100"/>
              </w:numPr>
            </w:pPr>
            <w:r>
              <w:t>Chapter 1 provides an overview of the MT messages that are in scope and the explains the message lifecycle.</w:t>
            </w:r>
          </w:p>
          <w:p>
            <w:pPr>
              <w:numPr>
                <w:ilvl w:val="1"/>
                <w:numId w:val="100"/>
              </w:numPr>
            </w:pPr>
            <w:r>
              <w:t>Chapter 2 specifies how to format block 3 (user header) of the SWIFT message header.</w:t>
            </w:r>
          </w:p>
          <w:p>
            <w:pPr>
              <w:numPr>
                <w:ilvl w:val="1"/>
                <w:numId w:val="100"/>
              </w:numPr>
            </w:pPr>
            <w:r>
              <w:t>Chapters 3, 4 and 5 have been deleted.</w:t>
            </w:r>
          </w:p>
          <w:p>
            <w:pPr>
              <w:numPr>
                <w:ilvl w:val="1"/>
                <w:numId w:val="100"/>
              </w:numPr>
            </w:pPr>
            <w:r>
              <w:t>Chapter 6 specifies provides the ESAS rejection codes for AVP.</w:t>
            </w:r>
          </w:p>
        </w:tc>
      </w:tr>
    </w:tbl>
    <w:tbl>
      <w:tblPr>
        <w:tblW w:type="dxa" w:w="9638"/>
        <w:jc w:val="left"/>
        <w:tblInd w:type="dxa" w:w="0"/>
        <w:tblLayout w:type="fixed"/>
      </w:tblPr>
      <w:tblGrid>
        <w:gridCol w:w="1701"/>
        <w:gridCol w:w="7937"/>
      </w:tblGrid>
      <w:tr>
        <w:tc>
          <w:p>
            <w:pPr>
              <w:numPr>
                <w:ilvl w:val="0"/>
                <w:numId w:val="100"/>
              </w:numPr>
            </w:pPr>
            <w:r>
              <w:rPr>
                <w:b/>
              </w:rPr>
              <w:t>Interpretation</w:t>
            </w:r>
          </w:p>
        </w:tc>
        <w:tc>
          <w:p>
            <w:r>
              <w:t>For the purposes of these MT Messaging Procedures, all references to the following defined terms means an HVCS instruction that is an MT message:</w:t>
            </w:r>
          </w:p>
          <w:p>
            <w:pPr>
              <w:numPr>
                <w:ilvl w:val="0"/>
                <w:numId w:val="200"/>
              </w:numPr>
            </w:pPr>
            <w:r>
              <w:t>HVCS instruction;</w:t>
            </w:r>
          </w:p>
          <w:p>
            <w:pPr>
              <w:numPr>
                <w:ilvl w:val="0"/>
                <w:numId w:val="200"/>
              </w:numPr>
            </w:pPr>
            <w:r>
              <w:t>Exception and investigation message; and</w:t>
            </w:r>
          </w:p>
          <w:p>
            <w:pPr>
              <w:numPr>
                <w:ilvl w:val="0"/>
                <w:numId w:val="200"/>
              </w:numPr>
            </w:pPr>
            <w:r>
              <w:t>System message.</w:t>
            </w:r>
          </w:p>
        </w:tc>
      </w:tr>
    </w:tbl>
    <w:p>
      <w:pPr>
        <w:pStyle w:val="Heading1"/>
      </w:pPr>
      <w:r>
        <w:t>Chapter 1: MT Messages in scope</w:t>
      </w:r>
    </w:p>
    <w:tbl>
      <w:tblPr>
        <w:tblW w:type="dxa" w:w="9638"/>
        <w:jc w:val="left"/>
        <w:tblInd w:type="dxa" w:w="0"/>
        <w:tblLayout w:type="fixed"/>
      </w:tblPr>
      <w:tblGrid>
        <w:gridCol w:w="1701"/>
        <w:gridCol w:w="7937"/>
      </w:tblGrid>
      <w:tr>
        <w:tc>
          <w:p>
            <w:pPr>
              <w:numPr>
                <w:ilvl w:val="0"/>
                <w:numId w:val="100"/>
              </w:numPr>
            </w:pPr>
            <w:r>
              <w:rPr>
                <w:b/>
              </w:rPr>
              <w:t>1.1 MT messages for HVCS payments</w:t>
            </w:r>
          </w:p>
        </w:tc>
        <w:tc>
          <w:p>
            <w:r>
              <w:t>This clause has been deleted (UG2025 November 2025).</w:t>
            </w:r>
          </w:p>
        </w:tc>
      </w:tr>
    </w:tbl>
    <w:tbl>
      <w:tblPr>
        <w:tblW w:type="dxa" w:w="9638"/>
        <w:jc w:val="left"/>
        <w:tblInd w:type="dxa" w:w="0"/>
        <w:tblLayout w:type="fixed"/>
      </w:tblPr>
      <w:tblGrid>
        <w:gridCol w:w="1701"/>
        <w:gridCol w:w="7937"/>
      </w:tblGrid>
      <w:tr>
        <w:tc>
          <w:p>
            <w:pPr>
              <w:numPr>
                <w:ilvl w:val="0"/>
                <w:numId w:val="100"/>
              </w:numPr>
            </w:pPr>
            <w:r>
              <w:rPr>
                <w:b/>
              </w:rPr>
              <w:t>1.2 Other FINCopy message types</w:t>
            </w:r>
          </w:p>
        </w:tc>
        <w:tc>
          <w:p>
            <w:r>
              <w:t>This clause has been deleted (UG2025 November 2025).</w:t>
            </w:r>
          </w:p>
        </w:tc>
      </w:tr>
    </w:tbl>
    <w:tbl>
      <w:tblPr>
        <w:tblW w:type="dxa" w:w="9638"/>
        <w:jc w:val="left"/>
        <w:tblInd w:type="dxa" w:w="0"/>
        <w:tblLayout w:type="fixed"/>
      </w:tblPr>
      <w:tblGrid>
        <w:gridCol w:w="1701"/>
        <w:gridCol w:w="7937"/>
      </w:tblGrid>
      <w:tr>
        <w:tc>
          <w:p>
            <w:pPr>
              <w:numPr>
                <w:ilvl w:val="0"/>
                <w:numId w:val="100"/>
              </w:numPr>
            </w:pPr>
            <w:r>
              <w:rPr>
                <w:b/>
              </w:rPr>
              <w:t>1.3 Other FIN message types</w:t>
            </w:r>
          </w:p>
        </w:tc>
        <w:tc>
          <w:p>
            <w:r>
              <w:t>Participants exchange the MT message types described in the following table: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Message type</w:t>
                  </w:r>
                </w:p>
              </w:tc>
              <w:tc>
                <w:p>
                  <w:r>
                    <w:rPr>
                      <w:b/>
                    </w:rPr>
                    <w:t>Message name</w:t>
                  </w:r>
                </w:p>
              </w:tc>
              <w:tc>
                <w:p>
                  <w:r>
                    <w:rPr>
                      <w:b/>
                    </w:rPr>
                    <w:t>Sender</w:t>
                  </w:r>
                </w:p>
              </w:tc>
              <w:tc>
                <w:p>
                  <w:r>
                    <w:rPr>
                      <w:b/>
                    </w:rPr>
                    <w:t>Receiver</w:t>
                  </w:r>
                </w:p>
              </w:tc>
            </w:tr>
            <w:tr>
              <w:tc>
                <w:p>
                  <w:r>
                    <w:t>MTn95</w:t>
                  </w:r>
                </w:p>
              </w:tc>
              <w:tc>
                <w:p>
                  <w:pPr>
                    <w:numPr>
                      <w:ilvl w:val="0"/>
                      <w:numId w:val="200"/>
                    </w:numPr>
                  </w:pPr>
                  <w:r>
                    <w:t>A question.</w:t>
                  </w:r>
                </w:p>
                <w:p>
                  <w:pPr>
                    <w:numPr>
                      <w:ilvl w:val="0"/>
                      <w:numId w:val="200"/>
                    </w:numPr>
                  </w:pPr>
                  <w:r>
                    <w:t>Free text message.</w:t>
                  </w:r>
                </w:p>
              </w:tc>
              <w:tc>
                <w:p>
                  <w:r>
                    <w:t>Participant</w:t>
                  </w:r>
                </w:p>
              </w:tc>
              <w:tc>
                <w:p>
                  <w:r>
                    <w:t>Participant</w:t>
                  </w:r>
                </w:p>
              </w:tc>
            </w:tr>
            <w:tr>
              <w:tc>
                <w:p>
                  <w:r>
                    <w:t>MTn96</w:t>
                  </w:r>
                </w:p>
              </w:tc>
              <w:tc>
                <w:p>
                  <w:pPr>
                    <w:numPr>
                      <w:ilvl w:val="0"/>
                      <w:numId w:val="200"/>
                    </w:numPr>
                  </w:pPr>
                  <w:r>
                    <w:t>An answer.</w:t>
                  </w:r>
                </w:p>
                <w:p>
                  <w:pPr>
                    <w:numPr>
                      <w:ilvl w:val="0"/>
                      <w:numId w:val="200"/>
                    </w:numPr>
                  </w:pPr>
                  <w:r>
                    <w:t>Free text message.</w:t>
                  </w:r>
                </w:p>
              </w:tc>
              <w:tc>
                <w:p>
                  <w:r>
                    <w:t>Participant</w:t>
                  </w:r>
                </w:p>
              </w:tc>
              <w:tc>
                <w:p>
                  <w:r>
                    <w:t>Participant</w:t>
                  </w:r>
                </w:p>
              </w:tc>
            </w:tr>
            <w:tr>
              <w:tc>
                <w:p>
                  <w:r>
                    <w:t>MT011</w:t>
                  </w:r>
                </w:p>
              </w:tc>
              <w:tc>
                <w:p>
                  <w:r>
                    <w:t>Delivery notification</w:t>
                  </w:r>
                </w:p>
              </w:tc>
              <w:tc>
                <w:p>
                  <w:r>
                    <w:t>SWIFT</w:t>
                  </w:r>
                </w:p>
              </w:tc>
              <w:tc>
                <w:p>
                  <w:r>
                    <w:t>Participant</w:t>
                  </w:r>
                </w:p>
              </w:tc>
            </w:tr>
          </w:tbl>
          <w:p/>
        </w:tc>
      </w:tr>
    </w:tbl>
    <w:tbl>
      <w:tblPr>
        <w:tblW w:type="dxa" w:w="9638"/>
        <w:jc w:val="left"/>
        <w:tblInd w:type="dxa" w:w="0"/>
        <w:tblLayout w:type="fixed"/>
      </w:tblPr>
      <w:tblGrid>
        <w:gridCol w:w="1701"/>
        <w:gridCol w:w="7937"/>
      </w:tblGrid>
      <w:tr>
        <w:tc>
          <w:p>
            <w:pPr>
              <w:numPr>
                <w:ilvl w:val="0"/>
                <w:numId w:val="100"/>
              </w:numPr>
            </w:pPr>
            <w:r>
              <w:rPr>
                <w:b/>
              </w:rPr>
              <w:t>1.4 Message lifecycle</w:t>
            </w:r>
          </w:p>
        </w:tc>
        <w:tc>
          <w:p>
            <w:r>
              <w:t>This clause has been deleted (UG2025 November 2025).</w:t>
            </w:r>
          </w:p>
        </w:tc>
      </w:tr>
    </w:tbl>
    <w:p>
      <w:pPr>
        <w:pStyle w:val="Heading1"/>
      </w:pPr>
      <w:r>
        <w:t>Chapter 2: SWIFT message header details</w:t>
      </w:r>
    </w:p>
    <w:tbl>
      <w:tblPr>
        <w:tblW w:type="dxa" w:w="9638"/>
        <w:jc w:val="left"/>
        <w:tblInd w:type="dxa" w:w="0"/>
        <w:tblLayout w:type="fixed"/>
      </w:tblPr>
      <w:tblGrid>
        <w:gridCol w:w="1701"/>
        <w:gridCol w:w="7937"/>
      </w:tblGrid>
      <w:tr>
        <w:tc>
          <w:p>
            <w:pPr>
              <w:numPr>
                <w:ilvl w:val="0"/>
                <w:numId w:val="100"/>
              </w:numPr>
            </w:pPr>
            <w:r>
              <w:rPr>
                <w:b/>
              </w:rPr>
              <w:t>2.1 SWIFT message header details</w:t>
            </w:r>
          </w:p>
        </w:tc>
        <w:tc>
          <w:p>
            <w:r>
              <w:t>A SWIFT message contains the following headers:</w:t>
            </w:r>
          </w:p>
          <w:p>
            <w:pPr>
              <w:numPr>
                <w:ilvl w:val="0"/>
                <w:numId w:val="200"/>
              </w:numPr>
            </w:pPr>
            <w:r>
              <w:t>block 1 = basic header:</w:t>
            </w:r>
          </w:p>
          <w:p>
            <w:pPr>
              <w:numPr>
                <w:ilvl w:val="0"/>
                <w:numId w:val="200"/>
              </w:numPr>
            </w:pPr>
            <w:r>
              <w:t>block 2 = application header:</w:t>
            </w:r>
          </w:p>
          <w:p>
            <w:pPr>
              <w:numPr>
                <w:ilvl w:val="0"/>
                <w:numId w:val="200"/>
              </w:numPr>
            </w:pPr>
            <w:r>
              <w:t>block 3 = user header:</w:t>
            </w:r>
          </w:p>
          <w:p>
            <w:pPr>
              <w:numPr>
                <w:ilvl w:val="0"/>
                <w:numId w:val="200"/>
              </w:numPr>
            </w:pPr>
            <w:r>
              <w:t>block 4 = text:</w:t>
            </w:r>
          </w:p>
          <w:p>
            <w:pPr>
              <w:numPr>
                <w:ilvl w:val="0"/>
                <w:numId w:val="200"/>
              </w:numPr>
            </w:pPr>
            <w:r>
              <w:t>block 5 = trailers.</w:t>
            </w:r>
          </w:p>
        </w:tc>
      </w:tr>
    </w:tbl>
    <w:tbl>
      <w:tblPr>
        <w:tblW w:type="dxa" w:w="9638"/>
        <w:jc w:val="left"/>
        <w:tblInd w:type="dxa" w:w="0"/>
        <w:tblLayout w:type="fixed"/>
      </w:tblPr>
      <w:tblGrid>
        <w:gridCol w:w="1701"/>
        <w:gridCol w:w="7937"/>
      </w:tblGrid>
      <w:tr>
        <w:tc>
          <w:p>
            <w:pPr>
              <w:numPr>
                <w:ilvl w:val="0"/>
                <w:numId w:val="100"/>
              </w:numPr>
            </w:pPr>
            <w:r>
              <w:rPr>
                <w:b/>
              </w:rPr>
              <w:t>2.2 User header details</w:t>
            </w:r>
          </w:p>
        </w:tc>
        <w:tc>
          <w:p>
            <w:pPr>
              <w:numPr>
                <w:ilvl w:val="1"/>
                <w:numId w:val="100"/>
              </w:numPr>
            </w:pPr>
            <w:r>
              <w:t>The content and format of block 1 or block 2 is similar for all SWIFT messages (refer to the SWIFT User Handbook).</w:t>
            </w:r>
          </w:p>
          <w:p>
            <w:pPr>
              <w:numPr>
                <w:ilvl w:val="1"/>
                <w:numId w:val="100"/>
              </w:numPr>
            </w:pPr>
            <w:r>
              <w:t>Block 3—</w:t>
            </w:r>
          </w:p>
          <w:p>
            <w:pPr>
              <w:numPr>
                <w:ilvl w:val="2"/>
                <w:numId w:val="100"/>
              </w:numPr>
            </w:pPr>
            <w:r>
              <w:t>is mandatory for all MT messages; and</w:t>
            </w:r>
          </w:p>
          <w:p>
            <w:pPr>
              <w:numPr>
                <w:ilvl w:val="2"/>
                <w:numId w:val="100"/>
              </w:numPr>
            </w:pPr>
            <w:r>
              <w:t>contains data that is specific to HVCS.</w:t>
            </w:r>
          </w:p>
          <w:p>
            <w:pPr>
              <w:numPr>
                <w:ilvl w:val="1"/>
                <w:numId w:val="100"/>
              </w:numPr>
            </w:pPr>
            <w:r>
              <w:t>The instructing agent of a payment message</w:t>
            </w:r>
            <w:r>
              <w:t xml:space="preserve"> </w:t>
            </w:r>
            <w:r>
              <w:rPr>
                <w:b/>
              </w:rPr>
              <w:t>must</w:t>
            </w:r>
            <w:r>
              <w:t xml:space="preserve"> </w:t>
            </w:r>
            <w:r>
              <w:t>ensure that the service code (field tag 103) is AVP to ensure SWIFT know how to route the message through the RBNZ's CUG.</w:t>
            </w:r>
          </w:p>
          <w:p>
            <w:pPr>
              <w:numPr>
                <w:ilvl w:val="1"/>
                <w:numId w:val="100"/>
              </w:numPr>
            </w:pPr>
            <w:r>
              <w:t>This clause has been deleted (UG2025 November 2025).</w:t>
            </w:r>
          </w:p>
          <w:p>
            <w:pPr>
              <w:numPr>
                <w:ilvl w:val="1"/>
                <w:numId w:val="100"/>
              </w:numPr>
            </w:pPr>
            <w:r>
              <w:t>This clause has been deleted (UG2025 November 2025).</w:t>
            </w:r>
          </w:p>
          <w:p>
            <w:pPr>
              <w:numPr>
                <w:ilvl w:val="1"/>
                <w:numId w:val="100"/>
              </w:numPr>
            </w:pPr>
            <w:r>
              <w:t>This clause has been deleted (UG2025 November 2025).</w:t>
            </w:r>
          </w:p>
          <w:p>
            <w:pPr>
              <w:numPr>
                <w:ilvl w:val="1"/>
                <w:numId w:val="100"/>
              </w:numPr>
            </w:pPr>
            <w:r>
              <w:t>This clause has been deleted (UG2025 November 2025).</w:t>
            </w:r>
          </w:p>
        </w:tc>
      </w:tr>
    </w:tbl>
    <w:p>
      <w:pPr>
        <w:pStyle w:val="Heading1"/>
      </w:pPr>
      <w:r>
        <w:t>Chapter 3: Customer credit transfer (SCP)</w:t>
      </w:r>
    </w:p>
    <w:p>
      <w:r>
        <w:t>This chapter has been deleted (UG2025 November 2025).</w:t>
      </w:r>
    </w:p>
    <w:p>
      <w:pPr>
        <w:pStyle w:val="Heading1"/>
      </w:pPr>
      <w:r>
        <w:t>Chapter 4: Customer Credit Transfer (Cross border redirection)</w:t>
      </w:r>
    </w:p>
    <w:p>
      <w:r>
        <w:t>This chapter has been deleted (UG2025 November 2025).</w:t>
      </w:r>
    </w:p>
    <w:p>
      <w:pPr>
        <w:pStyle w:val="Heading1"/>
      </w:pPr>
      <w:r>
        <w:t>Chapter 5: Formats for financial institution transfers</w:t>
      </w:r>
    </w:p>
    <w:p>
      <w:r>
        <w:t>This chapter has been deleted (UG2025 November 2025).</w:t>
      </w:r>
    </w:p>
    <w:p>
      <w:pPr>
        <w:pStyle w:val="Heading1"/>
      </w:pPr>
      <w:r>
        <w:t>Chapter 6: FINCopy system messages advising HVCS payment status</w:t>
      </w:r>
    </w:p>
    <w:tbl>
      <w:tblPr>
        <w:tblW w:type="dxa" w:w="9638"/>
        <w:jc w:val="left"/>
        <w:tblInd w:type="dxa" w:w="0"/>
        <w:tblLayout w:type="fixed"/>
      </w:tblPr>
      <w:tblGrid>
        <w:gridCol w:w="1701"/>
        <w:gridCol w:w="7937"/>
      </w:tblGrid>
      <w:tr>
        <w:tc>
          <w:p>
            <w:pPr>
              <w:numPr>
                <w:ilvl w:val="0"/>
                <w:numId w:val="100"/>
              </w:numPr>
            </w:pPr>
            <w:r>
              <w:rPr>
                <w:b/>
              </w:rPr>
              <w:t>6.1 Purpose</w:t>
            </w:r>
          </w:p>
        </w:tc>
        <w:tc>
          <w:p>
            <w:pPr>
              <w:numPr>
                <w:ilvl w:val="1"/>
                <w:numId w:val="100"/>
              </w:numPr>
            </w:pPr>
            <w:r>
              <w:t>This chapter specifies—</w:t>
            </w:r>
          </w:p>
          <w:p>
            <w:pPr>
              <w:numPr>
                <w:ilvl w:val="1"/>
                <w:numId w:val="100"/>
              </w:numPr>
            </w:pPr>
            <w:r>
              <w:t>the format for 2 of the notification message types that FINCopy sends to an instructing agent—</w:t>
            </w:r>
          </w:p>
          <w:p>
            <w:pPr>
              <w:numPr>
                <w:ilvl w:val="2"/>
                <w:numId w:val="100"/>
              </w:numPr>
            </w:pPr>
            <w:r>
              <w:t>an MT012 system message - instructing agent notification; and</w:t>
            </w:r>
          </w:p>
          <w:p>
            <w:pPr>
              <w:numPr>
                <w:ilvl w:val="2"/>
                <w:numId w:val="100"/>
              </w:numPr>
            </w:pPr>
            <w:r>
              <w:t>an MT019 system message - abort notification; and</w:t>
            </w:r>
          </w:p>
          <w:p>
            <w:pPr>
              <w:numPr>
                <w:ilvl w:val="1"/>
                <w:numId w:val="100"/>
              </w:numPr>
            </w:pPr>
            <w:r>
              <w:t>the ESAS rejection codes for AVP.</w:t>
            </w:r>
          </w:p>
        </w:tc>
      </w:tr>
    </w:tbl>
    <w:tbl>
      <w:tblPr>
        <w:tblW w:type="dxa" w:w="9638"/>
        <w:jc w:val="left"/>
        <w:tblInd w:type="dxa" w:w="0"/>
        <w:tblLayout w:type="fixed"/>
      </w:tblPr>
      <w:tblGrid>
        <w:gridCol w:w="1701"/>
        <w:gridCol w:w="7937"/>
      </w:tblGrid>
      <w:tr>
        <w:tc>
          <w:p>
            <w:pPr>
              <w:numPr>
                <w:ilvl w:val="0"/>
                <w:numId w:val="100"/>
              </w:numPr>
            </w:pPr>
            <w:r>
              <w:rPr>
                <w:b/>
              </w:rPr>
              <w:t>6.2 MT012: instructing agent notification</w:t>
            </w:r>
          </w:p>
        </w:tc>
        <w:tc>
          <w:p>
            <w:pPr>
              <w:numPr>
                <w:ilvl w:val="1"/>
                <w:numId w:val="100"/>
              </w:numPr>
            </w:pPr>
            <w:r>
              <w:t>FINCopy sends an MT012 system message to notify the instructing agent that FINCopy has released the HVCS payment to the instructed agent. In AVP this occurs after the HVCS payment settles in ESAS.</w:t>
            </w:r>
          </w:p>
          <w:p>
            <w:pPr>
              <w:numPr>
                <w:ilvl w:val="1"/>
                <w:numId w:val="100"/>
              </w:numPr>
            </w:pPr>
            <w:r>
              <w:t>If the instructing agent does not receive an MT012 system message from FINCopy by 17:15, the HVCS payment may not have settled. If the instructing agent doesn't settle the HVCS payment by the end of the ESAS day, ESAS will cancel the HVCS payment.</w:t>
            </w:r>
          </w:p>
          <w:p>
            <w:pPr>
              <w:numPr>
                <w:ilvl w:val="1"/>
                <w:numId w:val="100"/>
              </w:numPr>
            </w:pPr>
            <w:r>
              <w:t>The following table specifies the format for an MT012 system message: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Rep</w:t>
                  </w:r>
                </w:p>
              </w:tc>
              <w:tc>
                <w:p>
                  <w:r>
                    <w:rPr>
                      <w:b/>
                    </w:rPr>
                    <w:t>Tag</w:t>
                  </w:r>
                </w:p>
              </w:tc>
              <w:tc>
                <w:p>
                  <w:r>
                    <w:rPr>
                      <w:b/>
                    </w:rPr>
                    <w:t>Field</w:t>
                  </w:r>
                </w:p>
              </w:tc>
              <w:tc>
                <w:p>
                  <w:r>
                    <w:rPr>
                      <w:b/>
                    </w:rPr>
                    <w:t>Content/Comments</w:t>
                  </w:r>
                </w:p>
              </w:tc>
            </w:tr>
            <w:tr>
              <w:tc>
                <w:p>
                  <w:r>
                    <w:t>1</w:t>
                  </w:r>
                </w:p>
              </w:tc>
              <w:tc>
                <w:p>
                  <w:r>
                    <w:t>175</w:t>
                  </w:r>
                </w:p>
              </w:tc>
              <w:tc>
                <w:p>
                  <w:r>
                    <w:t>Time</w:t>
                  </w:r>
                </w:p>
              </w:tc>
              <w:tc>
                <w:p>
                  <w:r>
                    <w:t>Input time (HHMM), local to the instructing agent, of the original user message.</w:t>
                  </w:r>
                </w:p>
              </w:tc>
            </w:tr>
            <w:tr>
              <w:tc>
                <w:p>
                  <w:r>
                    <w:t>1</w:t>
                  </w:r>
                </w:p>
              </w:tc>
              <w:tc>
                <w:p>
                  <w:r>
                    <w:t>106</w:t>
                  </w:r>
                </w:p>
              </w:tc>
              <w:tc>
                <w:p>
                  <w:r>
                    <w:t>MIR</w:t>
                  </w:r>
                </w:p>
              </w:tc>
              <w:tc>
                <w:p>
                  <w:r>
                    <w:t>Message Input Reference (MIR) identifying the instructing agent's copy message copied to and released by the CSI.</w:t>
                  </w:r>
                </w:p>
              </w:tc>
            </w:tr>
            <w:tr>
              <w:tc>
                <w:p>
                  <w:r>
                    <w:t>0-1</w:t>
                  </w:r>
                </w:p>
              </w:tc>
              <w:tc>
                <w:p>
                  <w:r>
                    <w:t>108</w:t>
                  </w:r>
                </w:p>
              </w:tc>
              <w:tc>
                <w:p>
                  <w:r>
                    <w:t>MUR</w:t>
                  </w:r>
                </w:p>
              </w:tc>
              <w:tc>
                <w:p>
                  <w:r>
                    <w:t>Message User Reference (MUR) used in the header of the original message.</w:t>
                  </w:r>
                </w:p>
              </w:tc>
            </w:tr>
            <w:tr>
              <w:tc>
                <w:p>
                  <w:r>
                    <w:t>1</w:t>
                  </w:r>
                </w:p>
              </w:tc>
              <w:tc>
                <w:p>
                  <w:r>
                    <w:t>102</w:t>
                  </w:r>
                </w:p>
              </w:tc>
              <w:tc>
                <w:p>
                  <w:r>
                    <w:t>SWIFT address</w:t>
                  </w:r>
                </w:p>
              </w:tc>
              <w:tc>
                <w:p>
                  <w:r>
                    <w:t>Destination BIC of the instructing agent's message. Includes the LT code.</w:t>
                  </w:r>
                </w:p>
              </w:tc>
            </w:tr>
            <w:tr>
              <w:tc>
                <w:p>
                  <w:r>
                    <w:t>1</w:t>
                  </w:r>
                </w:p>
              </w:tc>
              <w:tc>
                <w:p>
                  <w:r>
                    <w:t>103</w:t>
                  </w:r>
                </w:p>
              </w:tc>
              <w:tc>
                <w:p>
                  <w:r>
                    <w:t>Service code</w:t>
                  </w:r>
                </w:p>
              </w:tc>
              <w:tc>
                <w:p>
                  <w:r>
                    <w:t>AVP</w:t>
                  </w:r>
                </w:p>
              </w:tc>
            </w:tr>
            <w:tr>
              <w:tc>
                <w:p>
                  <w:r>
                    <w:t>1</w:t>
                  </w:r>
                </w:p>
              </w:tc>
              <w:tc>
                <w:p>
                  <w:r>
                    <w:t>114</w:t>
                  </w:r>
                </w:p>
              </w:tc>
              <w:tc>
                <w:p>
                  <w:r>
                    <w:t>Payment release information (instructing agent)</w:t>
                  </w:r>
                </w:p>
              </w:tc>
              <w:tc>
                <w:p>
                  <w:r>
                    <w:t>Information from central institution (SWIFT) to instructing agent of payment message (from field 114 of the MT097) as follows:</w:t>
                  </w:r>
                </w:p>
                <w:p>
                  <w:r>
                    <w:t>ESAS Date:</w:t>
                  </w:r>
                </w:p>
                <w:p>
                  <w:r>
                    <w:t>ESAS Time:</w:t>
                  </w:r>
                </w:p>
                <w:p>
                  <w:r>
                    <w:t>ESAS Reference Number.</w:t>
                  </w:r>
                </w:p>
              </w:tc>
            </w:tr>
          </w:tbl>
          <w:p/>
        </w:tc>
      </w:tr>
    </w:tbl>
    <w:tbl>
      <w:tblPr>
        <w:tblW w:type="dxa" w:w="9638"/>
        <w:jc w:val="left"/>
        <w:tblInd w:type="dxa" w:w="0"/>
        <w:tblLayout w:type="fixed"/>
      </w:tblPr>
      <w:tblGrid>
        <w:gridCol w:w="1701"/>
        <w:gridCol w:w="7937"/>
      </w:tblGrid>
      <w:tr>
        <w:tc>
          <w:p>
            <w:pPr>
              <w:numPr>
                <w:ilvl w:val="0"/>
                <w:numId w:val="100"/>
              </w:numPr>
            </w:pPr>
            <w:r>
              <w:rPr>
                <w:b/>
              </w:rPr>
              <w:t>6.3 MT019: abort notification</w:t>
            </w:r>
          </w:p>
        </w:tc>
        <w:tc>
          <w:p>
            <w:pPr>
              <w:numPr>
                <w:ilvl w:val="1"/>
                <w:numId w:val="100"/>
              </w:numPr>
            </w:pPr>
            <w:r>
              <w:t>If an unsettled HVCS payment in ESAS is cancelled by the instructing agent or by ESAS (at 08:30 end of day), FINCopy notifies the instructing agent of the cancellation by sending an MT019 system message to the instructing agent.</w:t>
            </w:r>
          </w:p>
          <w:p>
            <w:pPr>
              <w:numPr>
                <w:ilvl w:val="1"/>
                <w:numId w:val="100"/>
              </w:numPr>
            </w:pPr>
            <w:r>
              <w:t>An MT019 system message contains a code in field 432 specifying a reason for the abort.</w:t>
            </w:r>
          </w:p>
          <w:p>
            <w:pPr>
              <w:numPr>
                <w:ilvl w:val="1"/>
                <w:numId w:val="100"/>
              </w:numPr>
            </w:pPr>
            <w:r>
              <w:t>If the HVCS payment was not settled by the 08:30am end of day,—</w:t>
            </w:r>
          </w:p>
          <w:p>
            <w:pPr>
              <w:numPr>
                <w:ilvl w:val="2"/>
                <w:numId w:val="100"/>
              </w:numPr>
            </w:pPr>
            <w:r>
              <w:t>ESAS will cancel the HVCS payment; and</w:t>
            </w:r>
          </w:p>
          <w:p>
            <w:pPr>
              <w:numPr>
                <w:ilvl w:val="2"/>
                <w:numId w:val="100"/>
              </w:numPr>
            </w:pPr>
            <w:r>
              <w:t>ESAS will send an abort notification MT019 system message (with error code 62 — Cancelled by ESAS end of day) to the instructing agent.</w:t>
            </w:r>
          </w:p>
          <w:p>
            <w:pPr>
              <w:numPr>
                <w:ilvl w:val="1"/>
                <w:numId w:val="100"/>
              </w:numPr>
            </w:pPr>
            <w:r>
              <w:t>The following table specifies the format for an MT019 system message: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Rep</w:t>
                  </w:r>
                </w:p>
              </w:tc>
              <w:tc>
                <w:p>
                  <w:r>
                    <w:rPr>
                      <w:b/>
                    </w:rPr>
                    <w:t>Tag</w:t>
                  </w:r>
                </w:p>
              </w:tc>
              <w:tc>
                <w:p>
                  <w:r>
                    <w:rPr>
                      <w:b/>
                    </w:rPr>
                    <w:t>Field</w:t>
                  </w:r>
                </w:p>
              </w:tc>
              <w:tc>
                <w:p>
                  <w:r>
                    <w:rPr>
                      <w:b/>
                    </w:rPr>
                    <w:t>Content/Comments</w:t>
                  </w:r>
                </w:p>
              </w:tc>
            </w:tr>
            <w:tr>
              <w:tc>
                <w:p>
                  <w:r>
                    <w:t>1</w:t>
                  </w:r>
                </w:p>
              </w:tc>
              <w:tc>
                <w:p>
                  <w:r>
                    <w:t>175</w:t>
                  </w:r>
                </w:p>
              </w:tc>
              <w:tc>
                <w:p>
                  <w:r>
                    <w:t>Time</w:t>
                  </w:r>
                </w:p>
              </w:tc>
              <w:tc>
                <w:p>
                  <w:r>
                    <w:t>Input time (HHMM), local to the instructing agent, of the original user message.</w:t>
                  </w:r>
                </w:p>
              </w:tc>
            </w:tr>
            <w:tr>
              <w:tc>
                <w:p>
                  <w:r>
                    <w:t>1</w:t>
                  </w:r>
                </w:p>
              </w:tc>
              <w:tc>
                <w:p>
                  <w:r>
                    <w:t>106</w:t>
                  </w:r>
                </w:p>
              </w:tc>
              <w:tc>
                <w:p>
                  <w:r>
                    <w:t>MIR</w:t>
                  </w:r>
                </w:p>
              </w:tc>
              <w:tc>
                <w:p>
                  <w:r>
                    <w:t>Message Input Reference (MIR) identifying the instructing agent's copy message copied to and released by the CSI.</w:t>
                  </w:r>
                </w:p>
              </w:tc>
            </w:tr>
            <w:tr>
              <w:tc>
                <w:p>
                  <w:r>
                    <w:t>0-1</w:t>
                  </w:r>
                </w:p>
              </w:tc>
              <w:tc>
                <w:p>
                  <w:r>
                    <w:t>108</w:t>
                  </w:r>
                </w:p>
              </w:tc>
              <w:tc>
                <w:p>
                  <w:r>
                    <w:t>MUR</w:t>
                  </w:r>
                </w:p>
              </w:tc>
              <w:tc>
                <w:p>
                  <w:r>
                    <w:t>Message User Reference (MUR) used in the header of the original message.</w:t>
                  </w:r>
                </w:p>
              </w:tc>
            </w:tr>
            <w:tr>
              <w:tc>
                <w:p>
                  <w:r>
                    <w:t>1</w:t>
                  </w:r>
                </w:p>
              </w:tc>
              <w:tc>
                <w:p>
                  <w:r>
                    <w:t>102</w:t>
                  </w:r>
                </w:p>
              </w:tc>
              <w:tc>
                <w:p>
                  <w:r>
                    <w:t>SWIFT address</w:t>
                  </w:r>
                </w:p>
              </w:tc>
              <w:tc>
                <w:p>
                  <w:pPr>
                    <w:numPr>
                      <w:ilvl w:val="0"/>
                      <w:numId w:val="200"/>
                    </w:numPr>
                  </w:pPr>
                  <w:r>
                    <w:t>Destination BIC of the aborted message.</w:t>
                  </w:r>
                </w:p>
                <w:p>
                  <w:pPr>
                    <w:numPr>
                      <w:ilvl w:val="0"/>
                      <w:numId w:val="200"/>
                    </w:numPr>
                  </w:pPr>
                  <w:r>
                    <w:t>Includes the LT code.</w:t>
                  </w:r>
                </w:p>
              </w:tc>
            </w:tr>
            <w:tr>
              <w:tc>
                <w:p>
                  <w:r>
                    <w:t>0-1</w:t>
                  </w:r>
                </w:p>
              </w:tc>
              <w:tc>
                <w:p>
                  <w:r>
                    <w:t>107</w:t>
                  </w:r>
                </w:p>
              </w:tc>
              <w:tc>
                <w:p>
                  <w:r>
                    <w:t>MOR</w:t>
                  </w:r>
                </w:p>
              </w:tc>
              <w:tc>
                <w:p>
                  <w:pPr>
                    <w:numPr>
                      <w:ilvl w:val="0"/>
                      <w:numId w:val="200"/>
                    </w:numPr>
                  </w:pPr>
                  <w:r>
                    <w:t>Message Output Reference (MOR) of the aborted message.</w:t>
                  </w:r>
                </w:p>
                <w:p>
                  <w:pPr>
                    <w:numPr>
                      <w:ilvl w:val="0"/>
                      <w:numId w:val="200"/>
                    </w:numPr>
                  </w:pPr>
                  <w:r>
                    <w:t>If several delivery attempts have been made, field 107 contains the last valid MOR.</w:t>
                  </w:r>
                </w:p>
              </w:tc>
            </w:tr>
            <w:tr>
              <w:tc>
                <w:p>
                  <w:r>
                    <w:t>1</w:t>
                  </w:r>
                </w:p>
              </w:tc>
              <w:tc>
                <w:p>
                  <w:r>
                    <w:t>432</w:t>
                  </w:r>
                </w:p>
              </w:tc>
              <w:tc>
                <w:p>
                  <w:r>
                    <w:t>Abort reason</w:t>
                  </w:r>
                </w:p>
              </w:tc>
              <w:tc>
                <w:p>
                  <w:r>
                    <w:t>Refer to the table in clause 6.4 containing ESAS rejection codes and the SWIFT FIN error codes for the SWIFT generated codes returned in this field.</w:t>
                  </w:r>
                </w:p>
              </w:tc>
            </w:tr>
          </w:tbl>
          <w:p/>
        </w:tc>
      </w:tr>
    </w:tbl>
    <w:tbl>
      <w:tblPr>
        <w:tblW w:type="dxa" w:w="9638"/>
        <w:jc w:val="left"/>
        <w:tblInd w:type="dxa" w:w="0"/>
        <w:tblLayout w:type="fixed"/>
      </w:tblPr>
      <w:tblGrid>
        <w:gridCol w:w="1701"/>
        <w:gridCol w:w="7937"/>
      </w:tblGrid>
      <w:tr>
        <w:tc>
          <w:p>
            <w:pPr>
              <w:numPr>
                <w:ilvl w:val="0"/>
                <w:numId w:val="100"/>
              </w:numPr>
            </w:pPr>
            <w:r>
              <w:rPr>
                <w:b/>
              </w:rPr>
              <w:t>6.4 ESAS rejection codes</w:t>
            </w:r>
          </w:p>
        </w:tc>
        <w:tc>
          <w:p>
            <w:r>
              <w:t>The following table contains ESAS rejection codes for AVP and SBI and explanations of why ESAS applies each code when ESAS validates the structure of an MT096 system message but the content of the message fails business rules validation:</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Code</w:t>
            </w:r>
          </w:p>
        </w:tc>
        <w:tc>
          <w:p>
            <w:r>
              <w:rPr>
                <w:b/>
              </w:rPr>
              <w:t>Reason Type</w:t>
            </w:r>
          </w:p>
        </w:tc>
        <w:tc>
          <w:p>
            <w:r>
              <w:rPr>
                <w:b/>
              </w:rPr>
              <w:t>Summary</w:t>
            </w:r>
          </w:p>
        </w:tc>
      </w:tr>
      <w:tr>
        <w:tc>
          <w:p>
            <w:r>
              <w:t>61</w:t>
            </w:r>
          </w:p>
        </w:tc>
        <w:tc>
          <w:p>
            <w:r>
              <w:t>The payment cannot be validated because of some serious or fundamental problem with the message</w:t>
            </w:r>
          </w:p>
        </w:tc>
        <w:tc>
          <w:p>
            <w:r>
              <w:t>The construction of the message does not conform to the ESAS application specifications.</w:t>
            </w:r>
          </w:p>
        </w:tc>
      </w:tr>
      <w:tr>
        <w:tc>
          <w:p>
            <w:r>
              <w:t>62</w:t>
            </w:r>
          </w:p>
        </w:tc>
        <w:tc>
          <w:p>
            <w:r>
              <w:t>AVP — Assured Value Payment</w:t>
            </w:r>
          </w:p>
          <w:p>
            <w:r>
              <w:t>The payment instruction has one or more validation errors, such as:</w:t>
            </w:r>
          </w:p>
        </w:tc>
        <w:tc>
          <w:p>
            <w:r>
              <w:t/>
            </w:r>
          </w:p>
        </w:tc>
      </w:tr>
      <w:tr>
        <w:tc>
          <w:p>
            <w:r>
              <w:t>62.1</w:t>
            </w:r>
          </w:p>
        </w:tc>
        <w:tc>
          <w:p>
            <w:r>
              <w:t>Duplicate tags</w:t>
            </w:r>
          </w:p>
        </w:tc>
        <w:tc>
          <w:p>
            <w:r>
              <w:t>A payment instruction will be validated against the following:</w:t>
            </w:r>
          </w:p>
          <w:p>
            <w:pPr>
              <w:numPr>
                <w:ilvl w:val="0"/>
                <w:numId w:val="200"/>
              </w:numPr>
            </w:pPr>
            <w:r>
              <w:t>OCD — Originator BIC of the message (Instructing agent)</w:t>
            </w:r>
          </w:p>
          <w:p>
            <w:pPr>
              <w:numPr>
                <w:ilvl w:val="0"/>
                <w:numId w:val="200"/>
              </w:numPr>
            </w:pPr>
            <w:r>
              <w:t>ODT — Originator Date (Calendar Date) when message is submitted</w:t>
            </w:r>
          </w:p>
          <w:p>
            <w:pPr>
              <w:numPr>
                <w:ilvl w:val="0"/>
                <w:numId w:val="200"/>
              </w:numPr>
            </w:pPr>
            <w:r>
              <w:t>ORF — Originator Reference assigned by the settlement bank (MT Tag 20)</w:t>
            </w:r>
          </w:p>
          <w:p>
            <w:pPr>
              <w:numPr>
                <w:ilvl w:val="0"/>
                <w:numId w:val="200"/>
              </w:numPr>
            </w:pPr>
            <w:r>
              <w:t>FSVD — Funds Settlement value day in the RTGS.</w:t>
            </w:r>
          </w:p>
          <w:p>
            <w:r>
              <w:t>Then, if the above conditions are the same as a previously processed message, and if Block 4 (Tag 32A DATE/CCY/AMT) is different, the member will have an Error 62 - Duplicate Tag returned.</w:t>
            </w:r>
          </w:p>
        </w:tc>
      </w:tr>
      <w:tr>
        <w:tc>
          <w:p>
            <w:r>
              <w:t>62.2</w:t>
            </w:r>
          </w:p>
        </w:tc>
        <w:tc>
          <w:p>
            <w:r>
              <w:t>The Instructing or Instructed agents are inactivated or unknown.</w:t>
            </w:r>
          </w:p>
        </w:tc>
        <w:tc>
          <w:p>
            <w:r>
              <w:t>The instructing or instructed agent has been inactivated, or the BIC has not configured for use in ESAS.</w:t>
            </w:r>
          </w:p>
        </w:tc>
      </w:tr>
      <w:tr>
        <w:tc>
          <w:p>
            <w:r>
              <w:t>62.3</w:t>
            </w:r>
          </w:p>
        </w:tc>
        <w:tc>
          <w:p>
            <w:r>
              <w:t>Invalid settlement date</w:t>
            </w:r>
          </w:p>
        </w:tc>
        <w:tc>
          <w:p>
            <w:r>
              <w:t>The payment instruction Settlement Date must not exceed 14 business days from the date the instruction was received in ESAS. The payment Settlement Date is a non-business date or a date in the past.</w:t>
            </w:r>
          </w:p>
        </w:tc>
      </w:tr>
      <w:tr>
        <w:tc>
          <w:p>
            <w:r>
              <w:t>62.4</w:t>
            </w:r>
          </w:p>
        </w:tc>
        <w:tc>
          <w:p>
            <w:r>
              <w:t>Instructing agent failed to activate an instruction</w:t>
            </w:r>
          </w:p>
        </w:tc>
        <w:tc>
          <w:p>
            <w:r>
              <w:t>The instructing agent does not activate the payment instruction in ESAS before end of day (only applicable to payments that have the payer-to-activate flag applied).</w:t>
            </w:r>
          </w:p>
        </w:tc>
      </w:tr>
      <w:tr>
        <w:tc>
          <w:p>
            <w:r>
              <w:t>62.5</w:t>
            </w:r>
          </w:p>
        </w:tc>
        <w:tc>
          <w:p>
            <w:r>
              <w:t>Invalid amount</w:t>
            </w:r>
          </w:p>
        </w:tc>
        <w:tc>
          <w:p>
            <w:r>
              <w:t>The payment instruction must be in NZD</w:t>
            </w:r>
          </w:p>
        </w:tc>
      </w:tr>
      <w:tr>
        <w:tc>
          <w:p>
            <w:r>
              <w:t>63</w:t>
            </w:r>
          </w:p>
        </w:tc>
        <w:tc>
          <w:p>
            <w:r>
              <w:t>The payment was discarded due to insufficient funds (EOD cancellation)</w:t>
            </w:r>
          </w:p>
        </w:tc>
        <w:tc>
          <w:p>
            <w:r>
              <w:t>Payment instruction did not settle before the EOD event started in ESAS.</w:t>
            </w:r>
          </w:p>
        </w:tc>
      </w:tr>
      <w:tr>
        <w:tc>
          <w:p>
            <w:r>
              <w:t>65</w:t>
            </w:r>
          </w:p>
        </w:tc>
        <w:tc>
          <w:p>
            <w:r>
              <w:t>The payment was removed by the Settlement Bank</w:t>
            </w:r>
          </w:p>
        </w:tc>
        <w:tc>
          <w:p>
            <w:r>
              <w:t>The payment instruction was either removed or discarded from the ESAS by the Settlement Bank.</w:t>
            </w:r>
          </w:p>
        </w:tc>
      </w:tr>
      <w:tr>
        <w:tc>
          <w:p>
            <w:r>
              <w:t>66</w:t>
            </w:r>
          </w:p>
        </w:tc>
        <w:tc>
          <w:p>
            <w:r>
              <w:t>Duplicate SWIFT message — AVP (Assured Value Payment)</w:t>
            </w:r>
          </w:p>
        </w:tc>
        <w:tc>
          <w:p>
            <w:r>
              <w:t>A payment instruction will be validated against the following:</w:t>
            </w:r>
          </w:p>
          <w:p>
            <w:pPr>
              <w:numPr>
                <w:ilvl w:val="0"/>
                <w:numId w:val="200"/>
              </w:numPr>
            </w:pPr>
            <w:r>
              <w:t>OCD — Originator BIC of the message (Instructing agent)</w:t>
            </w:r>
          </w:p>
          <w:p>
            <w:pPr>
              <w:numPr>
                <w:ilvl w:val="0"/>
                <w:numId w:val="200"/>
              </w:numPr>
            </w:pPr>
            <w:r>
              <w:t>ODT — Originator Date (Calendar Date) when message is submitted</w:t>
            </w:r>
          </w:p>
          <w:p>
            <w:pPr>
              <w:numPr>
                <w:ilvl w:val="0"/>
                <w:numId w:val="200"/>
              </w:numPr>
            </w:pPr>
            <w:r>
              <w:t>ORF — Originator Reference assigned by the settlement bank (MT Tag 20)</w:t>
            </w:r>
          </w:p>
          <w:p>
            <w:pPr>
              <w:numPr>
                <w:ilvl w:val="0"/>
                <w:numId w:val="200"/>
              </w:numPr>
            </w:pPr>
            <w:r>
              <w:t>FSVD — Funds Settlement value day in the RTGS.</w:t>
            </w:r>
          </w:p>
          <w:p>
            <w:r>
              <w:t>Then, if the above conditions are the same, and if Block 4 (Tag 32A DATE/CCY/AMT) are exactly the same, then the member will have an Error 66 Duplicate Instruction (Exact Duplicate) returned.</w:t>
            </w:r>
          </w:p>
        </w:tc>
      </w:tr>
      <w:tr>
        <w:tc>
          <w:p>
            <w:r>
              <w:t>66</w:t>
            </w:r>
          </w:p>
        </w:tc>
        <w:tc>
          <w:p>
            <w:r>
              <w:t>Duplicate SWIFT message — SBI (Settlement Before Interchange)</w:t>
            </w:r>
          </w:p>
        </w:tc>
        <w:tc>
          <w:p>
            <w:r>
              <w:t>A payment instruction will be validated against the following:</w:t>
            </w:r>
          </w:p>
          <w:p>
            <w:pPr>
              <w:numPr>
                <w:ilvl w:val="0"/>
                <w:numId w:val="200"/>
              </w:numPr>
            </w:pPr>
            <w:r>
              <w:t>ORF - Originator Reference = &lt;FileId&gt;</w:t>
            </w:r>
          </w:p>
          <w:p>
            <w:pPr>
              <w:numPr>
                <w:ilvl w:val="0"/>
                <w:numId w:val="200"/>
              </w:numPr>
            </w:pPr>
            <w:r>
              <w:t>ODT - Originator date &lt;IntrBkSttlmDt&gt;</w:t>
            </w:r>
          </w:p>
          <w:p>
            <w:pPr>
              <w:numPr>
                <w:ilvl w:val="0"/>
                <w:numId w:val="200"/>
              </w:numPr>
            </w:pPr>
            <w:r>
              <w:t>OCD - Originator BIC code - &lt;Instructing agent&gt;&lt;FullName&gt;&lt;X1&gt;</w:t>
            </w:r>
          </w:p>
          <w:p>
            <w:r>
              <w:t>The system will check for duplicates according to the following logic:</w:t>
            </w:r>
          </w:p>
          <w:p>
            <w:pPr>
              <w:numPr>
                <w:ilvl w:val="0"/>
                <w:numId w:val="200"/>
              </w:numPr>
            </w:pPr>
            <w:r>
              <w:t>If the OCD, ORF and the ODT are the same as a previously processed instruction, the system will reject the instruction immediately.</w:t>
            </w:r>
          </w:p>
          <w:p>
            <w:pPr>
              <w:numPr>
                <w:ilvl w:val="0"/>
                <w:numId w:val="200"/>
              </w:numPr>
            </w:pPr>
            <w:r>
              <w:t>If only the ORF is different, but the payment detail is the same as a previously processed instruction then the system will process the instruction.</w:t>
            </w:r>
          </w:p>
          <w:p>
            <w:pPr>
              <w:numPr>
                <w:ilvl w:val="0"/>
                <w:numId w:val="200"/>
              </w:numPr>
            </w:pPr>
            <w:r>
              <w:t>If only the OCD is different, but the payment detail is the same as a previously processed instruction then the system will process the instruction.</w:t>
            </w:r>
          </w:p>
          <w:p>
            <w:r>
              <w:t>The payment detail that is compared is the following:</w:t>
            </w:r>
          </w:p>
          <w:p>
            <w:pPr>
              <w:numPr>
                <w:ilvl w:val="0"/>
                <w:numId w:val="200"/>
              </w:numPr>
            </w:pPr>
            <w:r>
              <w:t>Instructing agent Reference - &lt;Instructing agent Reference&gt;</w:t>
            </w:r>
          </w:p>
          <w:p>
            <w:pPr>
              <w:numPr>
                <w:ilvl w:val="0"/>
                <w:numId w:val="200"/>
              </w:numPr>
            </w:pPr>
            <w:r>
              <w:t>Originator Reference Number:&lt;UserReference&gt;</w:t>
            </w:r>
          </w:p>
          <w:p>
            <w:pPr>
              <w:numPr>
                <w:ilvl w:val="0"/>
                <w:numId w:val="200"/>
              </w:numPr>
            </w:pPr>
            <w:r>
              <w:t>Beneficiary Bank: &lt;Dbtr&gt;&lt;BIC&gt;</w:t>
            </w:r>
          </w:p>
          <w:p>
            <w:pPr>
              <w:numPr>
                <w:ilvl w:val="0"/>
                <w:numId w:val="200"/>
              </w:numPr>
            </w:pPr>
            <w:r>
              <w:t>Paying bank: &lt;Cdtr&gt;&lt;BIC&gt;</w:t>
            </w:r>
          </w:p>
          <w:p>
            <w:pPr>
              <w:numPr>
                <w:ilvl w:val="0"/>
                <w:numId w:val="200"/>
              </w:numPr>
            </w:pPr>
            <w:r>
              <w:t>Amount: &lt;TtlIntrBkSttlmAmt&gt;</w:t>
            </w:r>
          </w:p>
        </w:tc>
      </w:tr>
      <w:tr>
        <w:tc>
          <w:p>
            <w:r>
              <w:t>67</w:t>
            </w:r>
          </w:p>
        </w:tc>
        <w:tc>
          <w:p>
            <w:r>
              <w:t>Discarded due to non-settlement day</w:t>
            </w:r>
          </w:p>
        </w:tc>
        <w:tc>
          <w:p>
            <w:r>
              <w:t>The payment message must have a Settlement Date that is NZ business day for:</w:t>
            </w:r>
          </w:p>
          <w:p>
            <w:pPr>
              <w:numPr>
                <w:ilvl w:val="0"/>
                <w:numId w:val="200"/>
              </w:numPr>
            </w:pPr>
            <w:r>
              <w:t>AVP</w:t>
            </w:r>
          </w:p>
        </w:tc>
      </w:tr>
    </w:tbl>
    <w:p/>
    <w:p>
      <w:r>
        <w:t>6.5 AVP MT CUG service parameters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Parameter</w:t>
            </w:r>
          </w:p>
        </w:tc>
        <w:tc>
          <w:p>
            <w:r>
              <w:rPr>
                <w:b/>
              </w:rPr>
              <w:t>Value</w:t>
            </w:r>
          </w:p>
        </w:tc>
      </w:tr>
      <w:tr>
        <w:tc>
          <w:p>
            <w:r>
              <w:t>FIN Copy service identifier code</w:t>
            </w:r>
          </w:p>
        </w:tc>
        <w:tc>
          <w:p>
            <w:r>
              <w:t>AVP</w:t>
            </w:r>
          </w:p>
        </w:tc>
      </w:tr>
      <w:tr>
        <w:tc>
          <w:p>
            <w:r>
              <w:t>Country</w:t>
            </w:r>
          </w:p>
        </w:tc>
        <w:tc>
          <w:p>
            <w:r>
              <w:t>New Zealand</w:t>
            </w:r>
          </w:p>
        </w:tc>
      </w:tr>
      <w:tr>
        <w:tc>
          <w:p>
            <w:r>
              <w:t>Service type</w:t>
            </w:r>
          </w:p>
        </w:tc>
        <w:tc>
          <w:p>
            <w:r>
              <w:t>Y-Copy</w:t>
            </w:r>
          </w:p>
        </w:tc>
      </w:tr>
    </w:tbl>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Parameter</w:t>
            </w:r>
          </w:p>
        </w:tc>
        <w:tc>
          <w:p>
            <w:r>
              <w:rPr>
                <w:b/>
              </w:rPr>
              <w:t>Live</w:t>
            </w:r>
          </w:p>
        </w:tc>
        <w:tc>
          <w:p>
            <w:r>
              <w:rPr>
                <w:b/>
              </w:rPr>
              <w:t>Test and training</w:t>
            </w:r>
          </w:p>
        </w:tc>
      </w:tr>
      <w:tr>
        <w:tc>
          <w:p>
            <w:r>
              <w:t>Value added service identifier</w:t>
            </w:r>
          </w:p>
        </w:tc>
        <w:tc>
          <w:p>
            <w:r>
              <w:t>AVP</w:t>
            </w:r>
          </w:p>
        </w:tc>
        <w:tc>
          <w:p>
            <w:r>
              <w:t>AVP</w:t>
            </w:r>
          </w:p>
        </w:tc>
      </w:tr>
      <w:tr>
        <w:tc>
          <w:p>
            <w:r>
              <w:t>Live service flag</w:t>
            </w:r>
          </w:p>
          <w:p>
            <w:r>
              <w:t>(live = Y, T&amp;T = N)</w:t>
            </w:r>
          </w:p>
        </w:tc>
        <w:tc>
          <w:p>
            <w:r>
              <w:t>Y</w:t>
            </w:r>
          </w:p>
        </w:tc>
        <w:tc>
          <w:p>
            <w:r>
              <w:t>N</w:t>
            </w:r>
          </w:p>
        </w:tc>
      </w:tr>
      <w:tr>
        <w:tc>
          <w:p>
            <w:r>
              <w:t>Value added service number</w:t>
            </w:r>
          </w:p>
        </w:tc>
        <w:tc>
          <w:p>
            <w:r>
              <w:t>8</w:t>
            </w:r>
          </w:p>
        </w:tc>
        <w:tc>
          <w:p>
            <w:r>
              <w:t>7</w:t>
            </w:r>
          </w:p>
        </w:tc>
      </w:tr>
      <w:tr>
        <w:tc>
          <w:p>
            <w:r>
              <w:t>CID id</w:t>
            </w:r>
          </w:p>
        </w:tc>
        <w:tc>
          <w:p>
            <w:r>
              <w:t>ESASNZ2W</w:t>
            </w:r>
          </w:p>
        </w:tc>
        <w:tc>
          <w:p>
            <w:r>
              <w:t>ESASNZ20</w:t>
            </w:r>
          </w:p>
        </w:tc>
      </w:tr>
      <w:tr>
        <w:tc>
          <w:p>
            <w:r>
              <w:t>Authentication mode</w:t>
            </w:r>
          </w:p>
          <w:p>
            <w:r>
              <w:t>(normal = 1, double = 2)</w:t>
            </w:r>
          </w:p>
        </w:tc>
        <w:tc>
          <w:p>
            <w:r>
              <w:t>2</w:t>
            </w:r>
          </w:p>
        </w:tc>
        <w:tc>
          <w:p>
            <w:r>
              <w:t>2</w:t>
            </w:r>
          </w:p>
        </w:tc>
      </w:tr>
      <w:tr>
        <w:tc>
          <w:p>
            <w:r>
              <w:t>Full copy flag</w:t>
            </w:r>
          </w:p>
          <w:p>
            <w:r>
              <w:t>(full copy = Y, part copy = N)</w:t>
            </w:r>
          </w:p>
        </w:tc>
        <w:tc>
          <w:p>
            <w:r>
              <w:t>N</w:t>
            </w:r>
          </w:p>
        </w:tc>
        <w:tc>
          <w:p>
            <w:r>
              <w:t>N</w:t>
            </w:r>
          </w:p>
        </w:tc>
      </w:tr>
      <w:tr>
        <w:tc>
          <w:p>
            <w:r>
              <w:t>Value date range</w:t>
            </w:r>
          </w:p>
          <w:p>
            <w:r>
              <w:t>(same day = 0, day n = n, no check=99)</w:t>
            </w:r>
          </w:p>
        </w:tc>
        <w:tc>
          <w:p>
            <w:r>
              <w:t>99</w:t>
            </w:r>
          </w:p>
        </w:tc>
        <w:tc>
          <w:p>
            <w:r>
              <w:t>99</w:t>
            </w:r>
          </w:p>
        </w:tc>
      </w:tr>
      <w:tr>
        <w:tc>
          <w:p>
            <w:r>
              <w:t>Currency code</w:t>
            </w:r>
          </w:p>
        </w:tc>
        <w:tc>
          <w:p>
            <w:r>
              <w:t>NZD</w:t>
            </w:r>
          </w:p>
        </w:tc>
        <w:tc>
          <w:p>
            <w:r>
              <w:t>NZD</w:t>
            </w:r>
          </w:p>
        </w:tc>
      </w:tr>
    </w:tbl>
    <w:p/>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MT Procedures</dc:title>
  <dc:creator>MIXT</dc:creator>
  <cp:lastModifiedBy>MIXT</cp:lastModifiedBy>
  <dcterms:created xsi:type="dcterms:W3CDTF">2025-01-21T23:59:00Z</dcterms:created>
  <dcterms:modified xsi:type="dcterms:W3CDTF">2025-01-21T23:59:00Z</dcterms:modified>
</cp:coreProperties>
</file>