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FF884" w14:textId="77777777" w:rsidR="00ED51A5" w:rsidRPr="009F5ED7" w:rsidRDefault="00ED51A5" w:rsidP="003041F5">
      <w:pPr>
        <w:rPr>
          <w:rFonts w:asciiTheme="majorHAnsi" w:eastAsiaTheme="majorEastAsia" w:hAnsiTheme="majorHAnsi" w:cstheme="majorBidi"/>
          <w:color w:val="2F5496" w:themeColor="accent1" w:themeShade="BF"/>
          <w:sz w:val="32"/>
          <w:szCs w:val="32"/>
          <w:lang w:val="en-US"/>
        </w:rPr>
      </w:pPr>
      <w:r w:rsidRPr="009F5ED7">
        <w:rPr>
          <w:rFonts w:asciiTheme="majorHAnsi" w:eastAsiaTheme="majorEastAsia" w:hAnsiTheme="majorHAnsi" w:cstheme="majorBidi"/>
          <w:color w:val="2F5496" w:themeColor="accent1" w:themeShade="BF"/>
          <w:sz w:val="32"/>
          <w:szCs w:val="32"/>
          <w:lang w:val="en-US"/>
        </w:rPr>
        <w:t>Regulation of wage calculation</w:t>
      </w:r>
    </w:p>
    <w:p w14:paraId="18BF2E10" w14:textId="718FE1A2" w:rsidR="003041F5" w:rsidRPr="009F5ED7" w:rsidRDefault="00ED51A5" w:rsidP="003041F5">
      <w:pPr>
        <w:rPr>
          <w:lang w:val="en-US"/>
        </w:rPr>
      </w:pPr>
      <w:r w:rsidRPr="009F5ED7">
        <w:rPr>
          <w:noProof/>
          <w:lang w:val="en-US"/>
        </w:rPr>
        <w:drawing>
          <wp:inline distT="0" distB="0" distL="0" distR="0" wp14:anchorId="12F9A982" wp14:editId="390E383A">
            <wp:extent cx="3802455" cy="2044010"/>
            <wp:effectExtent l="0" t="0" r="762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816218" cy="2051408"/>
                    </a:xfrm>
                    <a:prstGeom prst="rect">
                      <a:avLst/>
                    </a:prstGeom>
                  </pic:spPr>
                </pic:pic>
              </a:graphicData>
            </a:graphic>
          </wp:inline>
        </w:drawing>
      </w:r>
    </w:p>
    <w:p w14:paraId="18666756" w14:textId="77777777" w:rsidR="00ED51A5" w:rsidRPr="009F5ED7" w:rsidRDefault="00ED51A5" w:rsidP="00590493">
      <w:pPr>
        <w:rPr>
          <w:i/>
          <w:iCs/>
          <w:sz w:val="24"/>
          <w:szCs w:val="24"/>
          <w:lang w:val="en-US"/>
        </w:rPr>
      </w:pPr>
      <w:r w:rsidRPr="009F5ED7">
        <w:rPr>
          <w:i/>
          <w:iCs/>
          <w:sz w:val="24"/>
          <w:szCs w:val="24"/>
          <w:lang w:val="en-US"/>
        </w:rPr>
        <w:t>Standardize wage calculation with regulations</w:t>
      </w:r>
    </w:p>
    <w:p w14:paraId="7B24AA81" w14:textId="77777777" w:rsidR="009F5ED7" w:rsidRPr="009F5ED7" w:rsidRDefault="009F5ED7" w:rsidP="009F5ED7">
      <w:pPr>
        <w:rPr>
          <w:lang w:val="en-US"/>
        </w:rPr>
      </w:pPr>
      <w:r w:rsidRPr="009F5ED7">
        <w:rPr>
          <w:lang w:val="en-US"/>
        </w:rPr>
        <w:t>A central aspect in the complexity of wage calculation is the fact that the wage information comes from different sources. Due to the lack of a standard in wage calculation, it is up to the wage software to standardize and integrate the wage data. Even more difficult for the software house is to maintain a wide range of expert knowledge. Extraordinary and short-term regulatory changes bring payroll software manufacturers to their implementation limits.</w:t>
      </w:r>
    </w:p>
    <w:p w14:paraId="48AE126B" w14:textId="7D34F490" w:rsidR="009F5ED7" w:rsidRPr="009F5ED7" w:rsidRDefault="009F5ED7" w:rsidP="009F5ED7">
      <w:pPr>
        <w:rPr>
          <w:lang w:val="en-US"/>
        </w:rPr>
      </w:pPr>
      <w:r w:rsidRPr="009F5ED7">
        <w:rPr>
          <w:lang w:val="en-US"/>
        </w:rPr>
        <w:t xml:space="preserve">To reduce this complexity, </w:t>
      </w:r>
      <w:r w:rsidR="001E1750">
        <w:rPr>
          <w:lang w:val="en-US"/>
        </w:rPr>
        <w:t xml:space="preserve">the </w:t>
      </w:r>
      <w:r w:rsidR="001E1750" w:rsidRPr="001E1750">
        <w:rPr>
          <w:i/>
          <w:iCs/>
          <w:lang w:val="en-US"/>
        </w:rPr>
        <w:t>Payroll Engine</w:t>
      </w:r>
      <w:r w:rsidRPr="009F5ED7">
        <w:rPr>
          <w:lang w:val="en-US"/>
        </w:rPr>
        <w:t xml:space="preserve"> has formalized the wage definition into regulations, which are separated from the software core and divided among the involved parties/sources. The layering of regulations results in the client-specific wage calculation. The payment contains the basic elements of data processing (</w:t>
      </w:r>
      <w:hyperlink r:id="rId6" w:history="1">
        <w:r w:rsidRPr="009F5ED7">
          <w:rPr>
            <w:rStyle w:val="Hyperlink"/>
            <w:lang w:val="en-US"/>
          </w:rPr>
          <w:t>IPO model</w:t>
        </w:r>
      </w:hyperlink>
      <w:r w:rsidRPr="009F5ED7">
        <w:rPr>
          <w:lang w:val="en-US"/>
        </w:rPr>
        <w:t>: input</w:t>
      </w:r>
      <w:r>
        <w:rPr>
          <w:lang w:val="en-US"/>
        </w:rPr>
        <w:t>-</w:t>
      </w:r>
      <w:r w:rsidRPr="009F5ED7">
        <w:rPr>
          <w:lang w:val="en-US"/>
        </w:rPr>
        <w:t>process</w:t>
      </w:r>
      <w:r>
        <w:rPr>
          <w:lang w:val="en-US"/>
        </w:rPr>
        <w:t>-</w:t>
      </w:r>
      <w:r w:rsidRPr="009F5ED7">
        <w:rPr>
          <w:lang w:val="en-US"/>
        </w:rPr>
        <w:t>output) of wage-related information.</w:t>
      </w:r>
    </w:p>
    <w:p w14:paraId="590580F1" w14:textId="77777777" w:rsidR="009F5ED7" w:rsidRPr="009F5ED7" w:rsidRDefault="009F5ED7" w:rsidP="009F5ED7">
      <w:pPr>
        <w:rPr>
          <w:lang w:val="en-US"/>
        </w:rPr>
      </w:pPr>
      <w:r w:rsidRPr="009F5ED7">
        <w:rPr>
          <w:lang w:val="en-US"/>
        </w:rPr>
        <w:t>Data input is performed by the case payment object, which contains the case data in fields. For example, the employee case Change of Address contains the fields Street, Postal Code and City. By means of dependency between cases, complex cases such as employee entry can be divided and mapped.</w:t>
      </w:r>
    </w:p>
    <w:p w14:paraId="433070DF" w14:textId="77777777" w:rsidR="009F5ED7" w:rsidRPr="009F5ED7" w:rsidRDefault="009F5ED7" w:rsidP="009F5ED7">
      <w:pPr>
        <w:rPr>
          <w:lang w:val="en-US"/>
        </w:rPr>
      </w:pPr>
      <w:r w:rsidRPr="009F5ED7">
        <w:rPr>
          <w:lang w:val="en-US"/>
        </w:rPr>
        <w:t>The wage data is processed in the wage run using the wage type and collector regulation objects. Wage types are calculated in numerical order. The wage type result is transferred to specific collectors which determine the aggregated wage data (e.g. wage bases).</w:t>
      </w:r>
    </w:p>
    <w:p w14:paraId="3466F441" w14:textId="77777777" w:rsidR="009F5ED7" w:rsidRPr="009F5ED7" w:rsidRDefault="009F5ED7" w:rsidP="009F5ED7">
      <w:pPr>
        <w:rPr>
          <w:lang w:val="en-US"/>
        </w:rPr>
      </w:pPr>
      <w:r w:rsidRPr="009F5ED7">
        <w:rPr>
          <w:lang w:val="en-US"/>
        </w:rPr>
        <w:t>For data evaluation the regulation object Report is used which converts the wage run results into documents or interface data. In addition to wage data, case data evaluations are also possible.</w:t>
      </w:r>
    </w:p>
    <w:p w14:paraId="6CB521E6" w14:textId="77777777" w:rsidR="009F5ED7" w:rsidRPr="009F5ED7" w:rsidRDefault="009F5ED7" w:rsidP="009F5ED7">
      <w:pPr>
        <w:rPr>
          <w:lang w:val="en-US"/>
        </w:rPr>
      </w:pPr>
      <w:r w:rsidRPr="009F5ED7">
        <w:rPr>
          <w:lang w:val="en-US"/>
        </w:rPr>
        <w:t>The additional information required for input and processing, such as pay scale and tax tables, are managed in the regulation object Lookup. The script includes calculation functions such as determining the tax class based on various criteria.</w:t>
      </w:r>
    </w:p>
    <w:p w14:paraId="7BE26EE9" w14:textId="77777777" w:rsidR="009F5ED7" w:rsidRPr="009F5ED7" w:rsidRDefault="009F5ED7" w:rsidP="009F5ED7">
      <w:pPr>
        <w:rPr>
          <w:lang w:val="en-US"/>
        </w:rPr>
      </w:pPr>
      <w:r w:rsidRPr="009F5ED7">
        <w:rPr>
          <w:lang w:val="en-US"/>
        </w:rPr>
        <w:t>A decisive advantage of the regulation layer model is the scalable adaptation and extension of the wage definition. Each regulation object can be changed in a client regulation or extended with new regulation objects. For example, the case of employee entry can be supplemented with the selection of company-specific insurance. Multilingual designations allow to use the settlement in different languages.</w:t>
      </w:r>
    </w:p>
    <w:p w14:paraId="38C5D250" w14:textId="77777777" w:rsidR="009F5ED7" w:rsidRPr="009F5ED7" w:rsidRDefault="009F5ED7" w:rsidP="009F5ED7">
      <w:pPr>
        <w:rPr>
          <w:lang w:val="en-US"/>
        </w:rPr>
      </w:pPr>
      <w:r w:rsidRPr="009F5ED7">
        <w:rPr>
          <w:lang w:val="en-US"/>
        </w:rPr>
        <w:t>With the availability date of the settlement, software updates (e.g. tariff changes) can be easily planned. For retroactive calculations and forecast analyses, the payment relevant at the time is used.</w:t>
      </w:r>
    </w:p>
    <w:p w14:paraId="3BA9B413" w14:textId="18220FAC" w:rsidR="001B1F8F" w:rsidRPr="009F5ED7" w:rsidRDefault="009F5ED7" w:rsidP="009F5ED7">
      <w:pPr>
        <w:rPr>
          <w:lang w:val="en-US"/>
        </w:rPr>
      </w:pPr>
      <w:r w:rsidRPr="009F5ED7">
        <w:rPr>
          <w:lang w:val="en-US"/>
        </w:rPr>
        <w:t>By standardizing the wage calculation in regulations, the payroll know-how is manifested and a system is created to exchange and recycle regulations between different countries, industries and customers.</w:t>
      </w:r>
    </w:p>
    <w:sectPr w:rsidR="001B1F8F" w:rsidRPr="009F5ED7" w:rsidSect="00ED75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789A"/>
    <w:multiLevelType w:val="multilevel"/>
    <w:tmpl w:val="334C66B0"/>
    <w:styleLink w:val="CurrentList1"/>
    <w:lvl w:ilvl="0">
      <w:start w:val="1"/>
      <w:numFmt w:val="decimal"/>
      <w:lvlText w:val="%1)"/>
      <w:lvlJc w:val="left"/>
      <w:pPr>
        <w:ind w:left="720" w:hanging="360"/>
      </w:pPr>
      <w:rPr>
        <w:rFonts w:asciiTheme="minorHAnsi" w:eastAsiaTheme="minorHAnsi" w:hAnsiTheme="minorHAnsi" w:cstheme="minorBidi"/>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874D62"/>
    <w:multiLevelType w:val="hybridMultilevel"/>
    <w:tmpl w:val="EC7027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C2416A"/>
    <w:multiLevelType w:val="hybridMultilevel"/>
    <w:tmpl w:val="4E244BF2"/>
    <w:lvl w:ilvl="0" w:tplc="77C2E77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A8F3346"/>
    <w:multiLevelType w:val="hybridMultilevel"/>
    <w:tmpl w:val="EC0C426E"/>
    <w:lvl w:ilvl="0" w:tplc="DB2839D6">
      <w:start w:val="1"/>
      <w:numFmt w:val="decimal"/>
      <w:lvlText w:val="%1)"/>
      <w:lvlJc w:val="left"/>
      <w:pPr>
        <w:ind w:left="720" w:hanging="360"/>
      </w:pPr>
      <w:rPr>
        <w:rFonts w:asciiTheme="minorHAnsi" w:eastAsiaTheme="minorHAnsi" w:hAnsiTheme="minorHAnsi" w:cstheme="minorBidi"/>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07F0F5C"/>
    <w:multiLevelType w:val="hybridMultilevel"/>
    <w:tmpl w:val="F4C8324E"/>
    <w:lvl w:ilvl="0" w:tplc="931C046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B1F3043"/>
    <w:multiLevelType w:val="hybridMultilevel"/>
    <w:tmpl w:val="5B7AD5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7AA2084"/>
    <w:multiLevelType w:val="hybridMultilevel"/>
    <w:tmpl w:val="566CC3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8317538"/>
    <w:multiLevelType w:val="hybridMultilevel"/>
    <w:tmpl w:val="80048B56"/>
    <w:lvl w:ilvl="0" w:tplc="0DB8A11C">
      <w:start w:val="1"/>
      <w:numFmt w:val="decimal"/>
      <w:lvlText w:val="%1)"/>
      <w:lvlJc w:val="left"/>
      <w:pPr>
        <w:ind w:left="720" w:hanging="360"/>
      </w:pPr>
      <w:rPr>
        <w:rFonts w:asciiTheme="minorHAnsi" w:eastAsiaTheme="minorHAnsi" w:hAnsiTheme="minorHAnsi" w:cstheme="minorBidi"/>
        <w:vertAlign w:val="superscrip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B880396"/>
    <w:multiLevelType w:val="hybridMultilevel"/>
    <w:tmpl w:val="5E9C06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98004287">
    <w:abstractNumId w:val="4"/>
  </w:num>
  <w:num w:numId="2" w16cid:durableId="1350911570">
    <w:abstractNumId w:val="7"/>
  </w:num>
  <w:num w:numId="3" w16cid:durableId="264389390">
    <w:abstractNumId w:val="3"/>
  </w:num>
  <w:num w:numId="4" w16cid:durableId="1152913432">
    <w:abstractNumId w:val="0"/>
  </w:num>
  <w:num w:numId="5" w16cid:durableId="1973320423">
    <w:abstractNumId w:val="8"/>
  </w:num>
  <w:num w:numId="6" w16cid:durableId="138041467">
    <w:abstractNumId w:val="1"/>
  </w:num>
  <w:num w:numId="7" w16cid:durableId="488136504">
    <w:abstractNumId w:val="6"/>
  </w:num>
  <w:num w:numId="8" w16cid:durableId="362752021">
    <w:abstractNumId w:val="2"/>
  </w:num>
  <w:num w:numId="9" w16cid:durableId="8072848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3C5"/>
    <w:rsid w:val="00000885"/>
    <w:rsid w:val="00014F4F"/>
    <w:rsid w:val="0001614F"/>
    <w:rsid w:val="000171EE"/>
    <w:rsid w:val="00020A4F"/>
    <w:rsid w:val="00021164"/>
    <w:rsid w:val="0002517C"/>
    <w:rsid w:val="000259A8"/>
    <w:rsid w:val="00036E57"/>
    <w:rsid w:val="00042EEB"/>
    <w:rsid w:val="00053A98"/>
    <w:rsid w:val="0005597D"/>
    <w:rsid w:val="0006603E"/>
    <w:rsid w:val="00067934"/>
    <w:rsid w:val="00070BFB"/>
    <w:rsid w:val="00076AC9"/>
    <w:rsid w:val="000933C5"/>
    <w:rsid w:val="00093619"/>
    <w:rsid w:val="00096608"/>
    <w:rsid w:val="000A14F0"/>
    <w:rsid w:val="000A58E3"/>
    <w:rsid w:val="000B3E98"/>
    <w:rsid w:val="000B4AB4"/>
    <w:rsid w:val="000C043E"/>
    <w:rsid w:val="000C69EB"/>
    <w:rsid w:val="000D174B"/>
    <w:rsid w:val="000D675F"/>
    <w:rsid w:val="000E4F95"/>
    <w:rsid w:val="000E65BB"/>
    <w:rsid w:val="00114796"/>
    <w:rsid w:val="00116BB5"/>
    <w:rsid w:val="001206F5"/>
    <w:rsid w:val="00130E84"/>
    <w:rsid w:val="00134099"/>
    <w:rsid w:val="00141361"/>
    <w:rsid w:val="00155038"/>
    <w:rsid w:val="00157929"/>
    <w:rsid w:val="00167BAF"/>
    <w:rsid w:val="00173F1F"/>
    <w:rsid w:val="00173F4E"/>
    <w:rsid w:val="00176CC4"/>
    <w:rsid w:val="001809DB"/>
    <w:rsid w:val="00181AAD"/>
    <w:rsid w:val="0018208B"/>
    <w:rsid w:val="00183C56"/>
    <w:rsid w:val="00185E8D"/>
    <w:rsid w:val="00195E1E"/>
    <w:rsid w:val="001B1F8F"/>
    <w:rsid w:val="001C789E"/>
    <w:rsid w:val="001D2114"/>
    <w:rsid w:val="001D3640"/>
    <w:rsid w:val="001D4177"/>
    <w:rsid w:val="001E1750"/>
    <w:rsid w:val="001F049D"/>
    <w:rsid w:val="00200269"/>
    <w:rsid w:val="002007C9"/>
    <w:rsid w:val="00203DAF"/>
    <w:rsid w:val="002131B7"/>
    <w:rsid w:val="0021487C"/>
    <w:rsid w:val="002218F8"/>
    <w:rsid w:val="002321D4"/>
    <w:rsid w:val="00247559"/>
    <w:rsid w:val="00251015"/>
    <w:rsid w:val="002578A8"/>
    <w:rsid w:val="0026042F"/>
    <w:rsid w:val="00273068"/>
    <w:rsid w:val="002759B8"/>
    <w:rsid w:val="00282DAA"/>
    <w:rsid w:val="0028412B"/>
    <w:rsid w:val="002861B8"/>
    <w:rsid w:val="0029502E"/>
    <w:rsid w:val="002966A0"/>
    <w:rsid w:val="002A1BE0"/>
    <w:rsid w:val="002B75E0"/>
    <w:rsid w:val="002C0A17"/>
    <w:rsid w:val="002C54E4"/>
    <w:rsid w:val="002E69F3"/>
    <w:rsid w:val="002F0DA8"/>
    <w:rsid w:val="002F347D"/>
    <w:rsid w:val="002F7F8B"/>
    <w:rsid w:val="00302273"/>
    <w:rsid w:val="00302ED1"/>
    <w:rsid w:val="003041F5"/>
    <w:rsid w:val="003152D9"/>
    <w:rsid w:val="00315C3C"/>
    <w:rsid w:val="00342057"/>
    <w:rsid w:val="0034476F"/>
    <w:rsid w:val="003523CD"/>
    <w:rsid w:val="003531D4"/>
    <w:rsid w:val="003532AC"/>
    <w:rsid w:val="00363C6E"/>
    <w:rsid w:val="0036521B"/>
    <w:rsid w:val="00365C0C"/>
    <w:rsid w:val="003703E7"/>
    <w:rsid w:val="0037684A"/>
    <w:rsid w:val="00390EC7"/>
    <w:rsid w:val="003A09FC"/>
    <w:rsid w:val="003A1FF1"/>
    <w:rsid w:val="003A7D08"/>
    <w:rsid w:val="003C6343"/>
    <w:rsid w:val="003D23BE"/>
    <w:rsid w:val="003E0C57"/>
    <w:rsid w:val="003E6688"/>
    <w:rsid w:val="003F66C5"/>
    <w:rsid w:val="0040316B"/>
    <w:rsid w:val="004035E8"/>
    <w:rsid w:val="0040520B"/>
    <w:rsid w:val="00407D8C"/>
    <w:rsid w:val="00407FAC"/>
    <w:rsid w:val="004146E2"/>
    <w:rsid w:val="00427D8F"/>
    <w:rsid w:val="00430F04"/>
    <w:rsid w:val="004343CE"/>
    <w:rsid w:val="0044014B"/>
    <w:rsid w:val="00445863"/>
    <w:rsid w:val="0045644E"/>
    <w:rsid w:val="00456A0B"/>
    <w:rsid w:val="00460A71"/>
    <w:rsid w:val="0047611D"/>
    <w:rsid w:val="00480B77"/>
    <w:rsid w:val="004900F7"/>
    <w:rsid w:val="00490B0D"/>
    <w:rsid w:val="004934CE"/>
    <w:rsid w:val="00495E52"/>
    <w:rsid w:val="004A2FAA"/>
    <w:rsid w:val="004A3625"/>
    <w:rsid w:val="004B1E24"/>
    <w:rsid w:val="004B3775"/>
    <w:rsid w:val="004B6119"/>
    <w:rsid w:val="004D1307"/>
    <w:rsid w:val="004D4658"/>
    <w:rsid w:val="004E740C"/>
    <w:rsid w:val="004F4213"/>
    <w:rsid w:val="00500136"/>
    <w:rsid w:val="005022AD"/>
    <w:rsid w:val="00510795"/>
    <w:rsid w:val="00513779"/>
    <w:rsid w:val="00514895"/>
    <w:rsid w:val="00515EAA"/>
    <w:rsid w:val="00527A55"/>
    <w:rsid w:val="00532C92"/>
    <w:rsid w:val="0055096B"/>
    <w:rsid w:val="00551A15"/>
    <w:rsid w:val="005520B6"/>
    <w:rsid w:val="00554583"/>
    <w:rsid w:val="005609F4"/>
    <w:rsid w:val="00560F69"/>
    <w:rsid w:val="0056654B"/>
    <w:rsid w:val="00566806"/>
    <w:rsid w:val="0057495C"/>
    <w:rsid w:val="00576C69"/>
    <w:rsid w:val="005805F5"/>
    <w:rsid w:val="00590493"/>
    <w:rsid w:val="00590C72"/>
    <w:rsid w:val="00593CFF"/>
    <w:rsid w:val="00594902"/>
    <w:rsid w:val="0059554B"/>
    <w:rsid w:val="005A20D2"/>
    <w:rsid w:val="005A303C"/>
    <w:rsid w:val="005A4D64"/>
    <w:rsid w:val="005B0D36"/>
    <w:rsid w:val="005B2EC6"/>
    <w:rsid w:val="005C0BFC"/>
    <w:rsid w:val="005C3487"/>
    <w:rsid w:val="005D4F32"/>
    <w:rsid w:val="005E09A7"/>
    <w:rsid w:val="005E34AE"/>
    <w:rsid w:val="005E3E1F"/>
    <w:rsid w:val="005E5F68"/>
    <w:rsid w:val="005E610E"/>
    <w:rsid w:val="005F2F69"/>
    <w:rsid w:val="005F4687"/>
    <w:rsid w:val="0060008E"/>
    <w:rsid w:val="006054AE"/>
    <w:rsid w:val="00621E71"/>
    <w:rsid w:val="00624885"/>
    <w:rsid w:val="00627A80"/>
    <w:rsid w:val="00630D97"/>
    <w:rsid w:val="00637FA3"/>
    <w:rsid w:val="00652E32"/>
    <w:rsid w:val="0066344B"/>
    <w:rsid w:val="006645EA"/>
    <w:rsid w:val="006778D9"/>
    <w:rsid w:val="00684FCA"/>
    <w:rsid w:val="00694A27"/>
    <w:rsid w:val="006A513E"/>
    <w:rsid w:val="006B0B88"/>
    <w:rsid w:val="006B13E2"/>
    <w:rsid w:val="006C18FD"/>
    <w:rsid w:val="006C3870"/>
    <w:rsid w:val="006D05C7"/>
    <w:rsid w:val="006D0792"/>
    <w:rsid w:val="006D330D"/>
    <w:rsid w:val="006D71F9"/>
    <w:rsid w:val="006D7957"/>
    <w:rsid w:val="006E18CF"/>
    <w:rsid w:val="006E5031"/>
    <w:rsid w:val="006E5F22"/>
    <w:rsid w:val="006F3A92"/>
    <w:rsid w:val="006F3F3B"/>
    <w:rsid w:val="0070705E"/>
    <w:rsid w:val="0071385C"/>
    <w:rsid w:val="007140C1"/>
    <w:rsid w:val="007202E5"/>
    <w:rsid w:val="00721A03"/>
    <w:rsid w:val="00731D63"/>
    <w:rsid w:val="0073394B"/>
    <w:rsid w:val="00736C97"/>
    <w:rsid w:val="007434ED"/>
    <w:rsid w:val="007513CD"/>
    <w:rsid w:val="00757356"/>
    <w:rsid w:val="0076098D"/>
    <w:rsid w:val="007634C0"/>
    <w:rsid w:val="00765738"/>
    <w:rsid w:val="00767504"/>
    <w:rsid w:val="007722AC"/>
    <w:rsid w:val="00775A99"/>
    <w:rsid w:val="00780FF5"/>
    <w:rsid w:val="00782B2A"/>
    <w:rsid w:val="007863C1"/>
    <w:rsid w:val="0079193C"/>
    <w:rsid w:val="00797214"/>
    <w:rsid w:val="007A2EF6"/>
    <w:rsid w:val="007A359D"/>
    <w:rsid w:val="007A39D0"/>
    <w:rsid w:val="007A4656"/>
    <w:rsid w:val="007A5C22"/>
    <w:rsid w:val="007B161F"/>
    <w:rsid w:val="007B2CEF"/>
    <w:rsid w:val="007B5DE1"/>
    <w:rsid w:val="007B60E8"/>
    <w:rsid w:val="007C0ADC"/>
    <w:rsid w:val="007C6023"/>
    <w:rsid w:val="007D7278"/>
    <w:rsid w:val="007E4E15"/>
    <w:rsid w:val="007E7FE3"/>
    <w:rsid w:val="007F341E"/>
    <w:rsid w:val="007F7B5E"/>
    <w:rsid w:val="008017CA"/>
    <w:rsid w:val="00806C7A"/>
    <w:rsid w:val="008077AF"/>
    <w:rsid w:val="00810C37"/>
    <w:rsid w:val="00813A24"/>
    <w:rsid w:val="00816A36"/>
    <w:rsid w:val="00817B1C"/>
    <w:rsid w:val="00820075"/>
    <w:rsid w:val="00827A0C"/>
    <w:rsid w:val="00841D90"/>
    <w:rsid w:val="008457A3"/>
    <w:rsid w:val="008464ED"/>
    <w:rsid w:val="00857EB5"/>
    <w:rsid w:val="00862433"/>
    <w:rsid w:val="0086433D"/>
    <w:rsid w:val="008644C2"/>
    <w:rsid w:val="00867487"/>
    <w:rsid w:val="00873B4B"/>
    <w:rsid w:val="008813A1"/>
    <w:rsid w:val="0088202D"/>
    <w:rsid w:val="00884052"/>
    <w:rsid w:val="008910C4"/>
    <w:rsid w:val="00892578"/>
    <w:rsid w:val="00897999"/>
    <w:rsid w:val="008A51A9"/>
    <w:rsid w:val="008B1441"/>
    <w:rsid w:val="008B14A1"/>
    <w:rsid w:val="008B402D"/>
    <w:rsid w:val="008B4843"/>
    <w:rsid w:val="008B5E96"/>
    <w:rsid w:val="008C0CF6"/>
    <w:rsid w:val="008C5D3E"/>
    <w:rsid w:val="008C6B49"/>
    <w:rsid w:val="008C6B86"/>
    <w:rsid w:val="008E1067"/>
    <w:rsid w:val="008E1A0A"/>
    <w:rsid w:val="008E2F55"/>
    <w:rsid w:val="008E7F5D"/>
    <w:rsid w:val="008F1717"/>
    <w:rsid w:val="008F2ECD"/>
    <w:rsid w:val="008F55E4"/>
    <w:rsid w:val="009051DE"/>
    <w:rsid w:val="00906D5A"/>
    <w:rsid w:val="0091213F"/>
    <w:rsid w:val="00923679"/>
    <w:rsid w:val="00925486"/>
    <w:rsid w:val="009266E5"/>
    <w:rsid w:val="00935B30"/>
    <w:rsid w:val="00967B4D"/>
    <w:rsid w:val="009700B0"/>
    <w:rsid w:val="0098787A"/>
    <w:rsid w:val="009915EE"/>
    <w:rsid w:val="00991D38"/>
    <w:rsid w:val="009A637F"/>
    <w:rsid w:val="009B0B12"/>
    <w:rsid w:val="009C2717"/>
    <w:rsid w:val="009D2C3D"/>
    <w:rsid w:val="009F5ED7"/>
    <w:rsid w:val="00A00762"/>
    <w:rsid w:val="00A1187F"/>
    <w:rsid w:val="00A12E32"/>
    <w:rsid w:val="00A23C35"/>
    <w:rsid w:val="00A33D35"/>
    <w:rsid w:val="00A353DD"/>
    <w:rsid w:val="00A51B79"/>
    <w:rsid w:val="00A62292"/>
    <w:rsid w:val="00A62ECE"/>
    <w:rsid w:val="00A641F4"/>
    <w:rsid w:val="00A64A11"/>
    <w:rsid w:val="00A742BF"/>
    <w:rsid w:val="00A7503E"/>
    <w:rsid w:val="00A77310"/>
    <w:rsid w:val="00A831F0"/>
    <w:rsid w:val="00A844F3"/>
    <w:rsid w:val="00A84621"/>
    <w:rsid w:val="00A862C2"/>
    <w:rsid w:val="00AA0CD6"/>
    <w:rsid w:val="00AA599D"/>
    <w:rsid w:val="00AB3677"/>
    <w:rsid w:val="00AB490E"/>
    <w:rsid w:val="00AC2E1B"/>
    <w:rsid w:val="00AD13F1"/>
    <w:rsid w:val="00AD5CF3"/>
    <w:rsid w:val="00AF5FC3"/>
    <w:rsid w:val="00AF6E21"/>
    <w:rsid w:val="00B05D6C"/>
    <w:rsid w:val="00B0652A"/>
    <w:rsid w:val="00B07CDF"/>
    <w:rsid w:val="00B17FD9"/>
    <w:rsid w:val="00B22A61"/>
    <w:rsid w:val="00B256C7"/>
    <w:rsid w:val="00B32B37"/>
    <w:rsid w:val="00B34C04"/>
    <w:rsid w:val="00B4002F"/>
    <w:rsid w:val="00B427D4"/>
    <w:rsid w:val="00B46655"/>
    <w:rsid w:val="00B52D27"/>
    <w:rsid w:val="00B5560E"/>
    <w:rsid w:val="00B55AE9"/>
    <w:rsid w:val="00B55EA3"/>
    <w:rsid w:val="00B6365E"/>
    <w:rsid w:val="00B66769"/>
    <w:rsid w:val="00B671DD"/>
    <w:rsid w:val="00B778F9"/>
    <w:rsid w:val="00B95EA1"/>
    <w:rsid w:val="00BA501B"/>
    <w:rsid w:val="00BA7526"/>
    <w:rsid w:val="00BB00F1"/>
    <w:rsid w:val="00BB539F"/>
    <w:rsid w:val="00BB57F1"/>
    <w:rsid w:val="00BC4DE6"/>
    <w:rsid w:val="00BD690B"/>
    <w:rsid w:val="00BD6DC9"/>
    <w:rsid w:val="00BE19D2"/>
    <w:rsid w:val="00BE1E70"/>
    <w:rsid w:val="00BE618F"/>
    <w:rsid w:val="00BE7DDF"/>
    <w:rsid w:val="00C10A60"/>
    <w:rsid w:val="00C14A52"/>
    <w:rsid w:val="00C150AB"/>
    <w:rsid w:val="00C36E97"/>
    <w:rsid w:val="00C41157"/>
    <w:rsid w:val="00C71B50"/>
    <w:rsid w:val="00C81A8B"/>
    <w:rsid w:val="00C920E7"/>
    <w:rsid w:val="00CA209F"/>
    <w:rsid w:val="00CA72F9"/>
    <w:rsid w:val="00CB7A91"/>
    <w:rsid w:val="00CD0854"/>
    <w:rsid w:val="00CD237D"/>
    <w:rsid w:val="00CD4BF9"/>
    <w:rsid w:val="00CD6074"/>
    <w:rsid w:val="00CF23F8"/>
    <w:rsid w:val="00D00751"/>
    <w:rsid w:val="00D0126A"/>
    <w:rsid w:val="00D039D7"/>
    <w:rsid w:val="00D07E7E"/>
    <w:rsid w:val="00D10290"/>
    <w:rsid w:val="00D14511"/>
    <w:rsid w:val="00D160BA"/>
    <w:rsid w:val="00D32312"/>
    <w:rsid w:val="00D34F7C"/>
    <w:rsid w:val="00D772BC"/>
    <w:rsid w:val="00D87E05"/>
    <w:rsid w:val="00DA591E"/>
    <w:rsid w:val="00DB19FB"/>
    <w:rsid w:val="00DB26B7"/>
    <w:rsid w:val="00DB6A66"/>
    <w:rsid w:val="00DC0B67"/>
    <w:rsid w:val="00DE3478"/>
    <w:rsid w:val="00DF289A"/>
    <w:rsid w:val="00DF485F"/>
    <w:rsid w:val="00E002CE"/>
    <w:rsid w:val="00E20EE3"/>
    <w:rsid w:val="00E35460"/>
    <w:rsid w:val="00E402C8"/>
    <w:rsid w:val="00E4039B"/>
    <w:rsid w:val="00E4042D"/>
    <w:rsid w:val="00E509A2"/>
    <w:rsid w:val="00E51843"/>
    <w:rsid w:val="00E551EF"/>
    <w:rsid w:val="00E624EA"/>
    <w:rsid w:val="00E6289A"/>
    <w:rsid w:val="00E65608"/>
    <w:rsid w:val="00E67C03"/>
    <w:rsid w:val="00E72E61"/>
    <w:rsid w:val="00E77A3A"/>
    <w:rsid w:val="00E83D96"/>
    <w:rsid w:val="00E859CF"/>
    <w:rsid w:val="00E94B79"/>
    <w:rsid w:val="00E964AE"/>
    <w:rsid w:val="00EB470E"/>
    <w:rsid w:val="00EC3616"/>
    <w:rsid w:val="00ED2394"/>
    <w:rsid w:val="00ED3D4C"/>
    <w:rsid w:val="00ED51A5"/>
    <w:rsid w:val="00ED7502"/>
    <w:rsid w:val="00EE2413"/>
    <w:rsid w:val="00EF497E"/>
    <w:rsid w:val="00EF5E1F"/>
    <w:rsid w:val="00F06AD4"/>
    <w:rsid w:val="00F15C30"/>
    <w:rsid w:val="00F1605D"/>
    <w:rsid w:val="00F3038C"/>
    <w:rsid w:val="00F33290"/>
    <w:rsid w:val="00F40E32"/>
    <w:rsid w:val="00F418D5"/>
    <w:rsid w:val="00F4197C"/>
    <w:rsid w:val="00F42D6B"/>
    <w:rsid w:val="00F43D45"/>
    <w:rsid w:val="00F448ED"/>
    <w:rsid w:val="00F543D4"/>
    <w:rsid w:val="00F60456"/>
    <w:rsid w:val="00F65DE5"/>
    <w:rsid w:val="00F71FC7"/>
    <w:rsid w:val="00F77352"/>
    <w:rsid w:val="00F862DF"/>
    <w:rsid w:val="00F94494"/>
    <w:rsid w:val="00FA22A6"/>
    <w:rsid w:val="00FA2FA6"/>
    <w:rsid w:val="00FA7830"/>
    <w:rsid w:val="00FC1985"/>
    <w:rsid w:val="00FC317A"/>
    <w:rsid w:val="00FC4EFF"/>
    <w:rsid w:val="00FC6BFD"/>
    <w:rsid w:val="00FD2D69"/>
    <w:rsid w:val="00FD4C09"/>
    <w:rsid w:val="00FD5660"/>
    <w:rsid w:val="00FD6E1C"/>
    <w:rsid w:val="00FE6404"/>
    <w:rsid w:val="00FE66B0"/>
    <w:rsid w:val="00FF20F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6CCE"/>
  <w15:chartTrackingRefBased/>
  <w15:docId w15:val="{0F8B6DE6-008B-4347-A11F-1992048F7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3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3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3679"/>
    <w:pPr>
      <w:ind w:left="720"/>
      <w:contextualSpacing/>
    </w:pPr>
  </w:style>
  <w:style w:type="character" w:styleId="Hyperlink">
    <w:name w:val="Hyperlink"/>
    <w:basedOn w:val="DefaultParagraphFont"/>
    <w:uiPriority w:val="99"/>
    <w:unhideWhenUsed/>
    <w:rsid w:val="008F2ECD"/>
    <w:rPr>
      <w:color w:val="0563C1" w:themeColor="hyperlink"/>
      <w:u w:val="single"/>
    </w:rPr>
  </w:style>
  <w:style w:type="character" w:styleId="UnresolvedMention">
    <w:name w:val="Unresolved Mention"/>
    <w:basedOn w:val="DefaultParagraphFont"/>
    <w:uiPriority w:val="99"/>
    <w:semiHidden/>
    <w:unhideWhenUsed/>
    <w:rsid w:val="008F2ECD"/>
    <w:rPr>
      <w:color w:val="605E5C"/>
      <w:shd w:val="clear" w:color="auto" w:fill="E1DFDD"/>
    </w:rPr>
  </w:style>
  <w:style w:type="numbering" w:customStyle="1" w:styleId="CurrentList1">
    <w:name w:val="Current List1"/>
    <w:uiPriority w:val="99"/>
    <w:rsid w:val="00A1187F"/>
    <w:pPr>
      <w:numPr>
        <w:numId w:val="4"/>
      </w:numPr>
    </w:pPr>
  </w:style>
  <w:style w:type="character" w:styleId="CommentReference">
    <w:name w:val="annotation reference"/>
    <w:basedOn w:val="DefaultParagraphFont"/>
    <w:uiPriority w:val="99"/>
    <w:semiHidden/>
    <w:unhideWhenUsed/>
    <w:rsid w:val="006A513E"/>
    <w:rPr>
      <w:sz w:val="16"/>
      <w:szCs w:val="16"/>
    </w:rPr>
  </w:style>
  <w:style w:type="paragraph" w:styleId="CommentText">
    <w:name w:val="annotation text"/>
    <w:basedOn w:val="Normal"/>
    <w:link w:val="CommentTextChar"/>
    <w:uiPriority w:val="99"/>
    <w:semiHidden/>
    <w:unhideWhenUsed/>
    <w:rsid w:val="006A513E"/>
    <w:pPr>
      <w:spacing w:line="240" w:lineRule="auto"/>
    </w:pPr>
    <w:rPr>
      <w:sz w:val="20"/>
      <w:szCs w:val="20"/>
    </w:rPr>
  </w:style>
  <w:style w:type="character" w:customStyle="1" w:styleId="CommentTextChar">
    <w:name w:val="Comment Text Char"/>
    <w:basedOn w:val="DefaultParagraphFont"/>
    <w:link w:val="CommentText"/>
    <w:uiPriority w:val="99"/>
    <w:semiHidden/>
    <w:rsid w:val="006A513E"/>
    <w:rPr>
      <w:sz w:val="20"/>
      <w:szCs w:val="20"/>
    </w:rPr>
  </w:style>
  <w:style w:type="paragraph" w:styleId="CommentSubject">
    <w:name w:val="annotation subject"/>
    <w:basedOn w:val="CommentText"/>
    <w:next w:val="CommentText"/>
    <w:link w:val="CommentSubjectChar"/>
    <w:uiPriority w:val="99"/>
    <w:semiHidden/>
    <w:unhideWhenUsed/>
    <w:rsid w:val="006A513E"/>
    <w:rPr>
      <w:b/>
      <w:bCs/>
    </w:rPr>
  </w:style>
  <w:style w:type="character" w:customStyle="1" w:styleId="CommentSubjectChar">
    <w:name w:val="Comment Subject Char"/>
    <w:basedOn w:val="CommentTextChar"/>
    <w:link w:val="CommentSubject"/>
    <w:uiPriority w:val="99"/>
    <w:semiHidden/>
    <w:rsid w:val="006A513E"/>
    <w:rPr>
      <w:b/>
      <w:bCs/>
      <w:sz w:val="20"/>
      <w:szCs w:val="20"/>
    </w:rPr>
  </w:style>
  <w:style w:type="paragraph" w:styleId="Revision">
    <w:name w:val="Revision"/>
    <w:hidden/>
    <w:uiPriority w:val="99"/>
    <w:semiHidden/>
    <w:rsid w:val="003E0C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PO_mode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2370</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Software Consulting Giannoudis</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Giannoudis</dc:creator>
  <cp:keywords/>
  <dc:description/>
  <cp:lastModifiedBy>Ioannis Giannoudis</cp:lastModifiedBy>
  <cp:revision>367</cp:revision>
  <cp:lastPrinted>2021-11-03T12:37:00Z</cp:lastPrinted>
  <dcterms:created xsi:type="dcterms:W3CDTF">2021-09-07T18:18:00Z</dcterms:created>
  <dcterms:modified xsi:type="dcterms:W3CDTF">2023-06-17T07:59:00Z</dcterms:modified>
</cp:coreProperties>
</file>