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智能纪要：AI创新-课题九-日志管理平台成果汇报 2026年8月11日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会议主题：AI创新-课题九-日志管理平台成果汇报</w:t>
            </w:r>
          </w:p>
          <w:p>
            <w:pPr>
              <w:spacing w:before="120" w:after="120" w:line="288" w:lineRule="auto"/>
              <w:ind w:left="0"/>
              <w:jc w:val="left"/>
            </w:pPr>
            <w:r>
              <w:rPr>
                <w:rFonts w:eastAsia="等线" w:ascii="Arial" w:cs="Arial" w:hAnsi="Arial"/>
                <w:color w:val="646a73"/>
                <w:sz w:val="22"/>
              </w:rPr>
              <w:t>会议时间：2026年8月11日（周二） 15:04 - 15:57 （GMT+08）</w:t>
            </w:r>
          </w:p>
          <w:p>
            <w:pPr>
              <w:spacing w:before="120" w:after="120" w:line="288" w:lineRule="auto"/>
              <w:ind w:left="0"/>
              <w:jc w:val="left"/>
            </w:pPr>
            <w:r>
              <w:rPr>
                <w:rFonts w:eastAsia="等线" w:ascii="Arial" w:cs="Arial" w:hAnsi="Arial"/>
                <w:color w:val="646a73"/>
                <w:sz w:val="22"/>
              </w:rPr>
              <w:t>参会人：</w:t>
            </w:r>
            <w:r>
              <w:rPr>
                <w:rFonts w:eastAsia="等线" w:ascii="Arial" w:cs="Arial" w:hAnsi="Arial"/>
                <w:color w:val="3370ff"/>
                <w:sz w:val="22"/>
              </w:rPr>
              <w:t>@刘欣彤</w:t>
            </w:r>
            <w:r>
              <w:rPr>
                <w:rFonts w:eastAsia="等线" w:ascii="Arial" w:cs="Arial" w:hAnsi="Arial"/>
                <w:color w:val="3370ff"/>
                <w:sz w:val="22"/>
              </w:rPr>
              <w:t>@程文杰</w:t>
            </w:r>
            <w:r>
              <w:rPr>
                <w:rFonts w:eastAsia="等线" w:ascii="Arial" w:cs="Arial" w:hAnsi="Arial"/>
                <w:color w:val="3370ff"/>
                <w:sz w:val="22"/>
              </w:rPr>
              <w:t>@王占赢</w:t>
            </w:r>
            <w:r>
              <w:rPr>
                <w:rFonts w:eastAsia="等线" w:ascii="Arial" w:cs="Arial" w:hAnsi="Arial"/>
                <w:color w:val="3370ff"/>
                <w:sz w:val="22"/>
              </w:rPr>
              <w:t>@武首超</w:t>
            </w:r>
            <w:r>
              <w:rPr>
                <w:rFonts w:eastAsia="等线" w:ascii="Arial" w:cs="Arial" w:hAnsi="Arial"/>
                <w:color w:val="3370ff"/>
                <w:sz w:val="22"/>
              </w:rPr>
              <w:t>@严亮</w:t>
            </w:r>
            <w:r>
              <w:rPr>
                <w:rFonts w:eastAsia="等线" w:ascii="Arial" w:cs="Arial" w:hAnsi="Arial"/>
                <w:color w:val="3370ff"/>
                <w:sz w:val="22"/>
              </w:rPr>
              <w:t>@张思彦</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智能会议纪要由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2085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085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本次会议对日志分析工具的web端、桌面采集端阶段性开发成果进行演示评审，明确各模块优化方向与开发要求，内容如下：</w:t>
      </w:r>
    </w:p>
    <w:p>
      <w:pPr>
        <w:numPr>
          <w:numId w:val="1"/>
        </w:numPr>
        <w:spacing w:before="120" w:after="120" w:line="288" w:lineRule="auto"/>
        <w:ind w:left="0"/>
        <w:jc w:val="left"/>
      </w:pPr>
      <w:r>
        <w:rPr>
          <w:rFonts w:eastAsia="等线" w:ascii="Arial" w:cs="Arial" w:hAnsi="Arial"/>
          <w:b w:val="true"/>
          <w:sz w:val="22"/>
        </w:rPr>
        <w:t>现有阶段性开发成果</w:t>
      </w:r>
    </w:p>
    <w:p>
      <w:pPr>
        <w:numPr>
          <w:numId w:val="2"/>
        </w:numPr>
        <w:spacing w:before="120" w:after="120" w:line="288" w:lineRule="auto"/>
        <w:ind w:left="453"/>
        <w:jc w:val="left"/>
      </w:pPr>
      <w:r>
        <w:rPr>
          <w:rFonts w:eastAsia="等线" w:ascii="Arial" w:cs="Arial" w:hAnsi="Arial"/>
          <w:b w:val="true"/>
          <w:sz w:val="22"/>
        </w:rPr>
        <w:t>web端核心功能</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6210"/>
        <w:gridCol w:w="2070"/>
      </w:tblGrid>
      <w:tr>
        <w:tc>
          <w:tcPr>
            <w:tcW w:w="6210"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z w:val="22"/>
              </w:rPr>
              <w:t>登录与上传能力：支持飞书账号接口登录，上传页可配置项目、版本、任务ID等信息，支持日志上传后自动触发解析流程。</w:t>
            </w:r>
          </w:p>
          <w:p>
            <w:pPr>
              <w:numPr>
                <w:numId w:val="4"/>
              </w:numPr>
              <w:spacing w:before="120" w:after="120" w:line="288" w:lineRule="auto"/>
              <w:ind w:left="0"/>
              <w:jc w:val="left"/>
            </w:pPr>
            <w:r>
              <w:rPr>
                <w:rFonts w:eastAsia="等线" w:ascii="Arial" w:cs="Arial" w:hAnsi="Arial"/>
                <w:sz w:val="22"/>
              </w:rPr>
              <w:t>解析结果展示：可查看日志版本、项目信息、关键字命中次数、错误上下文，支持按关键字匹配输出对应错误原因提示。</w:t>
            </w:r>
          </w:p>
          <w:p>
            <w:pPr>
              <w:numPr>
                <w:numId w:val="5"/>
              </w:numPr>
              <w:spacing w:before="120" w:after="120" w:line="288" w:lineRule="auto"/>
              <w:ind w:left="0"/>
              <w:jc w:val="left"/>
            </w:pPr>
            <w:r>
              <w:rPr>
                <w:rFonts w:eastAsia="等线" w:ascii="Arial" w:cs="Arial" w:hAnsi="Arial"/>
                <w:sz w:val="22"/>
              </w:rPr>
              <w:t>测试场景配置：支持用户自定义测试场景与专属关键字，可单独启用对应规则，仅匹配场景内关键字避免无关内容干扰。</w:t>
            </w:r>
          </w:p>
          <w:p>
            <w:pPr>
              <w:numPr>
                <w:numId w:val="6"/>
              </w:numPr>
              <w:spacing w:before="120" w:after="120" w:line="288" w:lineRule="auto"/>
              <w:ind w:left="0"/>
              <w:jc w:val="left"/>
            </w:pPr>
            <w:r>
              <w:rPr>
                <w:rFonts w:eastAsia="等线" w:ascii="Arial" w:cs="Arial" w:hAnsi="Arial"/>
                <w:sz w:val="22"/>
              </w:rPr>
              <w:t>权限管理体系：预设普通用户、开发、普通管理员、超级管理员四级权限，支持权限申请与审批流程，当前为固定密码登录。</w:t>
            </w:r>
          </w:p>
          <w:p>
            <w:pPr>
              <w:numPr>
                <w:numId w:val="7"/>
              </w:numPr>
              <w:spacing w:before="120" w:after="120" w:line="288" w:lineRule="auto"/>
              <w:ind w:left="0"/>
              <w:jc w:val="left"/>
            </w:pPr>
            <w:r>
              <w:rPr>
                <w:rFonts w:eastAsia="等线" w:ascii="Arial" w:cs="Arial" w:hAnsi="Arial"/>
                <w:sz w:val="22"/>
              </w:rPr>
              <w:t>系统配置能力：支持动态调整日志上传大小、数量限制，支持项目管理、关键字按报错等级分类维护，适配多项目管理需求。</w:t>
            </w: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52525" cy="16192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152525" cy="16192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日志系统四级权限能力对照表</w:t>
              <w:br/>
            </w:r>
          </w:p>
        </w:tc>
      </w:tr>
    </w:tbl>
    <w:p>
      <w:pPr>
        <w:numPr>
          <w:numId w:val="8"/>
        </w:numPr>
        <w:spacing w:before="120" w:after="120" w:line="288" w:lineRule="auto"/>
        <w:ind w:left="453"/>
        <w:jc w:val="left"/>
      </w:pPr>
      <w:r>
        <w:rPr>
          <w:rFonts w:eastAsia="等线" w:ascii="Arial" w:cs="Arial" w:hAnsi="Arial"/>
          <w:b w:val="true"/>
          <w:sz w:val="22"/>
        </w:rPr>
        <w:t>桌面采集端核心功能</w:t>
      </w:r>
    </w:p>
    <w:p>
      <w:pPr>
        <w:numPr>
          <w:numId w:val="9"/>
        </w:numPr>
        <w:spacing w:before="120" w:after="120" w:line="288" w:lineRule="auto"/>
        <w:ind w:left="907"/>
        <w:jc w:val="left"/>
      </w:pPr>
      <w:r>
        <w:rPr>
          <w:rFonts w:eastAsia="等线" w:ascii="Arial" w:cs="Arial" w:hAnsi="Arial"/>
          <w:sz w:val="22"/>
        </w:rPr>
        <w:t>串口采集基础能力：支持串口日志实时打印、波特率等基础串口参数配置，兼容常规串口工具操作逻辑，支持本地日志持久化存储。</w:t>
      </w:r>
    </w:p>
    <w:p>
      <w:pPr>
        <w:numPr>
          <w:numId w:val="10"/>
        </w:numPr>
        <w:spacing w:before="120" w:after="120" w:line="288" w:lineRule="auto"/>
        <w:ind w:left="907"/>
        <w:jc w:val="left"/>
      </w:pPr>
      <w:r>
        <w:rPr>
          <w:rFonts w:eastAsia="等线" w:ascii="Arial" w:cs="Arial" w:hAnsi="Arial"/>
          <w:sz w:val="22"/>
        </w:rPr>
        <w:t>云端上传配置：选择上传云端时需配置项目、版本、测试任务、关键字等信息，上传后生成 8 位查询码用于 web 端查询进度。</w:t>
      </w:r>
    </w:p>
    <w:p>
      <w:pPr>
        <w:numPr>
          <w:numId w:val="11"/>
        </w:numPr>
        <w:spacing w:before="120" w:after="120" w:line="288" w:lineRule="auto"/>
        <w:ind w:left="907"/>
        <w:jc w:val="left"/>
      </w:pPr>
      <w:r>
        <w:rPr>
          <w:rFonts w:eastAsia="等线" w:ascii="Arial" w:cs="Arial" w:hAnsi="Arial"/>
          <w:sz w:val="22"/>
        </w:rPr>
        <w:t>分片上传机制：默认按半小时 / 128 MB 阈值分片上传，上传失败自动重试 2 次（间隔 5 分钟），支持本地未上传文件手动重传。</w:t>
      </w:r>
    </w:p>
    <w:p>
      <w:pPr>
        <w:numPr>
          <w:numId w:val="12"/>
        </w:numPr>
        <w:spacing w:before="120" w:after="120" w:line="288" w:lineRule="auto"/>
        <w:ind w:left="907"/>
        <w:jc w:val="left"/>
      </w:pPr>
      <w:r>
        <w:rPr>
          <w:rFonts w:eastAsia="等线" w:ascii="Arial" w:cs="Arial" w:hAnsi="Arial"/>
          <w:sz w:val="22"/>
        </w:rPr>
        <w:t>异常与存储管控：支持配置本地日志最大存储阈值，串口断开超 30 分钟自动告警，支持自动删除已上传文件节省本地空间。</w:t>
      </w:r>
    </w:p>
    <w:p>
      <w:pPr>
        <w:numPr>
          <w:numId w:val="13"/>
        </w:numPr>
        <w:spacing w:before="120" w:after="120" w:line="288" w:lineRule="auto"/>
        <w:ind w:left="907"/>
        <w:jc w:val="left"/>
      </w:pPr>
      <w:r>
        <w:rPr>
          <w:rFonts w:eastAsia="等线" w:ascii="Arial" w:cs="Arial" w:hAnsi="Arial"/>
          <w:sz w:val="22"/>
        </w:rPr>
        <w:t>串口关闭逻辑：关闭串口时会弹出选项，支持用户选择继续上传未完成文件或停止上传，避免未上传日志意外丢失。</w:t>
      </w:r>
    </w:p>
    <w:p>
      <w:pPr>
        <w:numPr>
          <w:numId w:val="14"/>
        </w:numPr>
        <w:spacing w:before="120" w:after="120" w:line="288" w:lineRule="auto"/>
        <w:ind w:left="0"/>
        <w:jc w:val="left"/>
      </w:pPr>
      <w:r>
        <w:rPr>
          <w:rFonts w:eastAsia="等线" w:ascii="Arial" w:cs="Arial" w:hAnsi="Arial"/>
          <w:b w:val="true"/>
          <w:sz w:val="22"/>
        </w:rPr>
        <w:t>评审明确的优化要求</w:t>
      </w:r>
    </w:p>
    <w:p>
      <w:pPr>
        <w:numPr>
          <w:numId w:val="15"/>
        </w:numPr>
        <w:spacing w:before="120" w:after="120" w:line="288" w:lineRule="auto"/>
        <w:ind w:left="453"/>
        <w:jc w:val="left"/>
      </w:pPr>
      <w:r>
        <w:rPr>
          <w:rFonts w:eastAsia="等线" w:ascii="Arial" w:cs="Arial" w:hAnsi="Arial"/>
          <w:b w:val="true"/>
          <w:sz w:val="22"/>
        </w:rPr>
        <w:t>web端功能优化</w:t>
      </w:r>
    </w:p>
    <w:p>
      <w:pPr>
        <w:numPr>
          <w:numId w:val="16"/>
        </w:numPr>
        <w:spacing w:before="120" w:after="120" w:line="288" w:lineRule="auto"/>
        <w:ind w:left="907"/>
        <w:jc w:val="left"/>
      </w:pPr>
      <w:r>
        <w:rPr>
          <w:rFonts w:eastAsia="等线" w:ascii="Arial" w:cs="Arial" w:hAnsi="Arial"/>
          <w:sz w:val="22"/>
        </w:rPr>
        <w:t>关键字配置调整：将当前按行输入自定义关键字的方式，改为加号按钮逐条添加模式，同时补充输入规则说明，降低用户输入错误概率。</w:t>
      </w:r>
    </w:p>
    <w:p>
      <w:pPr>
        <w:numPr>
          <w:numId w:val="17"/>
        </w:numPr>
        <w:spacing w:before="120" w:after="120" w:line="288" w:lineRule="auto"/>
        <w:ind w:left="907"/>
        <w:jc w:val="left"/>
      </w:pPr>
      <w:r>
        <w:rPr>
          <w:rFonts w:eastAsia="等线" w:ascii="Arial" w:cs="Arial" w:hAnsi="Arial"/>
          <w:sz w:val="22"/>
        </w:rPr>
        <w:t>登录体系调整：后续取消全量固定密码登录，全量对接飞书账号体系，仅超级管理员保留固定账号，适配内部人员使用需求。</w:t>
      </w:r>
    </w:p>
    <w:p>
      <w:pPr>
        <w:numPr>
          <w:numId w:val="18"/>
        </w:numPr>
        <w:spacing w:before="120" w:after="120" w:line="288" w:lineRule="auto"/>
        <w:ind w:left="907"/>
        <w:jc w:val="left"/>
      </w:pPr>
      <w:r>
        <w:rPr>
          <w:rFonts w:eastAsia="等线" w:ascii="Arial" w:cs="Arial" w:hAnsi="Arial"/>
          <w:sz w:val="22"/>
        </w:rPr>
        <w:t>身份校验优化：上传人校验需增加邮箱后缀匹配规则，解决公司内部人员重名导致的身份识别错误问题，保证身份唯一性。</w:t>
      </w:r>
    </w:p>
    <w:p>
      <w:pPr>
        <w:numPr>
          <w:numId w:val="19"/>
        </w:numPr>
        <w:spacing w:before="120" w:after="120" w:line="288" w:lineRule="auto"/>
        <w:ind w:left="453"/>
        <w:jc w:val="left"/>
      </w:pPr>
      <w:r>
        <w:rPr>
          <w:rFonts w:eastAsia="等线" w:ascii="Arial" w:cs="Arial" w:hAnsi="Arial"/>
          <w:b w:val="true"/>
          <w:sz w:val="22"/>
        </w:rPr>
        <w:t>桌面采集端功能优化</w:t>
      </w:r>
    </w:p>
    <w:p>
      <w:pPr>
        <w:numPr>
          <w:numId w:val="20"/>
        </w:numPr>
        <w:spacing w:before="120" w:after="120" w:line="288" w:lineRule="auto"/>
        <w:ind w:left="907"/>
        <w:jc w:val="left"/>
      </w:pPr>
      <w:r>
        <w:rPr>
          <w:rFonts w:eastAsia="等线" w:ascii="Arial" w:cs="Arial" w:hAnsi="Arial"/>
          <w:sz w:val="22"/>
        </w:rPr>
        <w:t>交互逻辑优化：新增「上传云端」开关，关闭时隐藏项目、版本等云端专属配置项，避免用户混淆本地/云端配置的不同要求。</w:t>
      </w:r>
    </w:p>
    <w:p>
      <w:pPr>
        <w:numPr>
          <w:numId w:val="21"/>
        </w:numPr>
        <w:spacing w:before="120" w:after="120" w:line="288" w:lineRule="auto"/>
        <w:ind w:left="907"/>
        <w:jc w:val="left"/>
      </w:pPr>
      <w:r>
        <w:rPr>
          <w:rFonts w:eastAsia="等线" w:ascii="Arial" w:cs="Arial" w:hAnsi="Arial"/>
          <w:sz w:val="22"/>
        </w:rPr>
        <w:t>串口限制调整：取消当前最多支持 8 个串口的限制，适配多串口 hub 接入、多设备同时挂测的实际使用场景，满足老化测试需求。</w:t>
      </w:r>
    </w:p>
    <w:p>
      <w:pPr>
        <w:numPr>
          <w:numId w:val="22"/>
        </w:numPr>
        <w:spacing w:before="120" w:after="120" w:line="288" w:lineRule="auto"/>
        <w:ind w:left="907"/>
        <w:jc w:val="left"/>
      </w:pPr>
      <w:r>
        <w:rPr>
          <w:rFonts w:eastAsia="等线" w:ascii="Arial" w:cs="Arial" w:hAnsi="Arial"/>
          <w:sz w:val="22"/>
        </w:rPr>
        <w:t>配置文件补充：将后端上传地址写入本地配置文件，适配后续云端服务迁移需求，无需每次服务迁移都更新客户端版本。</w:t>
      </w:r>
    </w:p>
    <w:p>
      <w:pPr>
        <w:numPr>
          <w:numId w:val="23"/>
        </w:numPr>
        <w:spacing w:before="120" w:after="120" w:line="288" w:lineRule="auto"/>
        <w:ind w:left="907"/>
        <w:jc w:val="left"/>
      </w:pPr>
      <w:r>
        <w:rPr>
          <w:rFonts w:eastAsia="等线" w:ascii="Arial" w:cs="Arial" w:hAnsi="Arial"/>
          <w:sz w:val="22"/>
        </w:rPr>
        <w:t>关键字同步优化：新增标准关键字云端自动同步能力，无需用户手动更新客户端配置文件，保证多端关键字库的一致性。</w:t>
      </w:r>
    </w:p>
    <w:p>
      <w:pPr>
        <w:numPr>
          <w:numId w:val="24"/>
        </w:numPr>
        <w:spacing w:before="120" w:after="120" w:line="288" w:lineRule="auto"/>
        <w:ind w:left="907"/>
        <w:jc w:val="left"/>
      </w:pPr>
      <w:r>
        <w:rPr>
          <w:rFonts w:eastAsia="等线" w:ascii="Arial" w:cs="Arial" w:hAnsi="Arial"/>
          <w:sz w:val="22"/>
        </w:rPr>
        <w:t>上传码规则调整：在现有 8 位上传码前增加对应项目名称前缀，便于用户快速识别上传码所属项目，匹配内部票据号管理逻辑。</w:t>
      </w:r>
    </w:p>
    <w:p>
      <w:pPr>
        <w:numPr>
          <w:numId w:val="25"/>
        </w:numPr>
        <w:spacing w:before="120" w:after="120" w:line="288" w:lineRule="auto"/>
        <w:ind w:left="453"/>
        <w:jc w:val="left"/>
      </w:pPr>
      <w:r>
        <w:rPr>
          <w:rFonts w:eastAsia="等线" w:ascii="Arial" w:cs="Arial" w:hAnsi="Arial"/>
          <w:b w:val="true"/>
          <w:sz w:val="22"/>
        </w:rPr>
        <w:t>通用功能优化</w:t>
      </w:r>
    </w:p>
    <w:p>
      <w:pPr>
        <w:numPr>
          <w:numId w:val="26"/>
        </w:numPr>
        <w:spacing w:before="120" w:after="120" w:line="288" w:lineRule="auto"/>
        <w:ind w:left="907"/>
        <w:jc w:val="left"/>
      </w:pPr>
      <w:r>
        <w:rPr>
          <w:rFonts w:eastAsia="等线" w:ascii="Arial" w:cs="Arial" w:hAnsi="Arial"/>
          <w:sz w:val="22"/>
        </w:rPr>
        <w:t>异常处理增强：web 端与桌面采集端均新增运行日志模块，上传失败等异常场景需展示具体失败原因，便于用户快速定位排查问题。</w:t>
      </w:r>
    </w:p>
    <w:p>
      <w:pPr>
        <w:numPr>
          <w:numId w:val="27"/>
        </w:numPr>
        <w:spacing w:before="120" w:after="120" w:line="288" w:lineRule="auto"/>
        <w:ind w:left="907"/>
        <w:jc w:val="left"/>
      </w:pPr>
      <w:r>
        <w:rPr>
          <w:rFonts w:eastAsia="等线" w:ascii="Arial" w:cs="Arial" w:hAnsi="Arial"/>
          <w:sz w:val="22"/>
        </w:rPr>
        <w:t>解压异常处理：针对日志压缩包解压失败场景新增明确弹框提示，避免静默失败导致用户无法感知异常，影响测试进度。</w:t>
      </w:r>
    </w:p>
    <w:p>
      <w:pPr>
        <w:numPr>
          <w:numId w:val="28"/>
        </w:numPr>
        <w:spacing w:before="120" w:after="120" w:line="288" w:lineRule="auto"/>
        <w:ind w:left="907"/>
        <w:jc w:val="left"/>
      </w:pPr>
      <w:r>
        <w:rPr>
          <w:rFonts w:eastAsia="等线" w:ascii="Arial" w:cs="Arial" w:hAnsi="Arial"/>
          <w:sz w:val="22"/>
        </w:rPr>
        <w:t>日志解密适配：已内置对应项目的日志压缩包解密密码，可自动匹配解密，无对应密码的压缩包则跳过解密流程。</w:t>
      </w:r>
    </w:p>
    <w:p>
      <w:pPr>
        <w:numPr>
          <w:numId w:val="29"/>
        </w:numPr>
        <w:spacing w:before="120" w:after="120" w:line="288" w:lineRule="auto"/>
        <w:ind w:left="907"/>
        <w:jc w:val="left"/>
      </w:pPr>
      <w:r>
        <w:rPr>
          <w:rFonts w:eastAsia="等线" w:ascii="Arial" w:cs="Arial" w:hAnsi="Arial"/>
          <w:sz w:val="22"/>
        </w:rPr>
        <w:t>项目创建规则：保留管理员审核创建项目的机制，避免用户输入错误生成无效项目条目，保证项目库的规范性与准确性。</w:t>
      </w:r>
    </w:p>
    <w:p>
      <w:pPr>
        <w:numPr>
          <w:numId w:val="30"/>
        </w:numPr>
        <w:spacing w:before="120" w:after="120" w:line="288" w:lineRule="auto"/>
        <w:ind w:left="907"/>
        <w:jc w:val="left"/>
      </w:pPr>
      <w:r>
        <w:rPr>
          <w:rFonts w:eastAsia="等线" w:ascii="Arial" w:cs="Arial" w:hAnsi="Arial"/>
          <w:sz w:val="22"/>
        </w:rPr>
        <w:t>配置复用优化：优化串口通道配置的历史记录复用逻辑，保证上传人、测试备注等参数可正常继承上一次的配置内容。</w:t>
      </w:r>
    </w:p>
    <w:p>
      <w:pPr>
        <w:numPr>
          <w:numId w:val="31"/>
        </w:numPr>
        <w:spacing w:before="120" w:after="120" w:line="288" w:lineRule="auto"/>
        <w:ind w:left="0"/>
        <w:jc w:val="left"/>
      </w:pPr>
      <w:r>
        <w:rPr>
          <w:rFonts w:eastAsia="等线" w:ascii="Arial" w:cs="Arial" w:hAnsi="Arial"/>
          <w:b w:val="true"/>
          <w:sz w:val="22"/>
        </w:rPr>
        <w:t>后续开发相关说明</w:t>
      </w:r>
    </w:p>
    <w:p>
      <w:pPr>
        <w:numPr>
          <w:numId w:val="32"/>
        </w:numPr>
        <w:spacing w:before="120" w:after="120" w:line="288" w:lineRule="auto"/>
        <w:ind w:left="453"/>
        <w:jc w:val="left"/>
      </w:pPr>
      <w:r>
        <w:rPr>
          <w:rFonts w:eastAsia="等线" w:ascii="Arial" w:cs="Arial" w:hAnsi="Arial"/>
          <w:b w:val="true"/>
          <w:sz w:val="22"/>
        </w:rPr>
        <w:t>预留能力规划</w:t>
      </w:r>
    </w:p>
    <w:p>
      <w:pPr>
        <w:numPr>
          <w:numId w:val="33"/>
        </w:numPr>
        <w:spacing w:before="120" w:after="120" w:line="288" w:lineRule="auto"/>
        <w:ind w:left="907"/>
        <w:jc w:val="left"/>
      </w:pPr>
      <w:r>
        <w:rPr>
          <w:rFonts w:eastAsia="等线" w:ascii="Arial" w:cs="Arial" w:hAnsi="Arial"/>
          <w:sz w:val="22"/>
        </w:rPr>
        <w:t>AI 解析接口：当前已预留 AI 解析对接接口，暂未接入大模型，当前错误原因提示、命中占比均为关键字文档匹配的固定内容，后续再行接入。</w:t>
      </w:r>
    </w:p>
    <w:p>
      <w:pPr>
        <w:numPr>
          <w:numId w:val="34"/>
        </w:numPr>
        <w:spacing w:before="120" w:after="120" w:line="288" w:lineRule="auto"/>
        <w:ind w:left="907"/>
        <w:jc w:val="left"/>
      </w:pPr>
      <w:r>
        <w:rPr>
          <w:rFonts w:eastAsia="等线" w:ascii="Arial" w:cs="Arial" w:hAnsi="Arial"/>
          <w:sz w:val="22"/>
        </w:rPr>
        <w:t>外部用户适配：当前飞书登录仅适配内部企业用户，外包等外部用户的登录适配方案暂未确定，待后续阶段再行规划。</w:t>
      </w:r>
    </w:p>
    <w:p>
      <w:pPr>
        <w:numPr>
          <w:numId w:val="35"/>
        </w:numPr>
        <w:spacing w:before="120" w:after="120" w:line="288" w:lineRule="auto"/>
        <w:ind w:left="453"/>
        <w:jc w:val="left"/>
      </w:pPr>
      <w:r>
        <w:rPr>
          <w:rFonts w:eastAsia="等线" w:ascii="Arial" w:cs="Arial" w:hAnsi="Arial"/>
          <w:b w:val="true"/>
          <w:sz w:val="22"/>
        </w:rPr>
        <w:t>开发优先级要求</w:t>
      </w:r>
      <w:r>
        <w:rPr>
          <w:rFonts w:eastAsia="等线" w:ascii="Arial" w:cs="Arial" w:hAnsi="Arial"/>
          <w:sz w:val="22"/>
        </w:rPr>
        <w:t>：本次评审提出的所有优化项需优先完成迭代，AI 解析、外部用户适配等非紧急需求暂不纳入当前迭代范围。</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待办</w:t>
      </w:r>
      <w:bookmarkEnd w:id="1"/>
    </w:p>
    <w:p>
      <w:pPr>
        <w:numPr>
          <w:numId w:val="36"/>
        </w:numPr>
        <w:spacing w:before="120" w:after="120" w:line="288" w:lineRule="auto"/>
        <w:ind w:left="0"/>
        <w:jc w:val="left"/>
      </w:pPr>
      <w:r>
        <w:rPr>
          <w:rFonts w:eastAsia="等线" w:ascii="Arial" w:cs="Arial" w:hAnsi="Arial"/>
          <w:sz w:val="22"/>
        </w:rPr>
        <w:t>串口数量调整：因存在通过 hub 连接多台设备进行老化测试的场景，将串口通道数量修改为不做限制，适配电脑实际端口数量（来自严亮,程文杰）</w:t>
      </w:r>
      <w:r>
        <w:rPr>
          <w:rFonts w:eastAsia="等线" w:ascii="Arial" w:cs="Arial" w:hAnsi="Arial"/>
          <w:sz w:val="22"/>
        </w:rPr>
        <w:t xml:space="preserve"> </w:t>
      </w:r>
      <w:r>
        <w:rPr>
          <w:rFonts w:eastAsia="等线" w:ascii="Arial" w:cs="Arial" w:hAnsi="Arial"/>
          <w:color w:val="3370ff"/>
          <w:sz w:val="22"/>
        </w:rPr>
        <w:t>@武首超</w:t>
      </w:r>
    </w:p>
    <w:p>
      <w:pPr>
        <w:numPr>
          <w:numId w:val="37"/>
        </w:numPr>
        <w:spacing w:before="120" w:after="120" w:line="288" w:lineRule="auto"/>
        <w:ind w:left="0"/>
        <w:jc w:val="left"/>
      </w:pPr>
      <w:r>
        <w:rPr>
          <w:rFonts w:eastAsia="等线" w:ascii="Arial" w:cs="Arial" w:hAnsi="Arial"/>
          <w:sz w:val="22"/>
        </w:rPr>
        <w:t>日志模块新增：在本地及线上环境均新增日志模块，同时为解压失败场景新增弹框，便于定位上传失败的具体原因（来自程文杰）</w:t>
      </w:r>
      <w:r>
        <w:rPr>
          <w:rFonts w:eastAsia="等线" w:ascii="Arial" w:cs="Arial" w:hAnsi="Arial"/>
          <w:sz w:val="22"/>
        </w:rPr>
        <w:t xml:space="preserve"> </w:t>
      </w:r>
      <w:r>
        <w:rPr>
          <w:rFonts w:eastAsia="等线" w:ascii="Arial" w:cs="Arial" w:hAnsi="Arial"/>
          <w:color w:val="3370ff"/>
          <w:sz w:val="22"/>
        </w:rPr>
        <w:t>@武首超</w:t>
      </w:r>
    </w:p>
    <w:p>
      <w:pPr>
        <w:numPr>
          <w:numId w:val="38"/>
        </w:numPr>
        <w:spacing w:before="120" w:after="120" w:line="288" w:lineRule="auto"/>
        <w:ind w:left="0"/>
        <w:jc w:val="left"/>
      </w:pPr>
      <w:r>
        <w:rPr>
          <w:rFonts w:eastAsia="等线" w:ascii="Arial" w:cs="Arial" w:hAnsi="Arial"/>
          <w:sz w:val="22"/>
        </w:rPr>
        <w:t>上传人问题排查：针对当前上传人未正常变更、疑似由历史记录保留导致的异常问题，开展全面排查核验（来自程文杰）</w:t>
      </w:r>
      <w:r>
        <w:rPr>
          <w:rFonts w:eastAsia="等线" w:ascii="Arial" w:cs="Arial" w:hAnsi="Arial"/>
          <w:sz w:val="22"/>
        </w:rPr>
        <w:t xml:space="preserve"> </w:t>
      </w:r>
      <w:r>
        <w:rPr>
          <w:rFonts w:eastAsia="等线" w:ascii="Arial" w:cs="Arial" w:hAnsi="Arial"/>
          <w:color w:val="3370ff"/>
          <w:sz w:val="22"/>
        </w:rPr>
        <w:t>@武首超</w:t>
      </w:r>
    </w:p>
    <w:p>
      <w:pPr>
        <w:numPr>
          <w:numId w:val="39"/>
        </w:numPr>
        <w:spacing w:before="120" w:after="120" w:line="288" w:lineRule="auto"/>
        <w:ind w:left="0"/>
        <w:jc w:val="left"/>
      </w:pPr>
      <w:r>
        <w:rPr>
          <w:rFonts w:eastAsia="等线" w:ascii="Arial" w:cs="Arial" w:hAnsi="Arial"/>
          <w:sz w:val="22"/>
        </w:rPr>
        <w:t>状态码优化：为日志上传状态码添加项目名称前缀，解决当前票据号无法区分所属区域的问题，便于识别归属（来自程文杰）</w:t>
      </w:r>
      <w:r>
        <w:rPr>
          <w:rFonts w:eastAsia="等线" w:ascii="Arial" w:cs="Arial" w:hAnsi="Arial"/>
          <w:sz w:val="22"/>
        </w:rPr>
        <w:t xml:space="preserve"> </w:t>
      </w:r>
      <w:r>
        <w:rPr>
          <w:rFonts w:eastAsia="等线" w:ascii="Arial" w:cs="Arial" w:hAnsi="Arial"/>
          <w:color w:val="3370ff"/>
          <w:sz w:val="22"/>
        </w:rPr>
        <w:t>@武首超</w:t>
      </w:r>
    </w:p>
    <w:p>
      <w:pPr>
        <w:numPr>
          <w:numId w:val="40"/>
        </w:numPr>
        <w:spacing w:before="120" w:after="120" w:line="288" w:lineRule="auto"/>
        <w:ind w:left="0"/>
        <w:jc w:val="left"/>
      </w:pPr>
      <w:r>
        <w:rPr>
          <w:rFonts w:eastAsia="等线" w:ascii="Arial" w:cs="Arial" w:hAnsi="Arial"/>
          <w:sz w:val="22"/>
        </w:rPr>
        <w:t>登录方案优化：结合程文杰提出的登录相关建议，针对企业内飞书登录、外部人员登录场景，调整现有登录方案并完成优化（来自严亮）</w:t>
      </w:r>
      <w:r>
        <w:rPr>
          <w:rFonts w:eastAsia="等线" w:ascii="Arial" w:cs="Arial" w:hAnsi="Arial"/>
          <w:sz w:val="22"/>
        </w:rPr>
        <w:t xml:space="preserve"> </w:t>
      </w:r>
      <w:r>
        <w:rPr>
          <w:rFonts w:eastAsia="等线" w:ascii="Arial" w:cs="Arial" w:hAnsi="Arial"/>
          <w:color w:val="3370ff"/>
          <w:sz w:val="22"/>
        </w:rPr>
        <w:t>@武首超</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会议中的金句时刻</w:t>
      </w:r>
      <w:bookmarkEnd w:id="2"/>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相关链接</w:t>
      </w:r>
      <w:bookmarkEnd w:id="3"/>
    </w:p>
    <w:p>
      <w:pPr>
        <w:numPr>
          <w:numId w:val="41"/>
        </w:numPr>
        <w:spacing w:before="120" w:after="120" w:line="288" w:lineRule="auto"/>
        <w:ind w:left="0"/>
        <w:jc w:val="left"/>
      </w:pPr>
      <w:r>
        <w:rPr>
          <w:rFonts w:eastAsia="等线" w:ascii="Arial" w:cs="Arial" w:hAnsi="Arial"/>
          <w:sz w:val="22"/>
        </w:rPr>
        <w:t>文字记录</w:t>
      </w:r>
    </w:p>
    <w:p>
      <w:pPr>
        <w:numPr>
          <w:numId w:val="42"/>
        </w:numPr>
        <w:spacing w:before="120" w:after="120" w:line="288" w:lineRule="auto"/>
        <w:ind w:left="453"/>
        <w:jc w:val="left"/>
      </w:pPr>
      <w:hyperlink r:id="rId7">
        <w:r>
          <w:rPr>
            <w:rFonts w:eastAsia="等线" w:ascii="Arial" w:cs="Arial" w:hAnsi="Arial"/>
            <w:color w:val="3370ff"/>
            <w:sz w:val="22"/>
          </w:rPr>
          <w:t>AI创新-课题九-日志管理平台成果汇报 2026年8月11日</w:t>
        </w:r>
      </w:hyperlink>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王占赢 8238"/>
          <v:fill opacity="0.3"/>
        </v:shape>
      </w:pict>
    </w:r>
  </w:p>
</w:hdr>
</file>

<file path=word/numbering.xml><?xml version="1.0" encoding="utf-8"?>
<w:numbering xmlns:w="http://schemas.openxmlformats.org/wordprocessingml/2006/main">
  <w:abstractNum w:abstractNumId="584042">
    <w:lvl>
      <w:numFmt w:val="bullet"/>
      <w:suff w:val="tab"/>
      <w:lvlText w:val="•"/>
      <w:rPr>
        <w:color w:val="3370ff"/>
      </w:rPr>
    </w:lvl>
  </w:abstractNum>
  <w:abstractNum w:abstractNumId="584043">
    <w:lvl>
      <w:numFmt w:val="bullet"/>
      <w:suff w:val="tab"/>
      <w:lvlText w:val="￮"/>
      <w:rPr>
        <w:color w:val="3370ff"/>
      </w:rPr>
    </w:lvl>
  </w:abstractNum>
  <w:abstractNum w:abstractNumId="584044">
    <w:lvl>
      <w:numFmt w:val="bullet"/>
      <w:suff w:val="tab"/>
      <w:lvlText w:val="•"/>
      <w:rPr>
        <w:color w:val="3370ff"/>
      </w:rPr>
    </w:lvl>
  </w:abstractNum>
  <w:abstractNum w:abstractNumId="584045">
    <w:lvl>
      <w:numFmt w:val="bullet"/>
      <w:suff w:val="tab"/>
      <w:lvlText w:val="•"/>
      <w:rPr>
        <w:color w:val="3370ff"/>
      </w:rPr>
    </w:lvl>
  </w:abstractNum>
  <w:abstractNum w:abstractNumId="584046">
    <w:lvl>
      <w:numFmt w:val="bullet"/>
      <w:suff w:val="tab"/>
      <w:lvlText w:val="•"/>
      <w:rPr>
        <w:color w:val="3370ff"/>
      </w:rPr>
    </w:lvl>
  </w:abstractNum>
  <w:abstractNum w:abstractNumId="584047">
    <w:lvl>
      <w:numFmt w:val="bullet"/>
      <w:suff w:val="tab"/>
      <w:lvlText w:val="•"/>
      <w:rPr>
        <w:color w:val="3370ff"/>
      </w:rPr>
    </w:lvl>
  </w:abstractNum>
  <w:abstractNum w:abstractNumId="584048">
    <w:lvl>
      <w:numFmt w:val="bullet"/>
      <w:suff w:val="tab"/>
      <w:lvlText w:val="•"/>
      <w:rPr>
        <w:color w:val="3370ff"/>
      </w:rPr>
    </w:lvl>
  </w:abstractNum>
  <w:abstractNum w:abstractNumId="584049">
    <w:lvl>
      <w:numFmt w:val="bullet"/>
      <w:suff w:val="tab"/>
      <w:lvlText w:val="￮"/>
      <w:rPr>
        <w:color w:val="3370ff"/>
      </w:rPr>
    </w:lvl>
  </w:abstractNum>
  <w:abstractNum w:abstractNumId="584050">
    <w:lvl>
      <w:numFmt w:val="bullet"/>
      <w:suff w:val="tab"/>
      <w:lvlText w:val="▪"/>
      <w:rPr>
        <w:color w:val="3370ff"/>
        <w:sz w:val="11"/>
      </w:rPr>
    </w:lvl>
  </w:abstractNum>
  <w:abstractNum w:abstractNumId="584051">
    <w:lvl>
      <w:numFmt w:val="bullet"/>
      <w:suff w:val="tab"/>
      <w:lvlText w:val="▪"/>
      <w:rPr>
        <w:color w:val="3370ff"/>
        <w:sz w:val="11"/>
      </w:rPr>
    </w:lvl>
  </w:abstractNum>
  <w:abstractNum w:abstractNumId="584052">
    <w:lvl>
      <w:numFmt w:val="bullet"/>
      <w:suff w:val="tab"/>
      <w:lvlText w:val="▪"/>
      <w:rPr>
        <w:color w:val="3370ff"/>
        <w:sz w:val="11"/>
      </w:rPr>
    </w:lvl>
  </w:abstractNum>
  <w:abstractNum w:abstractNumId="584053">
    <w:lvl>
      <w:numFmt w:val="bullet"/>
      <w:suff w:val="tab"/>
      <w:lvlText w:val="▪"/>
      <w:rPr>
        <w:color w:val="3370ff"/>
        <w:sz w:val="11"/>
      </w:rPr>
    </w:lvl>
  </w:abstractNum>
  <w:abstractNum w:abstractNumId="584054">
    <w:lvl>
      <w:numFmt w:val="bullet"/>
      <w:suff w:val="tab"/>
      <w:lvlText w:val="▪"/>
      <w:rPr>
        <w:color w:val="3370ff"/>
        <w:sz w:val="11"/>
      </w:rPr>
    </w:lvl>
  </w:abstractNum>
  <w:abstractNum w:abstractNumId="584055">
    <w:lvl>
      <w:numFmt w:val="bullet"/>
      <w:suff w:val="tab"/>
      <w:lvlText w:val="•"/>
      <w:rPr>
        <w:color w:val="3370ff"/>
      </w:rPr>
    </w:lvl>
  </w:abstractNum>
  <w:abstractNum w:abstractNumId="584056">
    <w:lvl>
      <w:numFmt w:val="bullet"/>
      <w:suff w:val="tab"/>
      <w:lvlText w:val="￮"/>
      <w:rPr>
        <w:color w:val="3370ff"/>
      </w:rPr>
    </w:lvl>
  </w:abstractNum>
  <w:abstractNum w:abstractNumId="584057">
    <w:lvl>
      <w:numFmt w:val="bullet"/>
      <w:suff w:val="tab"/>
      <w:lvlText w:val="▪"/>
      <w:rPr>
        <w:color w:val="3370ff"/>
        <w:sz w:val="11"/>
      </w:rPr>
    </w:lvl>
  </w:abstractNum>
  <w:abstractNum w:abstractNumId="584058">
    <w:lvl>
      <w:numFmt w:val="bullet"/>
      <w:suff w:val="tab"/>
      <w:lvlText w:val="▪"/>
      <w:rPr>
        <w:color w:val="3370ff"/>
        <w:sz w:val="11"/>
      </w:rPr>
    </w:lvl>
  </w:abstractNum>
  <w:abstractNum w:abstractNumId="584059">
    <w:lvl>
      <w:numFmt w:val="bullet"/>
      <w:suff w:val="tab"/>
      <w:lvlText w:val="▪"/>
      <w:rPr>
        <w:color w:val="3370ff"/>
        <w:sz w:val="11"/>
      </w:rPr>
    </w:lvl>
  </w:abstractNum>
  <w:abstractNum w:abstractNumId="584060">
    <w:lvl>
      <w:numFmt w:val="bullet"/>
      <w:suff w:val="tab"/>
      <w:lvlText w:val="￮"/>
      <w:rPr>
        <w:color w:val="3370ff"/>
      </w:rPr>
    </w:lvl>
  </w:abstractNum>
  <w:abstractNum w:abstractNumId="584061">
    <w:lvl>
      <w:numFmt w:val="bullet"/>
      <w:suff w:val="tab"/>
      <w:lvlText w:val="▪"/>
      <w:rPr>
        <w:color w:val="3370ff"/>
        <w:sz w:val="11"/>
      </w:rPr>
    </w:lvl>
  </w:abstractNum>
  <w:abstractNum w:abstractNumId="584062">
    <w:lvl>
      <w:numFmt w:val="bullet"/>
      <w:suff w:val="tab"/>
      <w:lvlText w:val="▪"/>
      <w:rPr>
        <w:color w:val="3370ff"/>
        <w:sz w:val="11"/>
      </w:rPr>
    </w:lvl>
  </w:abstractNum>
  <w:abstractNum w:abstractNumId="584063">
    <w:lvl>
      <w:numFmt w:val="bullet"/>
      <w:suff w:val="tab"/>
      <w:lvlText w:val="▪"/>
      <w:rPr>
        <w:color w:val="3370ff"/>
        <w:sz w:val="11"/>
      </w:rPr>
    </w:lvl>
  </w:abstractNum>
  <w:abstractNum w:abstractNumId="584064">
    <w:lvl>
      <w:numFmt w:val="bullet"/>
      <w:suff w:val="tab"/>
      <w:lvlText w:val="▪"/>
      <w:rPr>
        <w:color w:val="3370ff"/>
        <w:sz w:val="11"/>
      </w:rPr>
    </w:lvl>
  </w:abstractNum>
  <w:abstractNum w:abstractNumId="584065">
    <w:lvl>
      <w:numFmt w:val="bullet"/>
      <w:suff w:val="tab"/>
      <w:lvlText w:val="▪"/>
      <w:rPr>
        <w:color w:val="3370ff"/>
        <w:sz w:val="11"/>
      </w:rPr>
    </w:lvl>
  </w:abstractNum>
  <w:abstractNum w:abstractNumId="584066">
    <w:lvl>
      <w:numFmt w:val="bullet"/>
      <w:suff w:val="tab"/>
      <w:lvlText w:val="￮"/>
      <w:rPr>
        <w:color w:val="3370ff"/>
      </w:rPr>
    </w:lvl>
  </w:abstractNum>
  <w:abstractNum w:abstractNumId="584067">
    <w:lvl>
      <w:numFmt w:val="bullet"/>
      <w:suff w:val="tab"/>
      <w:lvlText w:val="▪"/>
      <w:rPr>
        <w:color w:val="3370ff"/>
        <w:sz w:val="11"/>
      </w:rPr>
    </w:lvl>
  </w:abstractNum>
  <w:abstractNum w:abstractNumId="584068">
    <w:lvl>
      <w:numFmt w:val="bullet"/>
      <w:suff w:val="tab"/>
      <w:lvlText w:val="▪"/>
      <w:rPr>
        <w:color w:val="3370ff"/>
        <w:sz w:val="11"/>
      </w:rPr>
    </w:lvl>
  </w:abstractNum>
  <w:abstractNum w:abstractNumId="584069">
    <w:lvl>
      <w:numFmt w:val="bullet"/>
      <w:suff w:val="tab"/>
      <w:lvlText w:val="▪"/>
      <w:rPr>
        <w:color w:val="3370ff"/>
        <w:sz w:val="11"/>
      </w:rPr>
    </w:lvl>
  </w:abstractNum>
  <w:abstractNum w:abstractNumId="584070">
    <w:lvl>
      <w:numFmt w:val="bullet"/>
      <w:suff w:val="tab"/>
      <w:lvlText w:val="▪"/>
      <w:rPr>
        <w:color w:val="3370ff"/>
        <w:sz w:val="11"/>
      </w:rPr>
    </w:lvl>
  </w:abstractNum>
  <w:abstractNum w:abstractNumId="584071">
    <w:lvl>
      <w:numFmt w:val="bullet"/>
      <w:suff w:val="tab"/>
      <w:lvlText w:val="▪"/>
      <w:rPr>
        <w:color w:val="3370ff"/>
        <w:sz w:val="11"/>
      </w:rPr>
    </w:lvl>
  </w:abstractNum>
  <w:abstractNum w:abstractNumId="584072">
    <w:lvl>
      <w:numFmt w:val="bullet"/>
      <w:suff w:val="tab"/>
      <w:lvlText w:val="•"/>
      <w:rPr>
        <w:color w:val="3370ff"/>
      </w:rPr>
    </w:lvl>
  </w:abstractNum>
  <w:abstractNum w:abstractNumId="584073">
    <w:lvl>
      <w:numFmt w:val="bullet"/>
      <w:suff w:val="tab"/>
      <w:lvlText w:val="￮"/>
      <w:rPr>
        <w:color w:val="3370ff"/>
      </w:rPr>
    </w:lvl>
  </w:abstractNum>
  <w:abstractNum w:abstractNumId="584074">
    <w:lvl>
      <w:numFmt w:val="bullet"/>
      <w:suff w:val="tab"/>
      <w:lvlText w:val="▪"/>
      <w:rPr>
        <w:color w:val="3370ff"/>
        <w:sz w:val="11"/>
      </w:rPr>
    </w:lvl>
  </w:abstractNum>
  <w:abstractNum w:abstractNumId="584075">
    <w:lvl>
      <w:numFmt w:val="bullet"/>
      <w:suff w:val="tab"/>
      <w:lvlText w:val="▪"/>
      <w:rPr>
        <w:color w:val="3370ff"/>
        <w:sz w:val="11"/>
      </w:rPr>
    </w:lvl>
  </w:abstractNum>
  <w:abstractNum w:abstractNumId="584076">
    <w:lvl>
      <w:numFmt w:val="bullet"/>
      <w:suff w:val="tab"/>
      <w:lvlText w:val="￮"/>
      <w:rPr>
        <w:color w:val="3370ff"/>
      </w:rPr>
    </w:lvl>
  </w:abstractNum>
  <w:abstractNum w:abstractNumId="584077">
    <w:lvl>
      <w:numFmt w:val="bullet"/>
      <w:suff w:val="space"/>
      <w:lvlText w:val="□"/>
    </w:lvl>
  </w:abstractNum>
  <w:abstractNum w:abstractNumId="584078">
    <w:lvl>
      <w:numFmt w:val="bullet"/>
      <w:suff w:val="space"/>
      <w:lvlText w:val="□"/>
    </w:lvl>
  </w:abstractNum>
  <w:abstractNum w:abstractNumId="584079">
    <w:lvl>
      <w:numFmt w:val="bullet"/>
      <w:suff w:val="space"/>
      <w:lvlText w:val="□"/>
    </w:lvl>
  </w:abstractNum>
  <w:abstractNum w:abstractNumId="584080">
    <w:lvl>
      <w:numFmt w:val="bullet"/>
      <w:suff w:val="space"/>
      <w:lvlText w:val="□"/>
    </w:lvl>
  </w:abstractNum>
  <w:abstractNum w:abstractNumId="584081">
    <w:lvl>
      <w:numFmt w:val="bullet"/>
      <w:suff w:val="space"/>
      <w:lvlText w:val="□"/>
    </w:lvl>
  </w:abstractNum>
  <w:abstractNum w:abstractNumId="584082">
    <w:lvl>
      <w:numFmt w:val="bullet"/>
      <w:suff w:val="tab"/>
      <w:lvlText w:val="•"/>
      <w:rPr>
        <w:color w:val="3370ff"/>
      </w:rPr>
    </w:lvl>
  </w:abstractNum>
  <w:abstractNum w:abstractNumId="584083">
    <w:lvl>
      <w:numFmt w:val="bullet"/>
      <w:suff w:val="tab"/>
      <w:lvlText w:val="￮"/>
      <w:rPr>
        <w:color w:val="3370ff"/>
      </w:rPr>
    </w:lvl>
  </w:abstractNum>
  <w:num w:numId="1">
    <w:abstractNumId w:val="584042"/>
  </w:num>
  <w:num w:numId="2">
    <w:abstractNumId w:val="584043"/>
  </w:num>
  <w:num w:numId="3">
    <w:abstractNumId w:val="584044"/>
  </w:num>
  <w:num w:numId="4">
    <w:abstractNumId w:val="584045"/>
  </w:num>
  <w:num w:numId="5">
    <w:abstractNumId w:val="584046"/>
  </w:num>
  <w:num w:numId="6">
    <w:abstractNumId w:val="584047"/>
  </w:num>
  <w:num w:numId="7">
    <w:abstractNumId w:val="584048"/>
  </w:num>
  <w:num w:numId="8">
    <w:abstractNumId w:val="584049"/>
  </w:num>
  <w:num w:numId="9">
    <w:abstractNumId w:val="584050"/>
  </w:num>
  <w:num w:numId="10">
    <w:abstractNumId w:val="584051"/>
  </w:num>
  <w:num w:numId="11">
    <w:abstractNumId w:val="584052"/>
  </w:num>
  <w:num w:numId="12">
    <w:abstractNumId w:val="584053"/>
  </w:num>
  <w:num w:numId="13">
    <w:abstractNumId w:val="584054"/>
  </w:num>
  <w:num w:numId="14">
    <w:abstractNumId w:val="584055"/>
  </w:num>
  <w:num w:numId="15">
    <w:abstractNumId w:val="584056"/>
  </w:num>
  <w:num w:numId="16">
    <w:abstractNumId w:val="584057"/>
  </w:num>
  <w:num w:numId="17">
    <w:abstractNumId w:val="584058"/>
  </w:num>
  <w:num w:numId="18">
    <w:abstractNumId w:val="584059"/>
  </w:num>
  <w:num w:numId="19">
    <w:abstractNumId w:val="584060"/>
  </w:num>
  <w:num w:numId="20">
    <w:abstractNumId w:val="584061"/>
  </w:num>
  <w:num w:numId="21">
    <w:abstractNumId w:val="584062"/>
  </w:num>
  <w:num w:numId="22">
    <w:abstractNumId w:val="584063"/>
  </w:num>
  <w:num w:numId="23">
    <w:abstractNumId w:val="584064"/>
  </w:num>
  <w:num w:numId="24">
    <w:abstractNumId w:val="584065"/>
  </w:num>
  <w:num w:numId="25">
    <w:abstractNumId w:val="584066"/>
  </w:num>
  <w:num w:numId="26">
    <w:abstractNumId w:val="584067"/>
  </w:num>
  <w:num w:numId="27">
    <w:abstractNumId w:val="584068"/>
  </w:num>
  <w:num w:numId="28">
    <w:abstractNumId w:val="584069"/>
  </w:num>
  <w:num w:numId="29">
    <w:abstractNumId w:val="584070"/>
  </w:num>
  <w:num w:numId="30">
    <w:abstractNumId w:val="584071"/>
  </w:num>
  <w:num w:numId="31">
    <w:abstractNumId w:val="584072"/>
  </w:num>
  <w:num w:numId="32">
    <w:abstractNumId w:val="584073"/>
  </w:num>
  <w:num w:numId="33">
    <w:abstractNumId w:val="584074"/>
  </w:num>
  <w:num w:numId="34">
    <w:abstractNumId w:val="584075"/>
  </w:num>
  <w:num w:numId="35">
    <w:abstractNumId w:val="584076"/>
  </w:num>
  <w:num w:numId="36">
    <w:abstractNumId w:val="584077"/>
  </w:num>
  <w:num w:numId="37">
    <w:abstractNumId w:val="584078"/>
  </w:num>
  <w:num w:numId="38">
    <w:abstractNumId w:val="584079"/>
  </w:num>
  <w:num w:numId="39">
    <w:abstractNumId w:val="584080"/>
  </w:num>
  <w:num w:numId="40">
    <w:abstractNumId w:val="584081"/>
  </w:num>
  <w:num w:numId="41">
    <w:abstractNumId w:val="584082"/>
  </w:num>
  <w:num w:numId="42">
    <w:abstractNumId w:val="58408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qau2vw8p0n.feishu.cn/docx/WXxLd7GSDoWzLMxe0YgcOD4NnYd" TargetMode="External" Type="http://schemas.openxmlformats.org/officeDocument/2006/relationships/hyperlink"/><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2026-08-14T06:16:56Z</dcterms:created>
  <dc:creator>Apache POI</dc:creator>
</cp:coreProperties>
</file>