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Founder's Startup Packet</w:t>
      </w:r>
    </w:p>
    <w:p>
      <w:pPr>
        <w:spacing w:after="200"/>
      </w:pPr>
      <w:r>
        <w:rPr>
          <w:b/>
          <w:bCs/>
          <w:color w:val="B57E1F"/>
          <w:sz w:val="28"/>
          <w:szCs w:val="28"/>
        </w:rPr>
        <w:t xml:space="preserve">How to Turn Aegis Life Into a Real, Operating Company</w:t>
      </w:r>
    </w:p>
    <w:p>
      <w:pPr>
        <w:spacing w:after="60"/>
      </w:pPr>
      <w:r>
        <w:rPr>
          <w:color w:val="5D6F78"/>
          <w:sz w:val="22"/>
          <w:szCs w:val="22"/>
        </w:rPr>
        <w:t xml:space="preserve">Prepared for Payton — founder, Aegis Life</w:t>
      </w:r>
    </w:p>
    <w:p>
      <w:r>
        <w:rPr>
          <w:color w:val="5D6F78"/>
          <w:sz w:val="22"/>
          <w:szCs w:val="22"/>
        </w:rPr>
        <w:t xml:space="preserve">Strategic build &amp; operations guide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Read This First</w:t>
      </w:r>
    </w:p>
    <w:p>
      <w:pPr>
        <w:spacing w:after="140" w:line="276"/>
      </w:pPr>
      <w:r>
        <w:rPr>
          <w:i/>
          <w:iCs/>
          <w:color w:val="5D6F78"/>
        </w:rPr>
        <w:t xml:space="preserve">You told me you’ve never started a business. Good news: you don’t need to know everything — you need to do the right things in the right order. This packet is that order.</w:t>
      </w:r>
    </w:p>
    <w:p>
      <w:pPr>
        <w:spacing w:after="120" w:line="276"/>
      </w:pPr>
      <w:r>
        <w:t xml:space="preserve">You are building two things at once: (1) a software platform that scores and sells life-insurance leads to agents, and (2) an AI sales engine that works leads for you. To operate legally and get paid, a handful of real-world pieces have to be in place: a legal entity, the right licenses, a domain and hosting, a few paid services, and a compliance backbone. We’ll knock them out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The 30,000-foot view of your first 30 days</w:t>
            </w:r>
          </w:p>
          <w:p>
            <w:pPr>
              <w:spacing w:after="40" w:line="264"/>
            </w:pPr>
            <w:r>
              <w:rPr>
                <w:color w:val="333333"/>
              </w:rPr>
              <w:t xml:space="preserve">Week 1 — Form the LLC, get your EIN, open a business bank account.</w:t>
            </w:r>
          </w:p>
          <w:p>
            <w:pPr>
              <w:spacing w:after="40" w:line="264"/>
            </w:pPr>
            <w:r>
              <w:rPr>
                <w:color w:val="333333"/>
              </w:rPr>
              <w:t xml:space="preserve">Week 2 — Lock your domain, stand up the website, set up email.</w:t>
            </w:r>
          </w:p>
          <w:p>
            <w:pPr>
              <w:spacing w:after="40" w:line="264"/>
            </w:pPr>
            <w:r>
              <w:rPr>
                <w:color w:val="333333"/>
              </w:rPr>
              <w:t xml:space="preserve">Week 3 — Sign up for the core services (telephony, voice AI, payments, DNC scrubbing) and wire your API keys.</w:t>
            </w:r>
          </w:p>
          <w:p>
            <w:pPr>
              <w:spacing w:after="40" w:line="264"/>
            </w:pPr>
            <w:r>
              <w:rPr>
                <w:color w:val="333333"/>
              </w:rPr>
              <w:t xml:space="preserve">Week 4 — Turn on compliant lead capture, run your first AI calls, onboard your first test agent.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8" w:sz="2"/>
              <w:left w:val="single" w:color="C0492F" w:sz="24"/>
              <w:bottom w:val="single" w:color="FBECE8" w:sz="2"/>
              <w:right w:val="single" w:color="FBECE8" w:sz="2"/>
            </w:tcBorders>
            <w:shd w:fill="FBECE8" w:val="clear"/>
            <w:tcMar>
              <w:top w:type="dxa" w:w="120"/>
              <w:left w:type="dxa" w:w="200"/>
              <w:bottom w:type="dxa" w:w="120"/>
              <w:right w:type="dxa" w:w="160"/>
            </w:tcMar>
          </w:tcPr>
          <w:p>
            <w:pPr>
              <w:spacing w:after="60"/>
            </w:pPr>
            <w:r>
              <w:rPr>
                <w:b/>
                <w:bCs/>
                <w:color w:val="0D2B3E"/>
              </w:rPr>
              <w:t xml:space="preserve">One honest caveat</w:t>
            </w:r>
          </w:p>
          <w:p>
            <w:pPr>
              <w:spacing w:after="40" w:line="264"/>
            </w:pPr>
            <w:r>
              <w:rPr>
                <w:color w:val="333333"/>
              </w:rPr>
              <w:t xml:space="preserve">Selling life insurance and selling life-insurance leads both touch regulated territory. Before you take money from agents or call consumers at scale, have a short paid consult with (a) a business attorney and (b) someone who knows TCPA/insurance-marketing law. A few hundred dollars here prevents five-figure problems later. Everything below is practical guidance, not legal advice.</w:t>
            </w:r>
          </w:p>
        </w:tc>
      </w:tr>
    </w:tbl>
    <w:p>
      <w:pPr>
        <w:pStyle w:val="Heading1"/>
      </w:pPr>
      <w:r>
        <w:t xml:space="preserve">1. Your Business Model &amp; How You Make Money</w:t>
      </w:r>
    </w:p>
    <w:p>
      <w:pPr>
        <w:spacing w:after="120" w:line="276"/>
      </w:pPr>
      <w:r>
        <w:t xml:space="preserve">Clarity on revenue first — it drives every other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0F6B6B" w:val="clear"/>
            <w:tcMar>
              <w:top w:type="dxa" w:w="70"/>
              <w:left w:type="dxa" w:w="120"/>
              <w:bottom w:type="dxa" w:w="70"/>
              <w:right w:type="dxa" w:w="120"/>
            </w:tcMar>
          </w:tcPr>
          <w:p>
            <w:pPr>
              <w:spacing w:after="0" w:line="264"/>
              <w:jc w:val="left"/>
            </w:pPr>
            <w:r>
              <w:rPr>
                <w:b/>
                <w:bCs/>
                <w:color w:val="FFFFFF"/>
              </w:rPr>
              <w:t xml:space="preserve">Revenue stream</w:t>
            </w:r>
          </w:p>
        </w:tc>
        <w:tc>
          <w:tcPr>
            <w:tcW w:type="dxa" w:w="2400"/>
            <w:shd w:fill="0F6B6B" w:val="clear"/>
            <w:tcMar>
              <w:top w:type="dxa" w:w="70"/>
              <w:left w:type="dxa" w:w="120"/>
              <w:bottom w:type="dxa" w:w="70"/>
              <w:right w:type="dxa" w:w="120"/>
            </w:tcMar>
          </w:tcPr>
          <w:p>
            <w:pPr>
              <w:spacing w:after="0" w:line="264"/>
              <w:jc w:val="left"/>
            </w:pPr>
            <w:r>
              <w:rPr>
                <w:b/>
                <w:bCs/>
                <w:color w:val="FFFFFF"/>
              </w:rPr>
              <w:t xml:space="preserve">Who pays</w:t>
            </w:r>
          </w:p>
        </w:tc>
        <w:tc>
          <w:tcPr>
            <w:tcW w:type="dxa" w:w="4560"/>
            <w:shd w:fill="0F6B6B" w:val="clear"/>
            <w:tcMar>
              <w:top w:type="dxa" w:w="70"/>
              <w:left w:type="dxa" w:w="120"/>
              <w:bottom w:type="dxa" w:w="70"/>
              <w:right w:type="dxa" w:w="120"/>
            </w:tcMar>
          </w:tcPr>
          <w:p>
            <w:pPr>
              <w:spacing w:after="0" w:line="264"/>
              <w:jc w:val="left"/>
            </w:pPr>
            <w:r>
              <w:rPr>
                <w:b/>
                <w:bCs/>
                <w:color w:val="FFFFFF"/>
              </w:rPr>
              <w:t xml:space="preserve">How it works</w:t>
            </w:r>
          </w:p>
        </w:tc>
      </w:tr>
      <w:tr>
        <w:tc>
          <w:tcPr>
            <w:tcW w:type="dxa" w:w="2400"/>
            <w:shd w:fill="FFFFFF" w:val="clear"/>
            <w:tcMar>
              <w:top w:type="dxa" w:w="70"/>
              <w:left w:type="dxa" w:w="120"/>
              <w:bottom w:type="dxa" w:w="70"/>
              <w:right w:type="dxa" w:w="120"/>
            </w:tcMar>
          </w:tcPr>
          <w:p>
            <w:pPr>
              <w:spacing w:after="0" w:line="264"/>
              <w:jc w:val="left"/>
            </w:pPr>
            <w:r>
              <w:rPr>
                <w:b w:val="false"/>
                <w:bCs w:val="false"/>
              </w:rPr>
              <w:t xml:space="preserve">Lead sales (marketplace)</w:t>
            </w:r>
          </w:p>
        </w:tc>
        <w:tc>
          <w:tcPr>
            <w:tcW w:type="dxa" w:w="2400"/>
            <w:shd w:fill="FFFFFF" w:val="clear"/>
            <w:tcMar>
              <w:top w:type="dxa" w:w="70"/>
              <w:left w:type="dxa" w:w="120"/>
              <w:bottom w:type="dxa" w:w="70"/>
              <w:right w:type="dxa" w:w="120"/>
            </w:tcMar>
          </w:tcPr>
          <w:p>
            <w:pPr>
              <w:spacing w:after="0" w:line="264"/>
              <w:jc w:val="left"/>
            </w:pPr>
            <w:r>
              <w:rPr>
                <w:b w:val="false"/>
                <w:bCs w:val="false"/>
              </w:rPr>
              <w:t xml:space="preserve">Licensed agents</w:t>
            </w:r>
          </w:p>
        </w:tc>
        <w:tc>
          <w:tcPr>
            <w:tcW w:type="dxa" w:w="4560"/>
            <w:shd w:fill="FFFFFF" w:val="clear"/>
            <w:tcMar>
              <w:top w:type="dxa" w:w="70"/>
              <w:left w:type="dxa" w:w="120"/>
              <w:bottom w:type="dxa" w:w="70"/>
              <w:right w:type="dxa" w:w="120"/>
            </w:tcMar>
          </w:tcPr>
          <w:p>
            <w:pPr>
              <w:spacing w:after="0" w:line="264"/>
              <w:jc w:val="left"/>
            </w:pPr>
            <w:r>
              <w:rPr>
                <w:b w:val="false"/>
                <w:bCs w:val="false"/>
              </w:rPr>
              <w:t xml:space="preserve">Agents buy scored leads — aged, shared, exclusive, or live-transfer — at tiered prices.</w:t>
            </w:r>
          </w:p>
        </w:tc>
      </w:tr>
      <w:tr>
        <w:tc>
          <w:tcPr>
            <w:tcW w:type="dxa" w:w="2400"/>
            <w:shd w:fill="F4F7F7" w:val="clear"/>
            <w:tcMar>
              <w:top w:type="dxa" w:w="70"/>
              <w:left w:type="dxa" w:w="120"/>
              <w:bottom w:type="dxa" w:w="70"/>
              <w:right w:type="dxa" w:w="120"/>
            </w:tcMar>
          </w:tcPr>
          <w:p>
            <w:pPr>
              <w:spacing w:after="0" w:line="264"/>
              <w:jc w:val="left"/>
            </w:pPr>
            <w:r>
              <w:rPr>
                <w:b w:val="false"/>
                <w:bCs w:val="false"/>
              </w:rPr>
              <w:t xml:space="preserve">Subscriptions (optional)</w:t>
            </w:r>
          </w:p>
        </w:tc>
        <w:tc>
          <w:tcPr>
            <w:tcW w:type="dxa" w:w="2400"/>
            <w:shd w:fill="F4F7F7" w:val="clear"/>
            <w:tcMar>
              <w:top w:type="dxa" w:w="70"/>
              <w:left w:type="dxa" w:w="120"/>
              <w:bottom w:type="dxa" w:w="70"/>
              <w:right w:type="dxa" w:w="120"/>
            </w:tcMar>
          </w:tcPr>
          <w:p>
            <w:pPr>
              <w:spacing w:after="0" w:line="264"/>
              <w:jc w:val="left"/>
            </w:pPr>
            <w:r>
              <w:rPr>
                <w:b w:val="false"/>
                <w:bCs w:val="false"/>
              </w:rPr>
              <w:t xml:space="preserve">Agents</w:t>
            </w:r>
          </w:p>
        </w:tc>
        <w:tc>
          <w:tcPr>
            <w:tcW w:type="dxa" w:w="4560"/>
            <w:shd w:fill="F4F7F7" w:val="clear"/>
            <w:tcMar>
              <w:top w:type="dxa" w:w="70"/>
              <w:left w:type="dxa" w:w="120"/>
              <w:bottom w:type="dxa" w:w="70"/>
              <w:right w:type="dxa" w:w="120"/>
            </w:tcMar>
          </w:tcPr>
          <w:p>
            <w:pPr>
              <w:spacing w:after="0" w:line="264"/>
              <w:jc w:val="left"/>
            </w:pPr>
            <w:r>
              <w:rPr>
                <w:b w:val="false"/>
                <w:bCs w:val="false"/>
              </w:rPr>
              <w:t xml:space="preserve">Monthly plan for a lead allotment + premium features (priority A-leads, auto-dialer).</w:t>
            </w:r>
          </w:p>
        </w:tc>
      </w:tr>
      <w:tr>
        <w:tc>
          <w:tcPr>
            <w:tcW w:type="dxa" w:w="2400"/>
            <w:shd w:fill="FFFFFF" w:val="clear"/>
            <w:tcMar>
              <w:top w:type="dxa" w:w="70"/>
              <w:left w:type="dxa" w:w="120"/>
              <w:bottom w:type="dxa" w:w="70"/>
              <w:right w:type="dxa" w:w="120"/>
            </w:tcMar>
          </w:tcPr>
          <w:p>
            <w:pPr>
              <w:spacing w:after="0" w:line="264"/>
              <w:jc w:val="left"/>
            </w:pPr>
            <w:r>
              <w:rPr>
                <w:b w:val="false"/>
                <w:bCs w:val="false"/>
              </w:rPr>
              <w:t xml:space="preserve">Your own production</w:t>
            </w:r>
          </w:p>
        </w:tc>
        <w:tc>
          <w:tcPr>
            <w:tcW w:type="dxa" w:w="2400"/>
            <w:shd w:fill="FFFFFF" w:val="clear"/>
            <w:tcMar>
              <w:top w:type="dxa" w:w="70"/>
              <w:left w:type="dxa" w:w="120"/>
              <w:bottom w:type="dxa" w:w="70"/>
              <w:right w:type="dxa" w:w="120"/>
            </w:tcMar>
          </w:tcPr>
          <w:p>
            <w:pPr>
              <w:spacing w:after="0" w:line="264"/>
              <w:jc w:val="left"/>
            </w:pPr>
            <w:r>
              <w:rPr>
                <w:b w:val="false"/>
                <w:bCs w:val="false"/>
              </w:rPr>
              <w:t xml:space="preserve">Carriers (commissions)</w:t>
            </w:r>
          </w:p>
        </w:tc>
        <w:tc>
          <w:tcPr>
            <w:tcW w:type="dxa" w:w="4560"/>
            <w:shd w:fill="FFFFFF" w:val="clear"/>
            <w:tcMar>
              <w:top w:type="dxa" w:w="70"/>
              <w:left w:type="dxa" w:w="120"/>
              <w:bottom w:type="dxa" w:w="70"/>
              <w:right w:type="dxa" w:w="120"/>
            </w:tcMar>
          </w:tcPr>
          <w:p>
            <w:pPr>
              <w:spacing w:after="0" w:line="264"/>
              <w:jc w:val="left"/>
            </w:pPr>
            <w:r>
              <w:rPr>
                <w:b w:val="false"/>
                <w:bCs w:val="false"/>
              </w:rPr>
              <w:t xml:space="preserve">Your AI engine books appointments; you (a licensed agent) write the policy and earn commission.</w:t>
            </w:r>
          </w:p>
        </w:tc>
      </w:tr>
      <w:tr>
        <w:tc>
          <w:tcPr>
            <w:tcW w:type="dxa" w:w="2400"/>
            <w:shd w:fill="F4F7F7" w:val="clear"/>
            <w:tcMar>
              <w:top w:type="dxa" w:w="70"/>
              <w:left w:type="dxa" w:w="120"/>
              <w:bottom w:type="dxa" w:w="70"/>
              <w:right w:type="dxa" w:w="120"/>
            </w:tcMar>
          </w:tcPr>
          <w:p>
            <w:pPr>
              <w:spacing w:after="0" w:line="264"/>
              <w:jc w:val="left"/>
            </w:pPr>
            <w:r>
              <w:rPr>
                <w:b w:val="false"/>
                <w:bCs w:val="false"/>
              </w:rPr>
              <w:t xml:space="preserve">Live-transfer premium</w:t>
            </w:r>
          </w:p>
        </w:tc>
        <w:tc>
          <w:tcPr>
            <w:tcW w:type="dxa" w:w="2400"/>
            <w:shd w:fill="F4F7F7" w:val="clear"/>
            <w:tcMar>
              <w:top w:type="dxa" w:w="70"/>
              <w:left w:type="dxa" w:w="120"/>
              <w:bottom w:type="dxa" w:w="70"/>
              <w:right w:type="dxa" w:w="120"/>
            </w:tcMar>
          </w:tcPr>
          <w:p>
            <w:pPr>
              <w:spacing w:after="0" w:line="264"/>
              <w:jc w:val="left"/>
            </w:pPr>
            <w:r>
              <w:rPr>
                <w:b w:val="false"/>
                <w:bCs w:val="false"/>
              </w:rPr>
              <w:t xml:space="preserve">Agents</w:t>
            </w:r>
          </w:p>
        </w:tc>
        <w:tc>
          <w:tcPr>
            <w:tcW w:type="dxa" w:w="4560"/>
            <w:shd w:fill="F4F7F7" w:val="clear"/>
            <w:tcMar>
              <w:top w:type="dxa" w:w="70"/>
              <w:left w:type="dxa" w:w="120"/>
              <w:bottom w:type="dxa" w:w="70"/>
              <w:right w:type="dxa" w:w="120"/>
            </w:tcMar>
          </w:tcPr>
          <w:p>
            <w:pPr>
              <w:spacing w:after="0" w:line="264"/>
              <w:jc w:val="left"/>
            </w:pPr>
            <w:r>
              <w:rPr>
                <w:b w:val="false"/>
                <w:bCs w:val="false"/>
              </w:rPr>
              <w:t xml:space="preserve">Highest price — a warm, AI-qualified prospect transferred live.</w:t>
            </w:r>
          </w:p>
        </w:tc>
      </w:tr>
    </w:tbl>
    <w:p>
      <w:pPr>
        <w:spacing w:after="60"/>
      </w:pPr>
      <w:r>
        <w:t xml:space="preserve"/>
      </w:r>
    </w:p>
    <w:p>
      <w:pPr>
        <w:spacing w:after="120" w:line="276"/>
      </w:pPr>
      <w:r>
        <w:t xml:space="preserve">The platform owner account is NOT charged per lead. It runs the AI engine that generates and works the pipeline — and the best of those worked leads become inventory you can also sell.</w:t>
      </w:r>
    </w:p>
    <w:p>
      <w:pPr>
        <w:pStyle w:val="Heading1"/>
      </w:pPr>
      <w:r>
        <w:t xml:space="preserve">2. Step 1 — Form Your Legal Entity</w:t>
      </w:r>
    </w:p>
    <w:p>
      <w:pPr>
        <w:spacing w:after="140" w:line="276"/>
      </w:pPr>
      <w:r>
        <w:rPr>
          <w:i/>
          <w:iCs/>
          <w:color w:val="5D6F78"/>
        </w:rPr>
        <w:t xml:space="preserve">Before anything else, become a company. This separates your personal assets from the business and lets you open a bank account and sign up for services.</w:t>
      </w:r>
    </w:p>
    <w:p>
      <w:pPr>
        <w:pStyle w:val="Heading2"/>
      </w:pPr>
      <w:r>
        <w:t xml:space="preserve">2.1 Pick a structure</w:t>
      </w:r>
    </w:p>
    <w:p>
      <w:pPr>
        <w:spacing w:after="120" w:line="276"/>
      </w:pPr>
      <w:r>
        <w:t xml:space="preserve">For a solo founder, a single-member LLC is the standard, low-cost choice. It gives you liability protection and simple taxes. You can elect S-corp tax treatment later once you’re profitable.</w:t>
      </w:r>
    </w:p>
    <w:p>
      <w:pPr>
        <w:pStyle w:val="Heading2"/>
      </w:pPr>
      <w:r>
        <w:t xml:space="preserve">2.2 Do these, in order</w:t>
      </w:r>
    </w:p>
    <w:p>
      <w:pPr>
        <w:pStyle w:val="ListParagraph"/>
        <w:numPr>
          <w:ilvl w:val="0"/>
          <w:numId w:val="2"/>
        </w:numPr>
        <w:spacing w:after="80" w:line="270"/>
      </w:pPr>
      <w:r>
        <w:rPr>
          <w:b/>
          <w:bCs/>
        </w:rPr>
        <w:t xml:space="preserve">Name it &amp; check availability. </w:t>
      </w:r>
      <w:r>
        <w:t xml:space="preserve">Search your state’s Secretary of State business database and a domain registrar at the same time so the name is free in both places.</w:t>
      </w:r>
    </w:p>
    <w:p>
      <w:pPr>
        <w:pStyle w:val="ListParagraph"/>
        <w:numPr>
          <w:ilvl w:val="0"/>
          <w:numId w:val="2"/>
        </w:numPr>
        <w:spacing w:after="80" w:line="270"/>
      </w:pPr>
      <w:r>
        <w:rPr>
          <w:b/>
          <w:bCs/>
        </w:rPr>
        <w:t xml:space="preserve">File the LLC. </w:t>
      </w:r>
      <w:r>
        <w:t xml:space="preserve">File Articles of Organization with your Secretary of State (online, ~$50–$200 depending on state). Use a registered-agent service if you don’t want your home address public (~$100–$150/yr).</w:t>
      </w:r>
    </w:p>
    <w:p>
      <w:pPr>
        <w:pStyle w:val="ListParagraph"/>
        <w:numPr>
          <w:ilvl w:val="0"/>
          <w:numId w:val="2"/>
        </w:numPr>
        <w:spacing w:after="80" w:line="270"/>
      </w:pPr>
      <w:r>
        <w:rPr>
          <w:b/>
          <w:bCs/>
        </w:rPr>
        <w:t xml:space="preserve">Get an EIN (free). </w:t>
      </w:r>
      <w:r>
        <w:t xml:space="preserve">Apply on irs.gov — it’s instant and free. Never pay a third party for this. The EIN is your business’s tax ID.</w:t>
      </w:r>
    </w:p>
    <w:p>
      <w:pPr>
        <w:pStyle w:val="ListParagraph"/>
        <w:numPr>
          <w:ilvl w:val="0"/>
          <w:numId w:val="2"/>
        </w:numPr>
        <w:spacing w:after="80" w:line="270"/>
      </w:pPr>
      <w:r>
        <w:rPr>
          <w:b/>
          <w:bCs/>
        </w:rPr>
        <w:t xml:space="preserve">Operating agreement. </w:t>
      </w:r>
      <w:r>
        <w:t xml:space="preserve">Even solo, write one (free templates abound). Banks often ask for it.</w:t>
      </w:r>
    </w:p>
    <w:p>
      <w:pPr>
        <w:pStyle w:val="ListParagraph"/>
        <w:numPr>
          <w:ilvl w:val="0"/>
          <w:numId w:val="2"/>
        </w:numPr>
        <w:spacing w:after="80" w:line="270"/>
      </w:pPr>
      <w:r>
        <w:rPr>
          <w:b/>
          <w:bCs/>
        </w:rPr>
        <w:t xml:space="preserve">Business bank account. </w:t>
      </w:r>
      <w:r>
        <w:t xml:space="preserve">Open one with your EIN and formation docs. Keep business and personal money 100% separate — this is what preserves your liability protection.</w:t>
      </w:r>
    </w:p>
    <w:p>
      <w:pPr>
        <w:pStyle w:val="ListParagraph"/>
        <w:numPr>
          <w:ilvl w:val="0"/>
          <w:numId w:val="2"/>
        </w:numPr>
        <w:spacing w:after="80" w:line="270"/>
      </w:pPr>
      <w:r>
        <w:rPr>
          <w:b/>
          <w:bCs/>
        </w:rPr>
        <w:t xml:space="preserve">Bookkeeping. </w:t>
      </w:r>
      <w:r>
        <w:t xml:space="preserve">Start a simple system (Wave is free; QuickBooks ~$30/mo)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1E7" w:sz="2"/>
              <w:left w:val="single" w:color="B57E1F" w:sz="24"/>
              <w:bottom w:val="single" w:color="F6F1E7" w:sz="2"/>
              <w:right w:val="single" w:color="F6F1E7" w:sz="2"/>
            </w:tcBorders>
            <w:shd w:fill="F6F1E7" w:val="clear"/>
            <w:tcMar>
              <w:top w:type="dxa" w:w="120"/>
              <w:left w:type="dxa" w:w="200"/>
              <w:bottom w:type="dxa" w:w="120"/>
              <w:right w:type="dxa" w:w="160"/>
            </w:tcMar>
          </w:tcPr>
          <w:p>
            <w:pPr>
              <w:spacing w:after="60"/>
            </w:pPr>
            <w:r>
              <w:rPr>
                <w:b/>
                <w:bCs/>
                <w:color w:val="0D2B3E"/>
              </w:rPr>
              <w:t xml:space="preserve">Fast path</w:t>
            </w:r>
          </w:p>
          <w:p>
            <w:pPr>
              <w:spacing w:after="40" w:line="264"/>
            </w:pPr>
            <w:r>
              <w:rPr>
                <w:color w:val="333333"/>
              </w:rPr>
              <w:t xml:space="preserve">Services like LegalZoom, Northwest Registered Agent, or your state’s own portal can form the LLC + registered agent + EIN in one sitting. Budget roughly $150–$400 all-in for week one.</w:t>
            </w:r>
          </w:p>
        </w:tc>
      </w:tr>
    </w:tbl>
    <w:p>
      <w:pPr>
        <w:pStyle w:val="Heading1"/>
      </w:pPr>
      <w:r>
        <w:t xml:space="preserve">3. Step 2 — Licensing (The Part Most People Skip)</w:t>
      </w:r>
    </w:p>
    <w:p>
      <w:pPr>
        <w:spacing w:after="140" w:line="276"/>
      </w:pPr>
      <w:r>
        <w:rPr>
          <w:i/>
          <w:iCs/>
          <w:color w:val="5D6F78"/>
        </w:rPr>
        <w:t xml:space="preserve">This is the make-or-break legal layer. Two different licensing questions apply to you.</w:t>
      </w:r>
    </w:p>
    <w:p>
      <w:pPr>
        <w:pStyle w:val="Heading2"/>
      </w:pPr>
      <w:r>
        <w:t xml:space="preserve">3.1 To write policies yourself</w:t>
      </w:r>
    </w:p>
    <w:p>
      <w:pPr>
        <w:spacing w:after="120" w:line="276"/>
      </w:pPr>
      <w:r>
        <w:t xml:space="preserve">If you (or the AI on your behalf) are going to sell policies and earn commissions, you must hold a resident life insurance producer license in your home state, with the Life line of authority. The path:</w:t>
      </w:r>
    </w:p>
    <w:p>
      <w:pPr>
        <w:pStyle w:val="ListParagraph"/>
        <w:numPr>
          <w:ilvl w:val="0"/>
          <w:numId w:val="2"/>
        </w:numPr>
        <w:spacing w:after="80" w:line="270"/>
      </w:pPr>
      <w:r>
        <w:t xml:space="preserve">Complete a state pre-licensing course (typically 20–40 hours).</w:t>
      </w:r>
    </w:p>
    <w:p>
      <w:pPr>
        <w:pStyle w:val="ListParagraph"/>
        <w:numPr>
          <w:ilvl w:val="0"/>
          <w:numId w:val="2"/>
        </w:numPr>
        <w:spacing w:after="80" w:line="270"/>
      </w:pPr>
      <w:r>
        <w:t xml:space="preserve">Pass the state life insurance exam.</w:t>
      </w:r>
    </w:p>
    <w:p>
      <w:pPr>
        <w:pStyle w:val="ListParagraph"/>
        <w:numPr>
          <w:ilvl w:val="0"/>
          <w:numId w:val="2"/>
        </w:numPr>
        <w:spacing w:after="80" w:line="270"/>
      </w:pPr>
      <w:r>
        <w:t xml:space="preserve">Submit fingerprints/background check and apply through your state Department of Insurance (most routes go through NIPR).</w:t>
      </w:r>
    </w:p>
    <w:p>
      <w:pPr>
        <w:pStyle w:val="ListParagraph"/>
        <w:numPr>
          <w:ilvl w:val="0"/>
          <w:numId w:val="2"/>
        </w:numPr>
        <w:spacing w:after="80" w:line="270"/>
      </w:pPr>
      <w:r>
        <w:t xml:space="preserve">Get appointed with carriers (or join an IMO/FMO that gives you carrier access) so you can actually submit business.</w:t>
      </w:r>
    </w:p>
    <w:p>
      <w:pPr>
        <w:spacing w:after="120" w:line="276"/>
      </w:pPr>
      <w:r>
        <w:t xml:space="preserve">Your platform already issues every agent a </w:t>
      </w:r>
      <w:r>
        <w:rPr>
          <w:b/>
          <w:bCs/>
        </w:rPr>
        <w:t xml:space="preserve">National Producer Number (NPN)</w:t>
      </w:r>
      <w:r>
        <w:t xml:space="preserve"> field and verifies it. Yours will live in the same system.</w:t>
      </w:r>
    </w:p>
    <w:p>
      <w:pPr>
        <w:pStyle w:val="Heading2"/>
      </w:pPr>
      <w:r>
        <w:t xml:space="preserve">3.2 To sell leads to other agents</w:t>
      </w:r>
    </w:p>
    <w:p>
      <w:pPr>
        <w:spacing w:after="120" w:line="276"/>
      </w:pPr>
      <w:r>
        <w:t xml:space="preserve">Selling leads is generally a marketing activity rather than a licensed insurance activity, but two things matter: (a) some states regulate “lead generators” and telemarketers — check registration requirements where your consumers live; and (b) your consumer consent and data handling must be airtight (see Compliance). When in doubt, the attorney consult from page one covers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Verifying YOUR agents automatically</w:t>
            </w:r>
          </w:p>
          <w:p>
            <w:pPr>
              <w:spacing w:after="40" w:line="264"/>
            </w:pPr>
            <w:r>
              <w:rPr>
                <w:color w:val="333333"/>
              </w:rPr>
              <w:t xml:space="preserve">Your platform checks each agent’s NPN and license against the NIPR Producer Database (PDB) and approves or denies them with a specific reason — no manual review by you. In production you connect to NIPR’s data products. Individual producers get one free PDB report per year; for automated, ongoing verification you’ll use NIPR’s commercial data access. Start here: nipr.com.</w:t>
            </w:r>
          </w:p>
        </w:tc>
      </w:tr>
    </w:tbl>
    <w:p>
      <w:r>
        <w:br w:type="page"/>
      </w:r>
    </w:p>
    <w:p>
      <w:pPr>
        <w:pStyle w:val="Heading1"/>
      </w:pPr>
      <w:r>
        <w:t xml:space="preserve">4. Step 3 — Get Your Domain &amp; Put the Site Online</w:t>
      </w:r>
    </w:p>
    <w:p>
      <w:pPr>
        <w:spacing w:after="140" w:line="276"/>
      </w:pPr>
      <w:r>
        <w:rPr>
          <w:i/>
          <w:iCs/>
          <w:color w:val="5D6F78"/>
        </w:rPr>
        <w:t xml:space="preserve">You already have a fully-built website file. Here’s how to give it a real address on the internet.</w:t>
      </w:r>
    </w:p>
    <w:p>
      <w:pPr>
        <w:pStyle w:val="Heading2"/>
      </w:pPr>
      <w:r>
        <w:t xml:space="preserve">4.1 Buy the domain</w:t>
      </w:r>
    </w:p>
    <w:p>
      <w:pPr>
        <w:pStyle w:val="ListParagraph"/>
        <w:numPr>
          <w:ilvl w:val="0"/>
          <w:numId w:val="2"/>
        </w:numPr>
        <w:spacing w:after="80" w:line="270"/>
      </w:pPr>
      <w:r>
        <w:rPr>
          <w:b/>
          <w:bCs/>
        </w:rPr>
        <w:t xml:space="preserve">Choose a registrar — </w:t>
      </w:r>
      <w:r>
        <w:t xml:space="preserve">Namecheap, Cloudflare, or Google Domains/Squarespace. Cloudflare sells at cost (~$10/yr) and is excellent.</w:t>
      </w:r>
    </w:p>
    <w:p>
      <w:pPr>
        <w:pStyle w:val="ListParagraph"/>
        <w:numPr>
          <w:ilvl w:val="0"/>
          <w:numId w:val="2"/>
        </w:numPr>
        <w:spacing w:after="80" w:line="270"/>
      </w:pPr>
      <w:r>
        <w:rPr>
          <w:b/>
          <w:bCs/>
        </w:rPr>
        <w:t xml:space="preserve">Search your name — </w:t>
      </w:r>
      <w:r>
        <w:t xml:space="preserve">e.g. aegislife.ai, aegisleads.com, getaegis.com. A .com is safest; .ai reads modern for an AI product.</w:t>
      </w:r>
    </w:p>
    <w:p>
      <w:pPr>
        <w:pStyle w:val="ListParagraph"/>
        <w:numPr>
          <w:ilvl w:val="0"/>
          <w:numId w:val="2"/>
        </w:numPr>
        <w:spacing w:after="80" w:line="270"/>
      </w:pPr>
      <w:r>
        <w:rPr>
          <w:b/>
          <w:bCs/>
        </w:rPr>
        <w:t xml:space="preserve">Buy it (~$10–$60/yr) </w:t>
      </w:r>
      <w:r>
        <w:t xml:space="preserve">and turn ON auto-renew and free WHOIS privacy.</w:t>
      </w:r>
    </w:p>
    <w:p>
      <w:pPr>
        <w:pStyle w:val="Heading2"/>
      </w:pPr>
      <w:r>
        <w:t xml:space="preserve">4.2 Put the website live (three easy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4360"/>
        <w:gridCol w:w="1400"/>
      </w:tblGrid>
      <w:tr>
        <w:trPr>
          <w:tblHeader/>
        </w:trPr>
        <w:tc>
          <w:tcPr>
            <w:tcW w:type="dxa" w:w="1700"/>
            <w:shd w:fill="0F6B6B" w:val="clear"/>
            <w:tcMar>
              <w:top w:type="dxa" w:w="70"/>
              <w:left w:type="dxa" w:w="120"/>
              <w:bottom w:type="dxa" w:w="70"/>
              <w:right w:type="dxa" w:w="120"/>
            </w:tcMar>
          </w:tcPr>
          <w:p>
            <w:pPr>
              <w:spacing w:after="0" w:line="264"/>
              <w:jc w:val="left"/>
            </w:pPr>
            <w:r>
              <w:rPr>
                <w:b/>
                <w:bCs/>
                <w:color w:val="FFFFFF"/>
              </w:rPr>
              <w:t xml:space="preserve">Option</w:t>
            </w:r>
          </w:p>
        </w:tc>
        <w:tc>
          <w:tcPr>
            <w:tcW w:type="dxa" w:w="1900"/>
            <w:shd w:fill="0F6B6B" w:val="clear"/>
            <w:tcMar>
              <w:top w:type="dxa" w:w="70"/>
              <w:left w:type="dxa" w:w="120"/>
              <w:bottom w:type="dxa" w:w="70"/>
              <w:right w:type="dxa" w:w="120"/>
            </w:tcMar>
          </w:tcPr>
          <w:p>
            <w:pPr>
              <w:spacing w:after="0" w:line="264"/>
              <w:jc w:val="left"/>
            </w:pPr>
            <w:r>
              <w:rPr>
                <w:b/>
                <w:bCs/>
                <w:color w:val="FFFFFF"/>
              </w:rPr>
              <w:t xml:space="preserve">Best for</w:t>
            </w:r>
          </w:p>
        </w:tc>
        <w:tc>
          <w:tcPr>
            <w:tcW w:type="dxa" w:w="4360"/>
            <w:shd w:fill="0F6B6B" w:val="clear"/>
            <w:tcMar>
              <w:top w:type="dxa" w:w="70"/>
              <w:left w:type="dxa" w:w="120"/>
              <w:bottom w:type="dxa" w:w="70"/>
              <w:right w:type="dxa" w:w="120"/>
            </w:tcMar>
          </w:tcPr>
          <w:p>
            <w:pPr>
              <w:spacing w:after="0" w:line="264"/>
              <w:jc w:val="left"/>
            </w:pPr>
            <w:r>
              <w:rPr>
                <w:b/>
                <w:bCs/>
                <w:color w:val="FFFFFF"/>
              </w:rPr>
              <w:t xml:space="preserve">How</w:t>
            </w:r>
          </w:p>
        </w:tc>
        <w:tc>
          <w:tcPr>
            <w:tcW w:type="dxa" w:w="1400"/>
            <w:shd w:fill="0F6B6B" w:val="clear"/>
            <w:tcMar>
              <w:top w:type="dxa" w:w="70"/>
              <w:left w:type="dxa" w:w="120"/>
              <w:bottom w:type="dxa" w:w="70"/>
              <w:right w:type="dxa" w:w="120"/>
            </w:tcMar>
          </w:tcPr>
          <w:p>
            <w:pPr>
              <w:spacing w:after="0" w:line="264"/>
              <w:jc w:val="left"/>
            </w:pPr>
            <w:r>
              <w:rPr>
                <w:b/>
                <w:bCs/>
                <w:color w:val="FFFFFF"/>
              </w:rPr>
              <w:t xml:space="preserve">Cost</w:t>
            </w:r>
          </w:p>
        </w:tc>
      </w:tr>
      <w:tr>
        <w:tc>
          <w:tcPr>
            <w:tcW w:type="dxa" w:w="1700"/>
            <w:shd w:fill="FFFFFF" w:val="clear"/>
            <w:tcMar>
              <w:top w:type="dxa" w:w="70"/>
              <w:left w:type="dxa" w:w="120"/>
              <w:bottom w:type="dxa" w:w="70"/>
              <w:right w:type="dxa" w:w="120"/>
            </w:tcMar>
          </w:tcPr>
          <w:p>
            <w:pPr>
              <w:spacing w:after="0" w:line="264"/>
              <w:jc w:val="left"/>
            </w:pPr>
            <w:r>
              <w:rPr>
                <w:b w:val="false"/>
                <w:bCs w:val="false"/>
              </w:rPr>
              <w:t xml:space="preserve">Netlify / Vercel</w:t>
            </w:r>
          </w:p>
        </w:tc>
        <w:tc>
          <w:tcPr>
            <w:tcW w:type="dxa" w:w="1900"/>
            <w:shd w:fill="FFFFFF" w:val="clear"/>
            <w:tcMar>
              <w:top w:type="dxa" w:w="70"/>
              <w:left w:type="dxa" w:w="120"/>
              <w:bottom w:type="dxa" w:w="70"/>
              <w:right w:type="dxa" w:w="120"/>
            </w:tcMar>
          </w:tcPr>
          <w:p>
            <w:pPr>
              <w:spacing w:after="0" w:line="264"/>
              <w:jc w:val="left"/>
            </w:pPr>
            <w:r>
              <w:rPr>
                <w:b w:val="false"/>
                <w:bCs w:val="false"/>
              </w:rPr>
              <w:t xml:space="preserve">Fastest, free</w:t>
            </w:r>
          </w:p>
        </w:tc>
        <w:tc>
          <w:tcPr>
            <w:tcW w:type="dxa" w:w="4360"/>
            <w:shd w:fill="FFFFFF" w:val="clear"/>
            <w:tcMar>
              <w:top w:type="dxa" w:w="70"/>
              <w:left w:type="dxa" w:w="120"/>
              <w:bottom w:type="dxa" w:w="70"/>
              <w:right w:type="dxa" w:w="120"/>
            </w:tcMar>
          </w:tcPr>
          <w:p>
            <w:pPr>
              <w:spacing w:after="0" w:line="264"/>
              <w:jc w:val="left"/>
            </w:pPr>
            <w:r>
              <w:rPr>
                <w:b w:val="false"/>
                <w:bCs w:val="false"/>
              </w:rPr>
              <w:t xml:space="preserve">Drag-and-drop your index.html or connect a GitHub repo; point your domain via their DNS instructions.</w:t>
            </w:r>
          </w:p>
        </w:tc>
        <w:tc>
          <w:tcPr>
            <w:tcW w:type="dxa" w:w="1400"/>
            <w:shd w:fill="FFFFFF" w:val="clear"/>
            <w:tcMar>
              <w:top w:type="dxa" w:w="70"/>
              <w:left w:type="dxa" w:w="120"/>
              <w:bottom w:type="dxa" w:w="70"/>
              <w:right w:type="dxa" w:w="120"/>
            </w:tcMar>
          </w:tcPr>
          <w:p>
            <w:pPr>
              <w:spacing w:after="0" w:line="264"/>
              <w:jc w:val="left"/>
            </w:pPr>
            <w:r>
              <w:rPr>
                <w:b w:val="false"/>
                <w:bCs w:val="false"/>
              </w:rPr>
              <w:t xml:space="preserve">Free–$20/mo</w:t>
            </w:r>
          </w:p>
        </w:tc>
      </w:tr>
      <w:tr>
        <w:tc>
          <w:tcPr>
            <w:tcW w:type="dxa" w:w="1700"/>
            <w:shd w:fill="F4F7F7" w:val="clear"/>
            <w:tcMar>
              <w:top w:type="dxa" w:w="70"/>
              <w:left w:type="dxa" w:w="120"/>
              <w:bottom w:type="dxa" w:w="70"/>
              <w:right w:type="dxa" w:w="120"/>
            </w:tcMar>
          </w:tcPr>
          <w:p>
            <w:pPr>
              <w:spacing w:after="0" w:line="264"/>
              <w:jc w:val="left"/>
            </w:pPr>
            <w:r>
              <w:rPr>
                <w:b w:val="false"/>
                <w:bCs w:val="false"/>
              </w:rPr>
              <w:t xml:space="preserve">Cloudflare Pages</w:t>
            </w:r>
          </w:p>
        </w:tc>
        <w:tc>
          <w:tcPr>
            <w:tcW w:type="dxa" w:w="1900"/>
            <w:shd w:fill="F4F7F7" w:val="clear"/>
            <w:tcMar>
              <w:top w:type="dxa" w:w="70"/>
              <w:left w:type="dxa" w:w="120"/>
              <w:bottom w:type="dxa" w:w="70"/>
              <w:right w:type="dxa" w:w="120"/>
            </w:tcMar>
          </w:tcPr>
          <w:p>
            <w:pPr>
              <w:spacing w:after="0" w:line="264"/>
              <w:jc w:val="left"/>
            </w:pPr>
            <w:r>
              <w:rPr>
                <w:b w:val="false"/>
                <w:bCs w:val="false"/>
              </w:rPr>
              <w:t xml:space="preserve">Free + fast + secure</w:t>
            </w:r>
          </w:p>
        </w:tc>
        <w:tc>
          <w:tcPr>
            <w:tcW w:type="dxa" w:w="4360"/>
            <w:shd w:fill="F4F7F7" w:val="clear"/>
            <w:tcMar>
              <w:top w:type="dxa" w:w="70"/>
              <w:left w:type="dxa" w:w="120"/>
              <w:bottom w:type="dxa" w:w="70"/>
              <w:right w:type="dxa" w:w="120"/>
            </w:tcMar>
          </w:tcPr>
          <w:p>
            <w:pPr>
              <w:spacing w:after="0" w:line="264"/>
              <w:jc w:val="left"/>
            </w:pPr>
            <w:r>
              <w:rPr>
                <w:b w:val="false"/>
                <w:bCs w:val="false"/>
              </w:rPr>
              <w:t xml:space="preserve">Upload the site; domain + hosting + CDN in one dashboard.</w:t>
            </w:r>
          </w:p>
        </w:tc>
        <w:tc>
          <w:tcPr>
            <w:tcW w:type="dxa" w:w="1400"/>
            <w:shd w:fill="F4F7F7" w:val="clear"/>
            <w:tcMar>
              <w:top w:type="dxa" w:w="70"/>
              <w:left w:type="dxa" w:w="120"/>
              <w:bottom w:type="dxa" w:w="70"/>
              <w:right w:type="dxa" w:w="120"/>
            </w:tcMar>
          </w:tcPr>
          <w:p>
            <w:pPr>
              <w:spacing w:after="0" w:line="264"/>
              <w:jc w:val="left"/>
            </w:pPr>
            <w:r>
              <w:rPr>
                <w:b w:val="false"/>
                <w:bCs w:val="false"/>
              </w:rPr>
              <w:t xml:space="preserve">Free</w:t>
            </w:r>
          </w:p>
        </w:tc>
      </w:tr>
      <w:tr>
        <w:tc>
          <w:tcPr>
            <w:tcW w:type="dxa" w:w="1700"/>
            <w:shd w:fill="FFFFFF" w:val="clear"/>
            <w:tcMar>
              <w:top w:type="dxa" w:w="70"/>
              <w:left w:type="dxa" w:w="120"/>
              <w:bottom w:type="dxa" w:w="70"/>
              <w:right w:type="dxa" w:w="120"/>
            </w:tcMar>
          </w:tcPr>
          <w:p>
            <w:pPr>
              <w:spacing w:after="0" w:line="264"/>
              <w:jc w:val="left"/>
            </w:pPr>
            <w:r>
              <w:rPr>
                <w:b w:val="false"/>
                <w:bCs w:val="false"/>
              </w:rPr>
              <w:t xml:space="preserve">Traditional host</w:t>
            </w:r>
          </w:p>
        </w:tc>
        <w:tc>
          <w:tcPr>
            <w:tcW w:type="dxa" w:w="1900"/>
            <w:shd w:fill="FFFFFF" w:val="clear"/>
            <w:tcMar>
              <w:top w:type="dxa" w:w="70"/>
              <w:left w:type="dxa" w:w="120"/>
              <w:bottom w:type="dxa" w:w="70"/>
              <w:right w:type="dxa" w:w="120"/>
            </w:tcMar>
          </w:tcPr>
          <w:p>
            <w:pPr>
              <w:spacing w:after="0" w:line="264"/>
              <w:jc w:val="left"/>
            </w:pPr>
            <w:r>
              <w:rPr>
                <w:b w:val="false"/>
                <w:bCs w:val="false"/>
              </w:rPr>
              <w:t xml:space="preserve">Familiarity</w:t>
            </w:r>
          </w:p>
        </w:tc>
        <w:tc>
          <w:tcPr>
            <w:tcW w:type="dxa" w:w="4360"/>
            <w:shd w:fill="FFFFFF" w:val="clear"/>
            <w:tcMar>
              <w:top w:type="dxa" w:w="70"/>
              <w:left w:type="dxa" w:w="120"/>
              <w:bottom w:type="dxa" w:w="70"/>
              <w:right w:type="dxa" w:w="120"/>
            </w:tcMar>
          </w:tcPr>
          <w:p>
            <w:pPr>
              <w:spacing w:after="0" w:line="264"/>
              <w:jc w:val="left"/>
            </w:pPr>
            <w:r>
              <w:rPr>
                <w:b w:val="false"/>
                <w:bCs w:val="false"/>
              </w:rPr>
              <w:t xml:space="preserve">Hostinger/Bluehost; upload via file manager; connect domain.</w:t>
            </w:r>
          </w:p>
        </w:tc>
        <w:tc>
          <w:tcPr>
            <w:tcW w:type="dxa" w:w="1400"/>
            <w:shd w:fill="FFFFFF" w:val="clear"/>
            <w:tcMar>
              <w:top w:type="dxa" w:w="70"/>
              <w:left w:type="dxa" w:w="120"/>
              <w:bottom w:type="dxa" w:w="70"/>
              <w:right w:type="dxa" w:w="120"/>
            </w:tcMar>
          </w:tcPr>
          <w:p>
            <w:pPr>
              <w:spacing w:after="0" w:line="264"/>
              <w:jc w:val="left"/>
            </w:pPr>
            <w:r>
              <w:rPr>
                <w:b w:val="false"/>
                <w:bCs w:val="false"/>
              </w:rPr>
              <w:t xml:space="preserve">$3–$12/mo</w:t>
            </w:r>
          </w:p>
        </w:tc>
      </w:tr>
    </w:tbl>
    <w:p>
      <w:pPr>
        <w:spacing w:after="60"/>
      </w:pPr>
      <w:r>
        <w:t xml:space="preserve"/>
      </w:r>
    </w:p>
    <w:p>
      <w:pPr>
        <w:spacing w:after="120" w:line="276"/>
      </w:pPr>
      <w:r>
        <w:t xml:space="preserve">To connect a domain you bought elsewhere: in your host’s dashboard you’ll “add a custom domain,” and in your registrar you’ll update the DNS records (an A record or CNAME the host gives you, or change the nameservers). Propagation takes minutes to a few hours. Every host above has a one-page walkthrough.</w:t>
      </w:r>
    </w:p>
    <w:p>
      <w:pPr>
        <w:pStyle w:val="Heading2"/>
      </w:pPr>
      <w:r>
        <w:t xml:space="preserve">4.3 Business email</w:t>
      </w:r>
    </w:p>
    <w:p>
      <w:pPr>
        <w:spacing w:after="120" w:line="276"/>
      </w:pPr>
      <w:r>
        <w:t xml:space="preserve">Set up name@yourdomain with Google Workspace (~$6/user/mo) or Zoho Mail (free tier). Professional email massively boosts trust with agents and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A" w:sz="2"/>
              <w:left w:val="single" w:color="B57E1F" w:sz="24"/>
              <w:bottom w:val="single" w:color="FFF7EA" w:sz="2"/>
              <w:right w:val="single" w:color="FFF7EA" w:sz="2"/>
            </w:tcBorders>
            <w:shd w:fill="FFF7EA" w:val="clear"/>
            <w:tcMar>
              <w:top w:type="dxa" w:w="120"/>
              <w:left w:type="dxa" w:w="200"/>
              <w:bottom w:type="dxa" w:w="120"/>
              <w:right w:type="dxa" w:w="160"/>
            </w:tcMar>
          </w:tcPr>
          <w:p>
            <w:pPr>
              <w:spacing w:after="60"/>
            </w:pPr>
            <w:r>
              <w:rPr>
                <w:b/>
                <w:bCs/>
                <w:color w:val="0D2B3E"/>
              </w:rPr>
              <w:t xml:space="preserve">Important next step for the website</w:t>
            </w:r>
          </w:p>
          <w:p>
            <w:pPr>
              <w:spacing w:after="40" w:line="264"/>
            </w:pPr>
            <w:r>
              <w:rPr>
                <w:color w:val="333333"/>
              </w:rPr>
              <w:t xml:space="preserve">The current site is a complete, working front-end with data saved in the browser. To make signups, purchases and AI calls real and shared across users, you’ll add a backend (database + the API integrations in Section 5). Budget a developer engagement or a tool like Supabase/Firebase for this. The hard product thinking — scoring, pricing, scripts, verification logic, UX — is already done.</w:t>
            </w:r>
          </w:p>
        </w:tc>
      </w:tr>
    </w:tbl>
    <w:p>
      <w:pPr>
        <w:pStyle w:val="Heading1"/>
      </w:pPr>
      <w:r>
        <w:t xml:space="preserve">5. Step 4 — The Services to Buy (Your Tech Stack)</w:t>
      </w:r>
    </w:p>
    <w:p>
      <w:pPr>
        <w:spacing w:after="140" w:line="276"/>
      </w:pPr>
      <w:r>
        <w:rPr>
          <w:i/>
          <w:iCs/>
          <w:color w:val="5D6F78"/>
        </w:rPr>
        <w:t xml:space="preserve">These are the paid tools that make the platform actually run. Start lean; add as you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960"/>
      </w:tblGrid>
      <w:tr>
        <w:trPr>
          <w:tblHeader/>
        </w:trPr>
        <w:tc>
          <w:tcPr>
            <w:tcW w:type="dxa" w:w="2700"/>
            <w:shd w:fill="0F6B6B" w:val="clear"/>
            <w:tcMar>
              <w:top w:type="dxa" w:w="70"/>
              <w:left w:type="dxa" w:w="120"/>
              <w:bottom w:type="dxa" w:w="70"/>
              <w:right w:type="dxa" w:w="120"/>
            </w:tcMar>
          </w:tcPr>
          <w:p>
            <w:pPr>
              <w:spacing w:after="0" w:line="264"/>
              <w:jc w:val="left"/>
            </w:pPr>
            <w:r>
              <w:rPr>
                <w:b/>
                <w:bCs/>
                <w:color w:val="FFFFFF"/>
              </w:rPr>
              <w:t xml:space="preserve">Service</w:t>
            </w:r>
          </w:p>
        </w:tc>
        <w:tc>
          <w:tcPr>
            <w:tcW w:type="dxa" w:w="3700"/>
            <w:shd w:fill="0F6B6B" w:val="clear"/>
            <w:tcMar>
              <w:top w:type="dxa" w:w="70"/>
              <w:left w:type="dxa" w:w="120"/>
              <w:bottom w:type="dxa" w:w="70"/>
              <w:right w:type="dxa" w:w="120"/>
            </w:tcMar>
          </w:tcPr>
          <w:p>
            <w:pPr>
              <w:spacing w:after="0" w:line="264"/>
              <w:jc w:val="left"/>
            </w:pPr>
            <w:r>
              <w:rPr>
                <w:b/>
                <w:bCs/>
                <w:color w:val="FFFFFF"/>
              </w:rPr>
              <w:t xml:space="preserve">What it does</w:t>
            </w:r>
          </w:p>
        </w:tc>
        <w:tc>
          <w:tcPr>
            <w:tcW w:type="dxa" w:w="2960"/>
            <w:shd w:fill="0F6B6B" w:val="clear"/>
            <w:tcMar>
              <w:top w:type="dxa" w:w="70"/>
              <w:left w:type="dxa" w:w="120"/>
              <w:bottom w:type="dxa" w:w="70"/>
              <w:right w:type="dxa" w:w="120"/>
            </w:tcMar>
          </w:tcPr>
          <w:p>
            <w:pPr>
              <w:spacing w:after="0" w:line="264"/>
              <w:jc w:val="left"/>
            </w:pPr>
            <w:r>
              <w:rPr>
                <w:b/>
                <w:bCs/>
                <w:color w:val="FFFFFF"/>
              </w:rPr>
              <w:t xml:space="preserve">Typical starting cost</w:t>
            </w:r>
          </w:p>
        </w:tc>
      </w:tr>
      <w:tr>
        <w:tc>
          <w:tcPr>
            <w:tcW w:type="dxa" w:w="2700"/>
            <w:shd w:fill="FFFFFF" w:val="clear"/>
            <w:tcMar>
              <w:top w:type="dxa" w:w="70"/>
              <w:left w:type="dxa" w:w="120"/>
              <w:bottom w:type="dxa" w:w="70"/>
              <w:right w:type="dxa" w:w="120"/>
            </w:tcMar>
          </w:tcPr>
          <w:p>
            <w:pPr>
              <w:spacing w:after="0" w:line="264"/>
              <w:jc w:val="left"/>
            </w:pPr>
            <w:r>
              <w:rPr>
                <w:b w:val="false"/>
                <w:bCs w:val="false"/>
              </w:rPr>
              <w:t xml:space="preserve">Hosting (Vercel/Cloudflare)</w:t>
            </w:r>
          </w:p>
        </w:tc>
        <w:tc>
          <w:tcPr>
            <w:tcW w:type="dxa" w:w="3700"/>
            <w:shd w:fill="FFFFFF" w:val="clear"/>
            <w:tcMar>
              <w:top w:type="dxa" w:w="70"/>
              <w:left w:type="dxa" w:w="120"/>
              <w:bottom w:type="dxa" w:w="70"/>
              <w:right w:type="dxa" w:w="120"/>
            </w:tcMar>
          </w:tcPr>
          <w:p>
            <w:pPr>
              <w:spacing w:after="0" w:line="264"/>
              <w:jc w:val="left"/>
            </w:pPr>
            <w:r>
              <w:rPr>
                <w:b w:val="false"/>
                <w:bCs w:val="false"/>
              </w:rPr>
              <w:t xml:space="preserve">Serves your website</w:t>
            </w:r>
          </w:p>
        </w:tc>
        <w:tc>
          <w:tcPr>
            <w:tcW w:type="dxa" w:w="2960"/>
            <w:shd w:fill="FFFFFF" w:val="clear"/>
            <w:tcMar>
              <w:top w:type="dxa" w:w="70"/>
              <w:left w:type="dxa" w:w="120"/>
              <w:bottom w:type="dxa" w:w="70"/>
              <w:right w:type="dxa" w:w="120"/>
            </w:tcMar>
          </w:tcPr>
          <w:p>
            <w:pPr>
              <w:spacing w:after="0" w:line="264"/>
              <w:jc w:val="left"/>
            </w:pPr>
            <w:r>
              <w:rPr>
                <w:b w:val="false"/>
                <w:bCs w:val="false"/>
              </w:rPr>
              <w:t xml:space="preserve">$0–$20/mo</w:t>
            </w:r>
          </w:p>
        </w:tc>
      </w:tr>
      <w:tr>
        <w:tc>
          <w:tcPr>
            <w:tcW w:type="dxa" w:w="2700"/>
            <w:shd w:fill="F4F7F7" w:val="clear"/>
            <w:tcMar>
              <w:top w:type="dxa" w:w="70"/>
              <w:left w:type="dxa" w:w="120"/>
              <w:bottom w:type="dxa" w:w="70"/>
              <w:right w:type="dxa" w:w="120"/>
            </w:tcMar>
          </w:tcPr>
          <w:p>
            <w:pPr>
              <w:spacing w:after="0" w:line="264"/>
              <w:jc w:val="left"/>
            </w:pPr>
            <w:r>
              <w:rPr>
                <w:b w:val="false"/>
                <w:bCs w:val="false"/>
              </w:rPr>
              <w:t xml:space="preserve">Database/backend (Supabase/Firebase)</w:t>
            </w:r>
          </w:p>
        </w:tc>
        <w:tc>
          <w:tcPr>
            <w:tcW w:type="dxa" w:w="3700"/>
            <w:shd w:fill="F4F7F7" w:val="clear"/>
            <w:tcMar>
              <w:top w:type="dxa" w:w="70"/>
              <w:left w:type="dxa" w:w="120"/>
              <w:bottom w:type="dxa" w:w="70"/>
              <w:right w:type="dxa" w:w="120"/>
            </w:tcMar>
          </w:tcPr>
          <w:p>
            <w:pPr>
              <w:spacing w:after="0" w:line="264"/>
              <w:jc w:val="left"/>
            </w:pPr>
            <w:r>
              <w:rPr>
                <w:b w:val="false"/>
                <w:bCs w:val="false"/>
              </w:rPr>
              <w:t xml:space="preserve">Stores accounts, leads, purchases</w:t>
            </w:r>
          </w:p>
        </w:tc>
        <w:tc>
          <w:tcPr>
            <w:tcW w:type="dxa" w:w="2960"/>
            <w:shd w:fill="F4F7F7" w:val="clear"/>
            <w:tcMar>
              <w:top w:type="dxa" w:w="70"/>
              <w:left w:type="dxa" w:w="120"/>
              <w:bottom w:type="dxa" w:w="70"/>
              <w:right w:type="dxa" w:w="120"/>
            </w:tcMar>
          </w:tcPr>
          <w:p>
            <w:pPr>
              <w:spacing w:after="0" w:line="264"/>
              <w:jc w:val="left"/>
            </w:pPr>
            <w:r>
              <w:rPr>
                <w:b w:val="false"/>
                <w:bCs w:val="false"/>
              </w:rPr>
              <w:t xml:space="preserve">$0–$25/mo</w:t>
            </w:r>
          </w:p>
        </w:tc>
      </w:tr>
      <w:tr>
        <w:tc>
          <w:tcPr>
            <w:tcW w:type="dxa" w:w="2700"/>
            <w:shd w:fill="FFFFFF" w:val="clear"/>
            <w:tcMar>
              <w:top w:type="dxa" w:w="70"/>
              <w:left w:type="dxa" w:w="120"/>
              <w:bottom w:type="dxa" w:w="70"/>
              <w:right w:type="dxa" w:w="120"/>
            </w:tcMar>
          </w:tcPr>
          <w:p>
            <w:pPr>
              <w:spacing w:after="0" w:line="264"/>
              <w:jc w:val="left"/>
            </w:pPr>
            <w:r>
              <w:rPr>
                <w:b w:val="false"/>
                <w:bCs w:val="false"/>
              </w:rPr>
              <w:t xml:space="preserve">Telephony (Twilio/Telnyx)</w:t>
            </w:r>
          </w:p>
        </w:tc>
        <w:tc>
          <w:tcPr>
            <w:tcW w:type="dxa" w:w="3700"/>
            <w:shd w:fill="FFFFFF" w:val="clear"/>
            <w:tcMar>
              <w:top w:type="dxa" w:w="70"/>
              <w:left w:type="dxa" w:w="120"/>
              <w:bottom w:type="dxa" w:w="70"/>
              <w:right w:type="dxa" w:w="120"/>
            </w:tcMar>
          </w:tcPr>
          <w:p>
            <w:pPr>
              <w:spacing w:after="0" w:line="264"/>
              <w:jc w:val="left"/>
            </w:pPr>
            <w:r>
              <w:rPr>
                <w:b w:val="false"/>
                <w:bCs w:val="false"/>
              </w:rPr>
              <w:t xml:space="preserve">Places the AI phone calls</w:t>
            </w:r>
          </w:p>
        </w:tc>
        <w:tc>
          <w:tcPr>
            <w:tcW w:type="dxa" w:w="2960"/>
            <w:shd w:fill="FFFFFF" w:val="clear"/>
            <w:tcMar>
              <w:top w:type="dxa" w:w="70"/>
              <w:left w:type="dxa" w:w="120"/>
              <w:bottom w:type="dxa" w:w="70"/>
              <w:right w:type="dxa" w:w="120"/>
            </w:tcMar>
          </w:tcPr>
          <w:p>
            <w:pPr>
              <w:spacing w:after="0" w:line="264"/>
              <w:jc w:val="left"/>
            </w:pPr>
            <w:r>
              <w:rPr>
                <w:b w:val="false"/>
                <w:bCs w:val="false"/>
              </w:rPr>
              <w:t xml:space="preserve">~$0.013–0.02/min + number ~$1–2/mo</w:t>
            </w:r>
          </w:p>
        </w:tc>
      </w:tr>
      <w:tr>
        <w:tc>
          <w:tcPr>
            <w:tcW w:type="dxa" w:w="2700"/>
            <w:shd w:fill="F4F7F7" w:val="clear"/>
            <w:tcMar>
              <w:top w:type="dxa" w:w="70"/>
              <w:left w:type="dxa" w:w="120"/>
              <w:bottom w:type="dxa" w:w="70"/>
              <w:right w:type="dxa" w:w="120"/>
            </w:tcMar>
          </w:tcPr>
          <w:p>
            <w:pPr>
              <w:spacing w:after="0" w:line="264"/>
              <w:jc w:val="left"/>
            </w:pPr>
            <w:r>
              <w:rPr>
                <w:b w:val="false"/>
                <w:bCs w:val="false"/>
              </w:rPr>
              <w:t xml:space="preserve">Voice AI (ElevenLabs / Vapi / Retell)</w:t>
            </w:r>
          </w:p>
        </w:tc>
        <w:tc>
          <w:tcPr>
            <w:tcW w:type="dxa" w:w="3700"/>
            <w:shd w:fill="F4F7F7" w:val="clear"/>
            <w:tcMar>
              <w:top w:type="dxa" w:w="70"/>
              <w:left w:type="dxa" w:w="120"/>
              <w:bottom w:type="dxa" w:w="70"/>
              <w:right w:type="dxa" w:w="120"/>
            </w:tcMar>
          </w:tcPr>
          <w:p>
            <w:pPr>
              <w:spacing w:after="0" w:line="264"/>
              <w:jc w:val="left"/>
            </w:pPr>
            <w:r>
              <w:rPr>
                <w:b w:val="false"/>
                <w:bCs w:val="false"/>
              </w:rPr>
              <w:t xml:space="preserve">The human-sounding voice + conversation</w:t>
            </w:r>
          </w:p>
        </w:tc>
        <w:tc>
          <w:tcPr>
            <w:tcW w:type="dxa" w:w="2960"/>
            <w:shd w:fill="F4F7F7" w:val="clear"/>
            <w:tcMar>
              <w:top w:type="dxa" w:w="70"/>
              <w:left w:type="dxa" w:w="120"/>
              <w:bottom w:type="dxa" w:w="70"/>
              <w:right w:type="dxa" w:w="120"/>
            </w:tcMar>
          </w:tcPr>
          <w:p>
            <w:pPr>
              <w:spacing w:after="0" w:line="264"/>
              <w:jc w:val="left"/>
            </w:pPr>
            <w:r>
              <w:rPr>
                <w:b w:val="false"/>
                <w:bCs w:val="false"/>
              </w:rPr>
              <w:t xml:space="preserve">~$0.08–0.15/min of call</w:t>
            </w:r>
          </w:p>
        </w:tc>
      </w:tr>
      <w:tr>
        <w:tc>
          <w:tcPr>
            <w:tcW w:type="dxa" w:w="2700"/>
            <w:shd w:fill="FFFFFF" w:val="clear"/>
            <w:tcMar>
              <w:top w:type="dxa" w:w="70"/>
              <w:left w:type="dxa" w:w="120"/>
              <w:bottom w:type="dxa" w:w="70"/>
              <w:right w:type="dxa" w:w="120"/>
            </w:tcMar>
          </w:tcPr>
          <w:p>
            <w:pPr>
              <w:spacing w:after="0" w:line="264"/>
              <w:jc w:val="left"/>
            </w:pPr>
            <w:r>
              <w:rPr>
                <w:b w:val="false"/>
                <w:bCs w:val="false"/>
              </w:rPr>
              <w:t xml:space="preserve">LLM (Anthropic API)</w:t>
            </w:r>
          </w:p>
        </w:tc>
        <w:tc>
          <w:tcPr>
            <w:tcW w:type="dxa" w:w="3700"/>
            <w:shd w:fill="FFFFFF" w:val="clear"/>
            <w:tcMar>
              <w:top w:type="dxa" w:w="70"/>
              <w:left w:type="dxa" w:w="120"/>
              <w:bottom w:type="dxa" w:w="70"/>
              <w:right w:type="dxa" w:w="120"/>
            </w:tcMar>
          </w:tcPr>
          <w:p>
            <w:pPr>
              <w:spacing w:after="0" w:line="264"/>
              <w:jc w:val="left"/>
            </w:pPr>
            <w:r>
              <w:rPr>
                <w:b w:val="false"/>
                <w:bCs w:val="false"/>
              </w:rPr>
              <w:t xml:space="preserve">The conversation brain</w:t>
            </w:r>
          </w:p>
        </w:tc>
        <w:tc>
          <w:tcPr>
            <w:tcW w:type="dxa" w:w="2960"/>
            <w:shd w:fill="FFFFFF" w:val="clear"/>
            <w:tcMar>
              <w:top w:type="dxa" w:w="70"/>
              <w:left w:type="dxa" w:w="120"/>
              <w:bottom w:type="dxa" w:w="70"/>
              <w:right w:type="dxa" w:w="120"/>
            </w:tcMar>
          </w:tcPr>
          <w:p>
            <w:pPr>
              <w:spacing w:after="0" w:line="264"/>
              <w:jc w:val="left"/>
            </w:pPr>
            <w:r>
              <w:rPr>
                <w:b w:val="false"/>
                <w:bCs w:val="false"/>
              </w:rPr>
              <w:t xml:space="preserve">Usage-based, pennies per call</w:t>
            </w:r>
          </w:p>
        </w:tc>
      </w:tr>
      <w:tr>
        <w:tc>
          <w:tcPr>
            <w:tcW w:type="dxa" w:w="2700"/>
            <w:shd w:fill="F4F7F7" w:val="clear"/>
            <w:tcMar>
              <w:top w:type="dxa" w:w="70"/>
              <w:left w:type="dxa" w:w="120"/>
              <w:bottom w:type="dxa" w:w="70"/>
              <w:right w:type="dxa" w:w="120"/>
            </w:tcMar>
          </w:tcPr>
          <w:p>
            <w:pPr>
              <w:spacing w:after="0" w:line="264"/>
              <w:jc w:val="left"/>
            </w:pPr>
            <w:r>
              <w:rPr>
                <w:b w:val="false"/>
                <w:bCs w:val="false"/>
              </w:rPr>
              <w:t xml:space="preserve">DNC scrubbing</w:t>
            </w:r>
          </w:p>
        </w:tc>
        <w:tc>
          <w:tcPr>
            <w:tcW w:type="dxa" w:w="3700"/>
            <w:shd w:fill="F4F7F7" w:val="clear"/>
            <w:tcMar>
              <w:top w:type="dxa" w:w="70"/>
              <w:left w:type="dxa" w:w="120"/>
              <w:bottom w:type="dxa" w:w="70"/>
              <w:right w:type="dxa" w:w="120"/>
            </w:tcMar>
          </w:tcPr>
          <w:p>
            <w:pPr>
              <w:spacing w:after="0" w:line="264"/>
              <w:jc w:val="left"/>
            </w:pPr>
            <w:r>
              <w:rPr>
                <w:b w:val="false"/>
                <w:bCs w:val="false"/>
              </w:rPr>
              <w:t xml:space="preserve">Keeps you TCPA-legal</w:t>
            </w:r>
          </w:p>
        </w:tc>
        <w:tc>
          <w:tcPr>
            <w:tcW w:type="dxa" w:w="2960"/>
            <w:shd w:fill="F4F7F7" w:val="clear"/>
            <w:tcMar>
              <w:top w:type="dxa" w:w="70"/>
              <w:left w:type="dxa" w:w="120"/>
              <w:bottom w:type="dxa" w:w="70"/>
              <w:right w:type="dxa" w:w="120"/>
            </w:tcMar>
          </w:tcPr>
          <w:p>
            <w:pPr>
              <w:spacing w:after="0" w:line="264"/>
              <w:jc w:val="left"/>
            </w:pPr>
            <w:r>
              <w:rPr>
                <w:b w:val="false"/>
                <w:bCs w:val="false"/>
              </w:rPr>
              <w:t xml:space="preserve">~$0.01–0.03/number or monthly plan</w:t>
            </w:r>
          </w:p>
        </w:tc>
      </w:tr>
      <w:tr>
        <w:tc>
          <w:tcPr>
            <w:tcW w:type="dxa" w:w="2700"/>
            <w:shd w:fill="FFFFFF" w:val="clear"/>
            <w:tcMar>
              <w:top w:type="dxa" w:w="70"/>
              <w:left w:type="dxa" w:w="120"/>
              <w:bottom w:type="dxa" w:w="70"/>
              <w:right w:type="dxa" w:w="120"/>
            </w:tcMar>
          </w:tcPr>
          <w:p>
            <w:pPr>
              <w:spacing w:after="0" w:line="264"/>
              <w:jc w:val="left"/>
            </w:pPr>
            <w:r>
              <w:rPr>
                <w:b w:val="false"/>
                <w:bCs w:val="false"/>
              </w:rPr>
              <w:t xml:space="preserve">License verification (NIPR PDB)</w:t>
            </w:r>
          </w:p>
        </w:tc>
        <w:tc>
          <w:tcPr>
            <w:tcW w:type="dxa" w:w="3700"/>
            <w:shd w:fill="FFFFFF" w:val="clear"/>
            <w:tcMar>
              <w:top w:type="dxa" w:w="70"/>
              <w:left w:type="dxa" w:w="120"/>
              <w:bottom w:type="dxa" w:w="70"/>
              <w:right w:type="dxa" w:w="120"/>
            </w:tcMar>
          </w:tcPr>
          <w:p>
            <w:pPr>
              <w:spacing w:after="0" w:line="264"/>
              <w:jc w:val="left"/>
            </w:pPr>
            <w:r>
              <w:rPr>
                <w:b w:val="false"/>
                <w:bCs w:val="false"/>
              </w:rPr>
              <w:t xml:space="preserve">Auto-approve/deny agents</w:t>
            </w:r>
          </w:p>
        </w:tc>
        <w:tc>
          <w:tcPr>
            <w:tcW w:type="dxa" w:w="2960"/>
            <w:shd w:fill="FFFFFF" w:val="clear"/>
            <w:tcMar>
              <w:top w:type="dxa" w:w="70"/>
              <w:left w:type="dxa" w:w="120"/>
              <w:bottom w:type="dxa" w:w="70"/>
              <w:right w:type="dxa" w:w="120"/>
            </w:tcMar>
          </w:tcPr>
          <w:p>
            <w:pPr>
              <w:spacing w:after="0" w:line="264"/>
              <w:jc w:val="left"/>
            </w:pPr>
            <w:r>
              <w:rPr>
                <w:b w:val="false"/>
                <w:bCs w:val="false"/>
              </w:rPr>
              <w:t xml:space="preserve">Per-report / data plan via NIPR</w:t>
            </w:r>
          </w:p>
        </w:tc>
      </w:tr>
      <w:tr>
        <w:tc>
          <w:tcPr>
            <w:tcW w:type="dxa" w:w="2700"/>
            <w:shd w:fill="F4F7F7" w:val="clear"/>
            <w:tcMar>
              <w:top w:type="dxa" w:w="70"/>
              <w:left w:type="dxa" w:w="120"/>
              <w:bottom w:type="dxa" w:w="70"/>
              <w:right w:type="dxa" w:w="120"/>
            </w:tcMar>
          </w:tcPr>
          <w:p>
            <w:pPr>
              <w:spacing w:after="0" w:line="264"/>
              <w:jc w:val="left"/>
            </w:pPr>
            <w:r>
              <w:rPr>
                <w:b w:val="false"/>
                <w:bCs w:val="false"/>
              </w:rPr>
              <w:t xml:space="preserve">Payments (Stripe)</w:t>
            </w:r>
          </w:p>
        </w:tc>
        <w:tc>
          <w:tcPr>
            <w:tcW w:type="dxa" w:w="3700"/>
            <w:shd w:fill="F4F7F7" w:val="clear"/>
            <w:tcMar>
              <w:top w:type="dxa" w:w="70"/>
              <w:left w:type="dxa" w:w="120"/>
              <w:bottom w:type="dxa" w:w="70"/>
              <w:right w:type="dxa" w:w="120"/>
            </w:tcMar>
          </w:tcPr>
          <w:p>
            <w:pPr>
              <w:spacing w:after="0" w:line="264"/>
              <w:jc w:val="left"/>
            </w:pPr>
            <w:r>
              <w:rPr>
                <w:b w:val="false"/>
                <w:bCs w:val="false"/>
              </w:rPr>
              <w:t xml:space="preserve">Charge agents for leads</w:t>
            </w:r>
          </w:p>
        </w:tc>
        <w:tc>
          <w:tcPr>
            <w:tcW w:type="dxa" w:w="2960"/>
            <w:shd w:fill="F4F7F7" w:val="clear"/>
            <w:tcMar>
              <w:top w:type="dxa" w:w="70"/>
              <w:left w:type="dxa" w:w="120"/>
              <w:bottom w:type="dxa" w:w="70"/>
              <w:right w:type="dxa" w:w="120"/>
            </w:tcMar>
          </w:tcPr>
          <w:p>
            <w:pPr>
              <w:spacing w:after="0" w:line="264"/>
              <w:jc w:val="left"/>
            </w:pPr>
            <w:r>
              <w:rPr>
                <w:b w:val="false"/>
                <w:bCs w:val="false"/>
              </w:rPr>
              <w:t xml:space="preserve">2.9% + 30¢ per transaction</w:t>
            </w:r>
          </w:p>
        </w:tc>
      </w:tr>
      <w:tr>
        <w:tc>
          <w:tcPr>
            <w:tcW w:type="dxa" w:w="2700"/>
            <w:shd w:fill="FFFFFF" w:val="clear"/>
            <w:tcMar>
              <w:top w:type="dxa" w:w="70"/>
              <w:left w:type="dxa" w:w="120"/>
              <w:bottom w:type="dxa" w:w="70"/>
              <w:right w:type="dxa" w:w="120"/>
            </w:tcMar>
          </w:tcPr>
          <w:p>
            <w:pPr>
              <w:spacing w:after="0" w:line="264"/>
              <w:jc w:val="left"/>
            </w:pPr>
            <w:r>
              <w:rPr>
                <w:b w:val="false"/>
                <w:bCs w:val="false"/>
              </w:rPr>
              <w:t xml:space="preserve">Email/SMS (SendGrid/Twilio)</w:t>
            </w:r>
          </w:p>
        </w:tc>
        <w:tc>
          <w:tcPr>
            <w:tcW w:type="dxa" w:w="3700"/>
            <w:shd w:fill="FFFFFF" w:val="clear"/>
            <w:tcMar>
              <w:top w:type="dxa" w:w="70"/>
              <w:left w:type="dxa" w:w="120"/>
              <w:bottom w:type="dxa" w:w="70"/>
              <w:right w:type="dxa" w:w="120"/>
            </w:tcMar>
          </w:tcPr>
          <w:p>
            <w:pPr>
              <w:spacing w:after="0" w:line="264"/>
              <w:jc w:val="left"/>
            </w:pPr>
            <w:r>
              <w:rPr>
                <w:b w:val="false"/>
                <w:bCs w:val="false"/>
              </w:rPr>
              <w:t xml:space="preserve">Automated follow-up</w:t>
            </w:r>
          </w:p>
        </w:tc>
        <w:tc>
          <w:tcPr>
            <w:tcW w:type="dxa" w:w="2960"/>
            <w:shd w:fill="FFFFFF" w:val="clear"/>
            <w:tcMar>
              <w:top w:type="dxa" w:w="70"/>
              <w:left w:type="dxa" w:w="120"/>
              <w:bottom w:type="dxa" w:w="70"/>
              <w:right w:type="dxa" w:w="120"/>
            </w:tcMar>
          </w:tcPr>
          <w:p>
            <w:pPr>
              <w:spacing w:after="0" w:line="264"/>
              <w:jc w:val="left"/>
            </w:pPr>
            <w:r>
              <w:rPr>
                <w:b w:val="false"/>
                <w:bCs w:val="false"/>
              </w:rPr>
              <w:t xml:space="preserve">Usage-based, 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Spend discipline</w:t>
            </w:r>
          </w:p>
          <w:p>
            <w:pPr>
              <w:spacing w:after="40" w:line="264"/>
            </w:pPr>
            <w:r>
              <w:rPr>
                <w:color w:val="333333"/>
              </w:rPr>
              <w:t xml:space="preserve">Most of these are pay-as-you-go, so your costs scale with usage — you won’t pay for calls you don’t make. A realistic “turn it all on” starting point is well under $200/month in fixed costs, plus per-call and per-transaction fees that only hit when you’re making money.</w:t>
            </w:r>
          </w:p>
        </w:tc>
      </w:tr>
    </w:tbl>
    <w:p>
      <w:r>
        <w:br w:type="page"/>
      </w:r>
    </w:p>
    <w:p>
      <w:pPr>
        <w:pStyle w:val="Heading1"/>
      </w:pPr>
      <w:r>
        <w:t xml:space="preserve">6. Step 5 — Compliance (Protect the Business)</w:t>
      </w:r>
    </w:p>
    <w:p>
      <w:pPr>
        <w:spacing w:after="140" w:line="276"/>
      </w:pPr>
      <w:r>
        <w:rPr>
          <w:i/>
          <w:iCs/>
          <w:color w:val="5D6F78"/>
        </w:rPr>
        <w:t xml:space="preserve">Skipping this is the fastest way to lose everything you build. It’s not hard — it just has to be deliberate.</w:t>
      </w:r>
    </w:p>
    <w:p>
      <w:pPr>
        <w:pStyle w:val="Heading3"/>
      </w:pPr>
      <w:r>
        <w:t xml:space="preserve">Calling &amp; texting (TCPA)</w:t>
      </w:r>
    </w:p>
    <w:p>
      <w:pPr>
        <w:pStyle w:val="ListParagraph"/>
        <w:numPr>
          <w:ilvl w:val="0"/>
          <w:numId w:val="3"/>
        </w:numPr>
        <w:spacing w:after="80" w:line="270"/>
      </w:pPr>
      <w:r>
        <w:t xml:space="preserve">Collect prior express written consent on every lead form, with clear disclosure that an AI/automated voice may call. Store the timestamp, IP, and exact wording.</w:t>
      </w:r>
    </w:p>
    <w:p>
      <w:pPr>
        <w:pStyle w:val="ListParagraph"/>
        <w:numPr>
          <w:ilvl w:val="0"/>
          <w:numId w:val="3"/>
        </w:numPr>
        <w:spacing w:after="80" w:line="270"/>
      </w:pPr>
      <w:r>
        <w:t xml:space="preserve">Scrub every number against the National DNC Registry and your internal DNC before calling.</w:t>
      </w:r>
    </w:p>
    <w:p>
      <w:pPr>
        <w:pStyle w:val="ListParagraph"/>
        <w:numPr>
          <w:ilvl w:val="0"/>
          <w:numId w:val="3"/>
        </w:numPr>
        <w:spacing w:after="80" w:line="270"/>
      </w:pPr>
      <w:r>
        <w:t xml:space="preserve">Honor opt-outs instantly, by any reasonable method (FCC Opt-Out Rule, effective April 2025).</w:t>
      </w:r>
    </w:p>
    <w:p>
      <w:pPr>
        <w:pStyle w:val="ListParagraph"/>
        <w:numPr>
          <w:ilvl w:val="0"/>
          <w:numId w:val="3"/>
        </w:numPr>
        <w:spacing w:after="80" w:line="270"/>
      </w:pPr>
      <w:r>
        <w:t xml:space="preserve">Call only 8am–9pm in the prospect’s local time; identify yourself and disclose recording.</w:t>
      </w:r>
    </w:p>
    <w:p>
      <w:pPr>
        <w:pStyle w:val="Heading3"/>
      </w:pPr>
      <w:r>
        <w:t xml:space="preserve">Insurance marketing</w:t>
      </w:r>
    </w:p>
    <w:p>
      <w:pPr>
        <w:pStyle w:val="ListParagraph"/>
        <w:numPr>
          <w:ilvl w:val="0"/>
          <w:numId w:val="3"/>
        </w:numPr>
        <w:spacing w:after="80" w:line="270"/>
      </w:pPr>
      <w:r>
        <w:t xml:space="preserve">Don’t make guarantees or quote specific rates as final without underwriting.</w:t>
      </w:r>
    </w:p>
    <w:p>
      <w:pPr>
        <w:pStyle w:val="ListParagraph"/>
        <w:numPr>
          <w:ilvl w:val="0"/>
          <w:numId w:val="3"/>
        </w:numPr>
        <w:spacing w:after="80" w:line="270"/>
      </w:pPr>
      <w:r>
        <w:t xml:space="preserve">Keep advertising truthful and carrier-compliant; some carriers must approve your marketing.</w:t>
      </w:r>
    </w:p>
    <w:p>
      <w:pPr>
        <w:pStyle w:val="Heading3"/>
      </w:pPr>
      <w:r>
        <w:t xml:space="preserve">Data &amp; privacy</w:t>
      </w:r>
    </w:p>
    <w:p>
      <w:pPr>
        <w:pStyle w:val="ListParagraph"/>
        <w:numPr>
          <w:ilvl w:val="0"/>
          <w:numId w:val="3"/>
        </w:numPr>
        <w:spacing w:after="80" w:line="270"/>
      </w:pPr>
      <w:r>
        <w:t xml:space="preserve">Publish a Privacy Policy and Terms of Service on the site (a generator like Termly is fine to start).</w:t>
      </w:r>
    </w:p>
    <w:p>
      <w:pPr>
        <w:pStyle w:val="ListParagraph"/>
        <w:numPr>
          <w:ilvl w:val="0"/>
          <w:numId w:val="3"/>
        </w:numPr>
        <w:spacing w:after="80" w:line="270"/>
      </w:pPr>
      <w:r>
        <w:t xml:space="preserve">Secure consumer data (encryption, access controls). You’re handling health and financial info.</w:t>
      </w:r>
    </w:p>
    <w:p>
      <w:pPr>
        <w:pStyle w:val="ListParagraph"/>
        <w:numPr>
          <w:ilvl w:val="0"/>
          <w:numId w:val="3"/>
        </w:numPr>
        <w:spacing w:after="80" w:line="270"/>
      </w:pPr>
      <w:r>
        <w:t xml:space="preserve">If you sell to or capture leads from California/other states, review CCPA-style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8" w:sz="2"/>
              <w:left w:val="single" w:color="C0492F" w:sz="24"/>
              <w:bottom w:val="single" w:color="FBECE8" w:sz="2"/>
              <w:right w:val="single" w:color="FBECE8" w:sz="2"/>
            </w:tcBorders>
            <w:shd w:fill="FBECE8" w:val="clear"/>
            <w:tcMar>
              <w:top w:type="dxa" w:w="120"/>
              <w:left w:type="dxa" w:w="200"/>
              <w:bottom w:type="dxa" w:w="120"/>
              <w:right w:type="dxa" w:w="160"/>
            </w:tcMar>
          </w:tcPr>
          <w:p>
            <w:pPr>
              <w:spacing w:after="60"/>
            </w:pPr>
            <w:r>
              <w:rPr>
                <w:b/>
                <w:bCs/>
                <w:color w:val="0D2B3E"/>
              </w:rPr>
              <w:t xml:space="preserve">Your compliance starter kit</w:t>
            </w:r>
          </w:p>
          <w:p>
            <w:pPr>
              <w:spacing w:after="40" w:line="264"/>
            </w:pPr>
            <w:r>
              <w:rPr>
                <w:color w:val="333333"/>
              </w:rPr>
              <w:t xml:space="preserve">1) Consent checkbox + disclosure on the lead form. 2) DNC scrubbing turned on. 3) Internal DNC list that opt-outs flow into automatically. 4) Privacy Policy + Terms live on the site. 5) A one-hour TCPA attorney review of your consent language. Do these five and you’re ahead of most lead sellers.</w:t>
            </w:r>
          </w:p>
        </w:tc>
      </w:tr>
    </w:tbl>
    <w:p>
      <w:pPr>
        <w:pStyle w:val="Heading1"/>
      </w:pPr>
      <w:r>
        <w:t xml:space="preserve">7. Step 6 — Where Leads Actually Come From</w:t>
      </w:r>
    </w:p>
    <w:p>
      <w:pPr>
        <w:spacing w:after="140" w:line="276"/>
      </w:pPr>
      <w:r>
        <w:rPr>
          <w:i/>
          <w:iCs/>
          <w:color w:val="5D6F78"/>
        </w:rPr>
        <w:t xml:space="preserve">Your platform scores and sells leads — but first they have to enter the funnel. Here’s how to fill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shd w:fill="0F6B6B" w:val="clear"/>
            <w:tcMar>
              <w:top w:type="dxa" w:w="70"/>
              <w:left w:type="dxa" w:w="120"/>
              <w:bottom w:type="dxa" w:w="70"/>
              <w:right w:type="dxa" w:w="120"/>
            </w:tcMar>
          </w:tcPr>
          <w:p>
            <w:pPr>
              <w:spacing w:after="0" w:line="264"/>
              <w:jc w:val="left"/>
            </w:pPr>
            <w:r>
              <w:rPr>
                <w:b/>
                <w:bCs/>
                <w:color w:val="FFFFFF"/>
              </w:rPr>
              <w:t xml:space="preserve">Channel</w:t>
            </w:r>
          </w:p>
        </w:tc>
        <w:tc>
          <w:tcPr>
            <w:tcW w:type="dxa" w:w="4200"/>
            <w:shd w:fill="0F6B6B" w:val="clear"/>
            <w:tcMar>
              <w:top w:type="dxa" w:w="70"/>
              <w:left w:type="dxa" w:w="120"/>
              <w:bottom w:type="dxa" w:w="70"/>
              <w:right w:type="dxa" w:w="120"/>
            </w:tcMar>
          </w:tcPr>
          <w:p>
            <w:pPr>
              <w:spacing w:after="0" w:line="264"/>
              <w:jc w:val="left"/>
            </w:pPr>
            <w:r>
              <w:rPr>
                <w:b/>
                <w:bCs/>
                <w:color w:val="FFFFFF"/>
              </w:rPr>
              <w:t xml:space="preserve">How it works</w:t>
            </w:r>
          </w:p>
        </w:tc>
        <w:tc>
          <w:tcPr>
            <w:tcW w:type="dxa" w:w="2860"/>
            <w:shd w:fill="0F6B6B" w:val="clear"/>
            <w:tcMar>
              <w:top w:type="dxa" w:w="70"/>
              <w:left w:type="dxa" w:w="120"/>
              <w:bottom w:type="dxa" w:w="70"/>
              <w:right w:type="dxa" w:w="120"/>
            </w:tcMar>
          </w:tcPr>
          <w:p>
            <w:pPr>
              <w:spacing w:after="0" w:line="264"/>
              <w:jc w:val="left"/>
            </w:pPr>
            <w:r>
              <w:rPr>
                <w:b/>
                <w:bCs/>
                <w:color w:val="FFFFFF"/>
              </w:rPr>
              <w:t xml:space="preserve">Effort / cost</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Paid social (Meta/TikTok)</w:t>
            </w:r>
          </w:p>
        </w:tc>
        <w:tc>
          <w:tcPr>
            <w:tcW w:type="dxa" w:w="4200"/>
            <w:shd w:fill="FFFFFF" w:val="clear"/>
            <w:tcMar>
              <w:top w:type="dxa" w:w="70"/>
              <w:left w:type="dxa" w:w="120"/>
              <w:bottom w:type="dxa" w:w="70"/>
              <w:right w:type="dxa" w:w="120"/>
            </w:tcMar>
          </w:tcPr>
          <w:p>
            <w:pPr>
              <w:spacing w:after="0" w:line="264"/>
              <w:jc w:val="left"/>
            </w:pPr>
            <w:r>
              <w:rPr>
                <w:b w:val="false"/>
                <w:bCs w:val="false"/>
              </w:rPr>
              <w:t xml:space="preserve">Run “get a free life insurance quote” ads to your survey</w:t>
            </w:r>
          </w:p>
        </w:tc>
        <w:tc>
          <w:tcPr>
            <w:tcW w:type="dxa" w:w="2860"/>
            <w:shd w:fill="FFFFFF" w:val="clear"/>
            <w:tcMar>
              <w:top w:type="dxa" w:w="70"/>
              <w:left w:type="dxa" w:w="120"/>
              <w:bottom w:type="dxa" w:w="70"/>
              <w:right w:type="dxa" w:w="120"/>
            </w:tcMar>
          </w:tcPr>
          <w:p>
            <w:pPr>
              <w:spacing w:after="0" w:line="264"/>
              <w:jc w:val="left"/>
            </w:pPr>
            <w:r>
              <w:rPr>
                <w:b w:val="false"/>
                <w:bCs w:val="false"/>
              </w:rPr>
              <w:t xml:space="preserve">Fastest; pay per lead, test small</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Google Search ads</w:t>
            </w:r>
          </w:p>
        </w:tc>
        <w:tc>
          <w:tcPr>
            <w:tcW w:type="dxa" w:w="4200"/>
            <w:shd w:fill="F4F7F7" w:val="clear"/>
            <w:tcMar>
              <w:top w:type="dxa" w:w="70"/>
              <w:left w:type="dxa" w:w="120"/>
              <w:bottom w:type="dxa" w:w="70"/>
              <w:right w:type="dxa" w:w="120"/>
            </w:tcMar>
          </w:tcPr>
          <w:p>
            <w:pPr>
              <w:spacing w:after="0" w:line="264"/>
              <w:jc w:val="left"/>
            </w:pPr>
            <w:r>
              <w:rPr>
                <w:b w:val="false"/>
                <w:bCs w:val="false"/>
              </w:rPr>
              <w:t xml:space="preserve">Capture high-intent “life insurance quote” searches</w:t>
            </w:r>
          </w:p>
        </w:tc>
        <w:tc>
          <w:tcPr>
            <w:tcW w:type="dxa" w:w="2860"/>
            <w:shd w:fill="F4F7F7" w:val="clear"/>
            <w:tcMar>
              <w:top w:type="dxa" w:w="70"/>
              <w:left w:type="dxa" w:w="120"/>
              <w:bottom w:type="dxa" w:w="70"/>
              <w:right w:type="dxa" w:w="120"/>
            </w:tcMar>
          </w:tcPr>
          <w:p>
            <w:pPr>
              <w:spacing w:after="0" w:line="264"/>
              <w:jc w:val="left"/>
            </w:pPr>
            <w:r>
              <w:rPr>
                <w:b w:val="false"/>
                <w:bCs w:val="false"/>
              </w:rPr>
              <w:t xml:space="preserve">Higher intent, higher cost-per-click</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SEO / content</w:t>
            </w:r>
          </w:p>
        </w:tc>
        <w:tc>
          <w:tcPr>
            <w:tcW w:type="dxa" w:w="4200"/>
            <w:shd w:fill="FFFFFF" w:val="clear"/>
            <w:tcMar>
              <w:top w:type="dxa" w:w="70"/>
              <w:left w:type="dxa" w:w="120"/>
              <w:bottom w:type="dxa" w:w="70"/>
              <w:right w:type="dxa" w:w="120"/>
            </w:tcMar>
          </w:tcPr>
          <w:p>
            <w:pPr>
              <w:spacing w:after="0" w:line="264"/>
              <w:jc w:val="left"/>
            </w:pPr>
            <w:r>
              <w:rPr>
                <w:b w:val="false"/>
                <w:bCs w:val="false"/>
              </w:rPr>
              <w:t xml:space="preserve">Articles answering buyer questions → survey</w:t>
            </w:r>
          </w:p>
        </w:tc>
        <w:tc>
          <w:tcPr>
            <w:tcW w:type="dxa" w:w="2860"/>
            <w:shd w:fill="FFFFFF" w:val="clear"/>
            <w:tcMar>
              <w:top w:type="dxa" w:w="70"/>
              <w:left w:type="dxa" w:w="120"/>
              <w:bottom w:type="dxa" w:w="70"/>
              <w:right w:type="dxa" w:w="120"/>
            </w:tcMar>
          </w:tcPr>
          <w:p>
            <w:pPr>
              <w:spacing w:after="0" w:line="264"/>
              <w:jc w:val="left"/>
            </w:pPr>
            <w:r>
              <w:rPr>
                <w:b w:val="false"/>
                <w:bCs w:val="false"/>
              </w:rPr>
              <w:t xml:space="preserve">Slow but compounding &amp; free traffic</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Buy &amp; re-score aged leads</w:t>
            </w:r>
          </w:p>
        </w:tc>
        <w:tc>
          <w:tcPr>
            <w:tcW w:type="dxa" w:w="4200"/>
            <w:shd w:fill="F4F7F7" w:val="clear"/>
            <w:tcMar>
              <w:top w:type="dxa" w:w="70"/>
              <w:left w:type="dxa" w:w="120"/>
              <w:bottom w:type="dxa" w:w="70"/>
              <w:right w:type="dxa" w:w="120"/>
            </w:tcMar>
          </w:tcPr>
          <w:p>
            <w:pPr>
              <w:spacing w:after="0" w:line="264"/>
              <w:jc w:val="left"/>
            </w:pPr>
            <w:r>
              <w:rPr>
                <w:b w:val="false"/>
                <w:bCs w:val="false"/>
              </w:rPr>
              <w:t xml:space="preserve">Acquire cheap aged leads, re-score, resell/work them</w:t>
            </w:r>
          </w:p>
        </w:tc>
        <w:tc>
          <w:tcPr>
            <w:tcW w:type="dxa" w:w="2860"/>
            <w:shd w:fill="F4F7F7" w:val="clear"/>
            <w:tcMar>
              <w:top w:type="dxa" w:w="70"/>
              <w:left w:type="dxa" w:w="120"/>
              <w:bottom w:type="dxa" w:w="70"/>
              <w:right w:type="dxa" w:w="120"/>
            </w:tcMar>
          </w:tcPr>
          <w:p>
            <w:pPr>
              <w:spacing w:after="0" w:line="264"/>
              <w:jc w:val="left"/>
            </w:pPr>
            <w:r>
              <w:rPr>
                <w:b w:val="false"/>
                <w:bCs w:val="false"/>
              </w:rPr>
              <w:t xml:space="preserve">Low cost; your scoring adds the value</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Affiliates / referrals</w:t>
            </w:r>
          </w:p>
        </w:tc>
        <w:tc>
          <w:tcPr>
            <w:tcW w:type="dxa" w:w="4200"/>
            <w:shd w:fill="FFFFFF" w:val="clear"/>
            <w:tcMar>
              <w:top w:type="dxa" w:w="70"/>
              <w:left w:type="dxa" w:w="120"/>
              <w:bottom w:type="dxa" w:w="70"/>
              <w:right w:type="dxa" w:w="120"/>
            </w:tcMar>
          </w:tcPr>
          <w:p>
            <w:pPr>
              <w:spacing w:after="0" w:line="264"/>
              <w:jc w:val="left"/>
            </w:pPr>
            <w:r>
              <w:rPr>
                <w:b w:val="false"/>
                <w:bCs w:val="false"/>
              </w:rPr>
              <w:t xml:space="preserve">Pay partners per lead they send</w:t>
            </w:r>
          </w:p>
        </w:tc>
        <w:tc>
          <w:tcPr>
            <w:tcW w:type="dxa" w:w="2860"/>
            <w:shd w:fill="FFFFFF" w:val="clear"/>
            <w:tcMar>
              <w:top w:type="dxa" w:w="70"/>
              <w:left w:type="dxa" w:w="120"/>
              <w:bottom w:type="dxa" w:w="70"/>
              <w:right w:type="dxa" w:w="120"/>
            </w:tcMar>
          </w:tcPr>
          <w:p>
            <w:pPr>
              <w:spacing w:after="0" w:line="264"/>
              <w:jc w:val="left"/>
            </w:pPr>
            <w:r>
              <w:rPr>
                <w:b w:val="false"/>
                <w:bCs w:val="false"/>
              </w:rPr>
              <w:t xml:space="preserve">Scales once you have cash flow</w:t>
            </w:r>
          </w:p>
        </w:tc>
      </w:tr>
    </w:tbl>
    <w:p>
      <w:pPr>
        <w:spacing w:after="60"/>
      </w:pPr>
      <w:r>
        <w:t xml:space="preserve"/>
      </w:r>
    </w:p>
    <w:p>
      <w:pPr>
        <w:spacing w:after="120" w:line="276"/>
      </w:pPr>
      <w:r>
        <w:t xml:space="preserve">A smart starting motion: run a small paid-social test to your survey, let the AI engine work the A/B leads for your own production, and list the rest in the marketplace. You learn your true cost-per-lead and can price above it.</w:t>
      </w:r>
    </w:p>
    <w:p>
      <w:pPr>
        <w:pStyle w:val="Heading1"/>
      </w:pPr>
      <w:r>
        <w:t xml:space="preserve">8. Step 7 — How to Price Your Leads</w:t>
      </w:r>
    </w:p>
    <w:p>
      <w:pPr>
        <w:spacing w:after="140" w:line="276"/>
      </w:pPr>
      <w:r>
        <w:rPr>
          <w:i/>
          <w:iCs/>
          <w:color w:val="5D6F78"/>
        </w:rPr>
        <w:t xml:space="preserve">Priced from real 2025 market data so you’re competitive from day one. The platform already applies these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160"/>
        <w:gridCol w:w="2800"/>
      </w:tblGrid>
      <w:tr>
        <w:trPr>
          <w:tblHeader/>
        </w:trPr>
        <w:tc>
          <w:tcPr>
            <w:tcW w:type="dxa" w:w="1700"/>
            <w:shd w:fill="0F6B6B" w:val="clear"/>
            <w:tcMar>
              <w:top w:type="dxa" w:w="70"/>
              <w:left w:type="dxa" w:w="120"/>
              <w:bottom w:type="dxa" w:w="70"/>
              <w:right w:type="dxa" w:w="120"/>
            </w:tcMar>
          </w:tcPr>
          <w:p>
            <w:pPr>
              <w:spacing w:after="0" w:line="264"/>
              <w:jc w:val="left"/>
            </w:pPr>
            <w:r>
              <w:rPr>
                <w:b/>
                <w:bCs/>
                <w:color w:val="FFFFFF"/>
              </w:rPr>
              <w:t xml:space="preserve">Lead type</w:t>
            </w:r>
          </w:p>
        </w:tc>
        <w:tc>
          <w:tcPr>
            <w:tcW w:type="dxa" w:w="1700"/>
            <w:shd w:fill="0F6B6B" w:val="clear"/>
            <w:tcMar>
              <w:top w:type="dxa" w:w="70"/>
              <w:left w:type="dxa" w:w="120"/>
              <w:bottom w:type="dxa" w:w="70"/>
              <w:right w:type="dxa" w:w="120"/>
            </w:tcMar>
          </w:tcPr>
          <w:p>
            <w:pPr>
              <w:spacing w:after="0" w:line="264"/>
              <w:jc w:val="left"/>
            </w:pPr>
            <w:r>
              <w:rPr>
                <w:b/>
                <w:bCs/>
                <w:color w:val="FFFFFF"/>
              </w:rPr>
              <w:t xml:space="preserve">Market range</w:t>
            </w:r>
          </w:p>
        </w:tc>
        <w:tc>
          <w:tcPr>
            <w:tcW w:type="dxa" w:w="3160"/>
            <w:shd w:fill="0F6B6B" w:val="clear"/>
            <w:tcMar>
              <w:top w:type="dxa" w:w="70"/>
              <w:left w:type="dxa" w:w="120"/>
              <w:bottom w:type="dxa" w:w="70"/>
              <w:right w:type="dxa" w:w="120"/>
            </w:tcMar>
          </w:tcPr>
          <w:p>
            <w:pPr>
              <w:spacing w:after="0" w:line="264"/>
              <w:jc w:val="left"/>
            </w:pPr>
            <w:r>
              <w:rPr>
                <w:b/>
                <w:bCs/>
                <w:color w:val="FFFFFF"/>
              </w:rPr>
              <w:t xml:space="preserve">Your suggested price (by tier)</w:t>
            </w:r>
          </w:p>
        </w:tc>
        <w:tc>
          <w:tcPr>
            <w:tcW w:type="dxa" w:w="2800"/>
            <w:shd w:fill="0F6B6B" w:val="clear"/>
            <w:tcMar>
              <w:top w:type="dxa" w:w="70"/>
              <w:left w:type="dxa" w:w="120"/>
              <w:bottom w:type="dxa" w:w="70"/>
              <w:right w:type="dxa" w:w="120"/>
            </w:tcMar>
          </w:tcPr>
          <w:p>
            <w:pPr>
              <w:spacing w:after="0" w:line="264"/>
              <w:jc w:val="left"/>
            </w:pPr>
            <w:r>
              <w:rPr>
                <w:b/>
                <w:bCs/>
                <w:color w:val="FFFFFF"/>
              </w:rPr>
              <w:t xml:space="preserve">Notes</w:t>
            </w:r>
          </w:p>
        </w:tc>
      </w:tr>
      <w:tr>
        <w:tc>
          <w:tcPr>
            <w:tcW w:type="dxa" w:w="1700"/>
            <w:shd w:fill="FFFFFF" w:val="clear"/>
            <w:tcMar>
              <w:top w:type="dxa" w:w="70"/>
              <w:left w:type="dxa" w:w="120"/>
              <w:bottom w:type="dxa" w:w="70"/>
              <w:right w:type="dxa" w:w="120"/>
            </w:tcMar>
          </w:tcPr>
          <w:p>
            <w:pPr>
              <w:spacing w:after="0" w:line="264"/>
              <w:jc w:val="left"/>
            </w:pPr>
            <w:r>
              <w:rPr>
                <w:b w:val="false"/>
                <w:bCs w:val="false"/>
              </w:rPr>
              <w:t xml:space="preserve">Aged (30–180 days)</w:t>
            </w:r>
          </w:p>
        </w:tc>
        <w:tc>
          <w:tcPr>
            <w:tcW w:type="dxa" w:w="1700"/>
            <w:shd w:fill="FFFFFF" w:val="clear"/>
            <w:tcMar>
              <w:top w:type="dxa" w:w="70"/>
              <w:left w:type="dxa" w:w="120"/>
              <w:bottom w:type="dxa" w:w="70"/>
              <w:right w:type="dxa" w:w="120"/>
            </w:tcMar>
          </w:tcPr>
          <w:p>
            <w:pPr>
              <w:spacing w:after="0" w:line="264"/>
              <w:jc w:val="left"/>
            </w:pPr>
            <w:r>
              <w:rPr>
                <w:b w:val="false"/>
                <w:bCs w:val="false"/>
              </w:rPr>
              <w:t xml:space="preserve">$5–$15</w:t>
            </w:r>
          </w:p>
        </w:tc>
        <w:tc>
          <w:tcPr>
            <w:tcW w:type="dxa" w:w="3160"/>
            <w:shd w:fill="FFFFFF" w:val="clear"/>
            <w:tcMar>
              <w:top w:type="dxa" w:w="70"/>
              <w:left w:type="dxa" w:w="120"/>
              <w:bottom w:type="dxa" w:w="70"/>
              <w:right w:type="dxa" w:w="120"/>
            </w:tcMar>
          </w:tcPr>
          <w:p>
            <w:pPr>
              <w:spacing w:after="0" w:line="264"/>
              <w:jc w:val="left"/>
            </w:pPr>
            <w:r>
              <w:rPr>
                <w:b w:val="false"/>
                <w:bCs w:val="false"/>
              </w:rPr>
              <w:t xml:space="preserve">$5 (D) → $13 (A)</w:t>
            </w:r>
          </w:p>
        </w:tc>
        <w:tc>
          <w:tcPr>
            <w:tcW w:type="dxa" w:w="2800"/>
            <w:shd w:fill="FFFFFF" w:val="clear"/>
            <w:tcMar>
              <w:top w:type="dxa" w:w="70"/>
              <w:left w:type="dxa" w:w="120"/>
              <w:bottom w:type="dxa" w:w="70"/>
              <w:right w:type="dxa" w:w="120"/>
            </w:tcMar>
          </w:tcPr>
          <w:p>
            <w:pPr>
              <w:spacing w:after="0" w:line="264"/>
              <w:jc w:val="left"/>
            </w:pPr>
            <w:r>
              <w:rPr>
                <w:b w:val="false"/>
                <w:bCs w:val="false"/>
              </w:rPr>
              <w:t xml:space="preserve">High volume, low cost; great for dialers.</w:t>
            </w:r>
          </w:p>
        </w:tc>
      </w:tr>
      <w:tr>
        <w:tc>
          <w:tcPr>
            <w:tcW w:type="dxa" w:w="1700"/>
            <w:shd w:fill="F4F7F7" w:val="clear"/>
            <w:tcMar>
              <w:top w:type="dxa" w:w="70"/>
              <w:left w:type="dxa" w:w="120"/>
              <w:bottom w:type="dxa" w:w="70"/>
              <w:right w:type="dxa" w:w="120"/>
            </w:tcMar>
          </w:tcPr>
          <w:p>
            <w:pPr>
              <w:spacing w:after="0" w:line="264"/>
              <w:jc w:val="left"/>
            </w:pPr>
            <w:r>
              <w:rPr>
                <w:b w:val="false"/>
                <w:bCs w:val="false"/>
              </w:rPr>
              <w:t xml:space="preserve">Shared (3–5 agents)</w:t>
            </w:r>
          </w:p>
        </w:tc>
        <w:tc>
          <w:tcPr>
            <w:tcW w:type="dxa" w:w="1700"/>
            <w:shd w:fill="F4F7F7" w:val="clear"/>
            <w:tcMar>
              <w:top w:type="dxa" w:w="70"/>
              <w:left w:type="dxa" w:w="120"/>
              <w:bottom w:type="dxa" w:w="70"/>
              <w:right w:type="dxa" w:w="120"/>
            </w:tcMar>
          </w:tcPr>
          <w:p>
            <w:pPr>
              <w:spacing w:after="0" w:line="264"/>
              <w:jc w:val="left"/>
            </w:pPr>
            <w:r>
              <w:rPr>
                <w:b w:val="false"/>
                <w:bCs w:val="false"/>
              </w:rPr>
              <w:t xml:space="preserve">$20–$40</w:t>
            </w:r>
          </w:p>
        </w:tc>
        <w:tc>
          <w:tcPr>
            <w:tcW w:type="dxa" w:w="3160"/>
            <w:shd w:fill="F4F7F7" w:val="clear"/>
            <w:tcMar>
              <w:top w:type="dxa" w:w="70"/>
              <w:left w:type="dxa" w:w="120"/>
              <w:bottom w:type="dxa" w:w="70"/>
              <w:right w:type="dxa" w:w="120"/>
            </w:tcMar>
          </w:tcPr>
          <w:p>
            <w:pPr>
              <w:spacing w:after="0" w:line="264"/>
              <w:jc w:val="left"/>
            </w:pPr>
            <w:r>
              <w:rPr>
                <w:b w:val="false"/>
                <w:bCs w:val="false"/>
              </w:rPr>
              <w:t xml:space="preserve">$18 (D) → $38 (A)</w:t>
            </w:r>
          </w:p>
        </w:tc>
        <w:tc>
          <w:tcPr>
            <w:tcW w:type="dxa" w:w="2800"/>
            <w:shd w:fill="F4F7F7" w:val="clear"/>
            <w:tcMar>
              <w:top w:type="dxa" w:w="70"/>
              <w:left w:type="dxa" w:w="120"/>
              <w:bottom w:type="dxa" w:w="70"/>
              <w:right w:type="dxa" w:w="120"/>
            </w:tcMar>
          </w:tcPr>
          <w:p>
            <w:pPr>
              <w:spacing w:after="0" w:line="264"/>
              <w:jc w:val="left"/>
            </w:pPr>
            <w:r>
              <w:rPr>
                <w:b w:val="false"/>
                <w:bCs w:val="false"/>
              </w:rPr>
              <w:t xml:space="preserve">Your bread-and-butter; best value for agents.</w:t>
            </w:r>
          </w:p>
        </w:tc>
      </w:tr>
      <w:tr>
        <w:tc>
          <w:tcPr>
            <w:tcW w:type="dxa" w:w="1700"/>
            <w:shd w:fill="FFFFFF" w:val="clear"/>
            <w:tcMar>
              <w:top w:type="dxa" w:w="70"/>
              <w:left w:type="dxa" w:w="120"/>
              <w:bottom w:type="dxa" w:w="70"/>
              <w:right w:type="dxa" w:w="120"/>
            </w:tcMar>
          </w:tcPr>
          <w:p>
            <w:pPr>
              <w:spacing w:after="0" w:line="264"/>
              <w:jc w:val="left"/>
            </w:pPr>
            <w:r>
              <w:rPr>
                <w:b w:val="false"/>
                <w:bCs w:val="false"/>
              </w:rPr>
              <w:t xml:space="preserve">Exclusive (one agent)</w:t>
            </w:r>
          </w:p>
        </w:tc>
        <w:tc>
          <w:tcPr>
            <w:tcW w:type="dxa" w:w="1700"/>
            <w:shd w:fill="FFFFFF" w:val="clear"/>
            <w:tcMar>
              <w:top w:type="dxa" w:w="70"/>
              <w:left w:type="dxa" w:w="120"/>
              <w:bottom w:type="dxa" w:w="70"/>
              <w:right w:type="dxa" w:w="120"/>
            </w:tcMar>
          </w:tcPr>
          <w:p>
            <w:pPr>
              <w:spacing w:after="0" w:line="264"/>
              <w:jc w:val="left"/>
            </w:pPr>
            <w:r>
              <w:rPr>
                <w:b w:val="false"/>
                <w:bCs w:val="false"/>
              </w:rPr>
              <w:t xml:space="preserve">$75–$150</w:t>
            </w:r>
          </w:p>
        </w:tc>
        <w:tc>
          <w:tcPr>
            <w:tcW w:type="dxa" w:w="3160"/>
            <w:shd w:fill="FFFFFF" w:val="clear"/>
            <w:tcMar>
              <w:top w:type="dxa" w:w="70"/>
              <w:left w:type="dxa" w:w="120"/>
              <w:bottom w:type="dxa" w:w="70"/>
              <w:right w:type="dxa" w:w="120"/>
            </w:tcMar>
          </w:tcPr>
          <w:p>
            <w:pPr>
              <w:spacing w:after="0" w:line="264"/>
              <w:jc w:val="left"/>
            </w:pPr>
            <w:r>
              <w:rPr>
                <w:b w:val="false"/>
                <w:bCs w:val="false"/>
              </w:rPr>
              <w:t xml:space="preserve">$60 (D) → $140 (A)</w:t>
            </w:r>
          </w:p>
        </w:tc>
        <w:tc>
          <w:tcPr>
            <w:tcW w:type="dxa" w:w="2800"/>
            <w:shd w:fill="FFFFFF" w:val="clear"/>
            <w:tcMar>
              <w:top w:type="dxa" w:w="70"/>
              <w:left w:type="dxa" w:w="120"/>
              <w:bottom w:type="dxa" w:w="70"/>
              <w:right w:type="dxa" w:w="120"/>
            </w:tcMar>
          </w:tcPr>
          <w:p>
            <w:pPr>
              <w:spacing w:after="0" w:line="264"/>
              <w:jc w:val="left"/>
            </w:pPr>
            <w:r>
              <w:rPr>
                <w:b w:val="false"/>
                <w:bCs w:val="false"/>
              </w:rPr>
              <w:t xml:space="preserve">2–3× higher conversion; premium price.</w:t>
            </w:r>
          </w:p>
        </w:tc>
      </w:tr>
      <w:tr>
        <w:tc>
          <w:tcPr>
            <w:tcW w:type="dxa" w:w="1700"/>
            <w:shd w:fill="F4F7F7" w:val="clear"/>
            <w:tcMar>
              <w:top w:type="dxa" w:w="70"/>
              <w:left w:type="dxa" w:w="120"/>
              <w:bottom w:type="dxa" w:w="70"/>
              <w:right w:type="dxa" w:w="120"/>
            </w:tcMar>
          </w:tcPr>
          <w:p>
            <w:pPr>
              <w:spacing w:after="0" w:line="264"/>
              <w:jc w:val="left"/>
            </w:pPr>
            <w:r>
              <w:rPr>
                <w:b w:val="false"/>
                <w:bCs w:val="false"/>
              </w:rPr>
              <w:t xml:space="preserve">Live transfer</w:t>
            </w:r>
          </w:p>
        </w:tc>
        <w:tc>
          <w:tcPr>
            <w:tcW w:type="dxa" w:w="1700"/>
            <w:shd w:fill="F4F7F7" w:val="clear"/>
            <w:tcMar>
              <w:top w:type="dxa" w:w="70"/>
              <w:left w:type="dxa" w:w="120"/>
              <w:bottom w:type="dxa" w:w="70"/>
              <w:right w:type="dxa" w:w="120"/>
            </w:tcMar>
          </w:tcPr>
          <w:p>
            <w:pPr>
              <w:spacing w:after="0" w:line="264"/>
              <w:jc w:val="left"/>
            </w:pPr>
            <w:r>
              <w:rPr>
                <w:b w:val="false"/>
                <w:bCs w:val="false"/>
              </w:rPr>
              <w:t xml:space="preserve">$80–$200+</w:t>
            </w:r>
          </w:p>
        </w:tc>
        <w:tc>
          <w:tcPr>
            <w:tcW w:type="dxa" w:w="3160"/>
            <w:shd w:fill="F4F7F7" w:val="clear"/>
            <w:tcMar>
              <w:top w:type="dxa" w:w="70"/>
              <w:left w:type="dxa" w:w="120"/>
              <w:bottom w:type="dxa" w:w="70"/>
              <w:right w:type="dxa" w:w="120"/>
            </w:tcMar>
          </w:tcPr>
          <w:p>
            <w:pPr>
              <w:spacing w:after="0" w:line="264"/>
              <w:jc w:val="left"/>
            </w:pPr>
            <w:r>
              <w:rPr>
                <w:b w:val="false"/>
                <w:bCs w:val="false"/>
              </w:rPr>
              <w:t xml:space="preserve">$95 (D) → $195 (A)</w:t>
            </w:r>
          </w:p>
        </w:tc>
        <w:tc>
          <w:tcPr>
            <w:tcW w:type="dxa" w:w="2800"/>
            <w:shd w:fill="F4F7F7" w:val="clear"/>
            <w:tcMar>
              <w:top w:type="dxa" w:w="70"/>
              <w:left w:type="dxa" w:w="120"/>
              <w:bottom w:type="dxa" w:w="70"/>
              <w:right w:type="dxa" w:w="120"/>
            </w:tcMar>
          </w:tcPr>
          <w:p>
            <w:pPr>
              <w:spacing w:after="0" w:line="264"/>
              <w:jc w:val="left"/>
            </w:pPr>
            <w:r>
              <w:rPr>
                <w:b w:val="false"/>
                <w:bCs w:val="false"/>
              </w:rPr>
              <w:t xml:space="preserve">Warm, AI-qualified, on the line now — top dollar.</w:t>
            </w:r>
          </w:p>
        </w:tc>
      </w:tr>
    </w:tbl>
    <w:p>
      <w:pPr>
        <w:spacing w:after="60"/>
      </w:pPr>
      <w:r>
        <w:t xml:space="preserve"/>
      </w:r>
    </w:p>
    <w:p>
      <w:pPr>
        <w:spacing w:after="120" w:line="276"/>
      </w:pPr>
      <w:r>
        <w:rPr>
          <w:b/>
          <w:bCs/>
        </w:rPr>
        <w:t xml:space="preserve">The golden rule: </w:t>
      </w:r>
      <w:r>
        <w:t xml:space="preserve">price each lead above what it cost you to generate it, and let the intent tier (A–D) set the premium. Transparency about the score is what lets you charge more than vendors who just hand over a name.</w:t>
      </w:r>
    </w:p>
    <w:p>
      <w:pPr>
        <w:spacing w:after="120" w:line="276"/>
      </w:pPr>
      <w:r>
        <w:rPr>
          <w:i/>
          <w:iCs/>
        </w:rPr>
        <w:t xml:space="preserve">Benchmarks drawn from: </w:t>
      </w:r>
      <w:hyperlink w:history="1" r:id="rIdoxdanq2ncauu7rdzj6fav">
        <w:r>
          <w:rPr>
            <w:rStyle w:val="Hyperlink"/>
          </w:rPr>
          <w:t xml:space="preserve">EverQuote</w:t>
        </w:r>
      </w:hyperlink>
      <w:r>
        <w:t xml:space="preserve">, </w:t>
      </w:r>
      <w:hyperlink w:history="1" r:id="rIdpucflws6mvxyy7ee99tb9">
        <w:r>
          <w:rPr>
            <w:rStyle w:val="Hyperlink"/>
          </w:rPr>
          <w:t xml:space="preserve">ActiveProspect</w:t>
        </w:r>
      </w:hyperlink>
      <w:r>
        <w:t xml:space="preserve">, and </w:t>
      </w:r>
      <w:hyperlink w:history="1" r:id="rIdde3ceyyfs7grs-gqmdr7p">
        <w:r>
          <w:rPr>
            <w:rStyle w:val="Hyperlink"/>
          </w:rPr>
          <w:t xml:space="preserve">Aged Lead Store</w:t>
        </w:r>
      </w:hyperlink>
      <w:r>
        <w:t xml:space="preserve"> (2025).</w:t>
      </w:r>
    </w:p>
    <w:p>
      <w:r>
        <w:br w:type="page"/>
      </w:r>
    </w:p>
    <w:p>
      <w:pPr>
        <w:pStyle w:val="Heading1"/>
      </w:pPr>
      <w:r>
        <w:t xml:space="preserve">9. Your Startup Numbers</w:t>
      </w:r>
    </w:p>
    <w:p>
      <w:pPr>
        <w:spacing w:after="140" w:line="276"/>
      </w:pPr>
      <w:r>
        <w:rPr>
          <w:i/>
          <w:iCs/>
          <w:color w:val="5D6F78"/>
        </w:rPr>
        <w:t xml:space="preserve">A realistic, lean launch budget. Most ongoing costs scale only when you’re generating revenue.</w:t>
      </w:r>
    </w:p>
    <w:p>
      <w:pPr>
        <w:pStyle w:val="Heading3"/>
      </w:pPr>
      <w:r>
        <w:t xml:space="preserve">One-time / first-month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0F6B6B" w:val="clear"/>
            <w:tcMar>
              <w:top w:type="dxa" w:w="70"/>
              <w:left w:type="dxa" w:w="120"/>
              <w:bottom w:type="dxa" w:w="70"/>
              <w:right w:type="dxa" w:w="120"/>
            </w:tcMar>
          </w:tcPr>
          <w:p>
            <w:pPr>
              <w:spacing w:after="0" w:line="264"/>
              <w:jc w:val="left"/>
            </w:pPr>
            <w:r>
              <w:rPr>
                <w:b/>
                <w:bCs/>
                <w:color w:val="FFFFFF"/>
              </w:rPr>
              <w:t xml:space="preserve">Item</w:t>
            </w:r>
          </w:p>
        </w:tc>
        <w:tc>
          <w:tcPr>
            <w:tcW w:type="dxa" w:w="3000"/>
            <w:shd w:fill="0F6B6B" w:val="clear"/>
            <w:tcMar>
              <w:top w:type="dxa" w:w="70"/>
              <w:left w:type="dxa" w:w="120"/>
              <w:bottom w:type="dxa" w:w="70"/>
              <w:right w:type="dxa" w:w="120"/>
            </w:tcMar>
          </w:tcPr>
          <w:p>
            <w:pPr>
              <w:spacing w:after="0" w:line="264"/>
              <w:jc w:val="left"/>
            </w:pPr>
            <w:r>
              <w:rPr>
                <w:b/>
                <w:bCs/>
                <w:color w:val="FFFFFF"/>
              </w:rPr>
              <w:t xml:space="preserve">Estimated cost</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LLC formation + registered agent</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$150–$400</w:t>
            </w:r>
          </w:p>
        </w:tc>
      </w:tr>
      <w:tr>
        <w:tc>
          <w:tcPr>
            <w:tcW w:type="dxa" w:w="6360"/>
            <w:shd w:fill="F4F7F7" w:val="clear"/>
            <w:tcMar>
              <w:top w:type="dxa" w:w="70"/>
              <w:left w:type="dxa" w:w="120"/>
              <w:bottom w:type="dxa" w:w="70"/>
              <w:right w:type="dxa" w:w="120"/>
            </w:tcMar>
          </w:tcPr>
          <w:p>
            <w:pPr>
              <w:spacing w:after="0" w:line="264"/>
              <w:jc w:val="left"/>
            </w:pPr>
            <w:r>
              <w:rPr>
                <w:b w:val="false"/>
                <w:bCs w:val="false"/>
              </w:rPr>
              <w:t xml:space="preserve">Domain (1 year)</w:t>
            </w:r>
          </w:p>
        </w:tc>
        <w:tc>
          <w:tcPr>
            <w:tcW w:type="dxa" w:w="3000"/>
            <w:shd w:fill="F4F7F7" w:val="clear"/>
            <w:tcMar>
              <w:top w:type="dxa" w:w="70"/>
              <w:left w:type="dxa" w:w="120"/>
              <w:bottom w:type="dxa" w:w="70"/>
              <w:right w:type="dxa" w:w="120"/>
            </w:tcMar>
          </w:tcPr>
          <w:p>
            <w:pPr>
              <w:spacing w:after="0" w:line="264"/>
              <w:jc w:val="left"/>
            </w:pPr>
            <w:r>
              <w:rPr>
                <w:b w:val="false"/>
                <w:bCs w:val="false"/>
              </w:rPr>
              <w:t xml:space="preserve">$10–$60</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Privacy policy / terms (generator)</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$0–$200</w:t>
            </w:r>
          </w:p>
        </w:tc>
      </w:tr>
      <w:tr>
        <w:tc>
          <w:tcPr>
            <w:tcW w:type="dxa" w:w="6360"/>
            <w:shd w:fill="F4F7F7" w:val="clear"/>
            <w:tcMar>
              <w:top w:type="dxa" w:w="70"/>
              <w:left w:type="dxa" w:w="120"/>
              <w:bottom w:type="dxa" w:w="70"/>
              <w:right w:type="dxa" w:w="120"/>
            </w:tcMar>
          </w:tcPr>
          <w:p>
            <w:pPr>
              <w:spacing w:after="0" w:line="264"/>
              <w:jc w:val="left"/>
            </w:pPr>
            <w:r>
              <w:rPr>
                <w:b w:val="false"/>
                <w:bCs w:val="false"/>
              </w:rPr>
              <w:t xml:space="preserve">Attorney consult (TCPA + entity)</w:t>
            </w:r>
          </w:p>
        </w:tc>
        <w:tc>
          <w:tcPr>
            <w:tcW w:type="dxa" w:w="3000"/>
            <w:shd w:fill="F4F7F7" w:val="clear"/>
            <w:tcMar>
              <w:top w:type="dxa" w:w="70"/>
              <w:left w:type="dxa" w:w="120"/>
              <w:bottom w:type="dxa" w:w="70"/>
              <w:right w:type="dxa" w:w="120"/>
            </w:tcMar>
          </w:tcPr>
          <w:p>
            <w:pPr>
              <w:spacing w:after="0" w:line="264"/>
              <w:jc w:val="left"/>
            </w:pPr>
            <w:r>
              <w:rPr>
                <w:b w:val="false"/>
                <w:bCs w:val="false"/>
              </w:rPr>
              <w:t xml:space="preserve">$300–$800</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Initial ad test budget</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$300–$1,000</w:t>
            </w:r>
          </w:p>
        </w:tc>
      </w:tr>
      <w:tr>
        <w:tc>
          <w:tcPr>
            <w:tcW w:type="dxa" w:w="6360"/>
            <w:shd w:fill="F4F7F7" w:val="clear"/>
            <w:tcMar>
              <w:top w:type="dxa" w:w="70"/>
              <w:left w:type="dxa" w:w="120"/>
              <w:bottom w:type="dxa" w:w="70"/>
              <w:right w:type="dxa" w:w="120"/>
            </w:tcMar>
          </w:tcPr>
          <w:p>
            <w:pPr>
              <w:spacing w:after="0" w:line="264"/>
              <w:jc w:val="left"/>
            </w:pPr>
            <w:r>
              <w:rPr>
                <w:b w:val="false"/>
                <w:bCs w:val="false"/>
              </w:rPr>
              <w:t xml:space="preserve">Estimated total to launch</w:t>
            </w:r>
          </w:p>
        </w:tc>
        <w:tc>
          <w:tcPr>
            <w:tcW w:type="dxa" w:w="3000"/>
            <w:shd w:fill="F4F7F7" w:val="clear"/>
            <w:tcMar>
              <w:top w:type="dxa" w:w="70"/>
              <w:left w:type="dxa" w:w="120"/>
              <w:bottom w:type="dxa" w:w="70"/>
              <w:right w:type="dxa" w:w="120"/>
            </w:tcMar>
          </w:tcPr>
          <w:p>
            <w:pPr>
              <w:spacing w:after="0" w:line="264"/>
              <w:jc w:val="left"/>
            </w:pPr>
            <w:r>
              <w:rPr>
                <w:b w:val="false"/>
                <w:bCs w:val="false"/>
              </w:rPr>
              <w:t xml:space="preserve">~$1,000–$2,500</w:t>
            </w:r>
          </w:p>
        </w:tc>
      </w:tr>
    </w:tbl>
    <w:p>
      <w:pPr>
        <w:spacing w:after="60"/>
      </w:pPr>
      <w:r>
        <w:t xml:space="preserve"/>
      </w:r>
    </w:p>
    <w:p>
      <w:pPr>
        <w:pStyle w:val="Heading3"/>
      </w:pPr>
      <w:r>
        <w:t xml:space="preserve">Monthly fixed costs (lean)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0F6B6B" w:val="clear"/>
            <w:tcMar>
              <w:top w:type="dxa" w:w="70"/>
              <w:left w:type="dxa" w:w="120"/>
              <w:bottom w:type="dxa" w:w="70"/>
              <w:right w:type="dxa" w:w="120"/>
            </w:tcMar>
          </w:tcPr>
          <w:p>
            <w:pPr>
              <w:spacing w:after="0" w:line="264"/>
              <w:jc w:val="left"/>
            </w:pPr>
            <w:r>
              <w:rPr>
                <w:b/>
                <w:bCs/>
                <w:color w:val="FFFFFF"/>
              </w:rPr>
              <w:t xml:space="preserve">Item</w:t>
            </w:r>
          </w:p>
        </w:tc>
        <w:tc>
          <w:tcPr>
            <w:tcW w:type="dxa" w:w="3000"/>
            <w:shd w:fill="0F6B6B" w:val="clear"/>
            <w:tcMar>
              <w:top w:type="dxa" w:w="70"/>
              <w:left w:type="dxa" w:w="120"/>
              <w:bottom w:type="dxa" w:w="70"/>
              <w:right w:type="dxa" w:w="120"/>
            </w:tcMar>
          </w:tcPr>
          <w:p>
            <w:pPr>
              <w:spacing w:after="0" w:line="264"/>
              <w:jc w:val="left"/>
            </w:pPr>
            <w:r>
              <w:rPr>
                <w:b/>
                <w:bCs/>
                <w:color w:val="FFFFFF"/>
              </w:rPr>
              <w:t xml:space="preserve">Monthly</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Hosting + backend</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$0–$45</w:t>
            </w:r>
          </w:p>
        </w:tc>
      </w:tr>
      <w:tr>
        <w:tc>
          <w:tcPr>
            <w:tcW w:type="dxa" w:w="6360"/>
            <w:shd w:fill="F4F7F7" w:val="clear"/>
            <w:tcMar>
              <w:top w:type="dxa" w:w="70"/>
              <w:left w:type="dxa" w:w="120"/>
              <w:bottom w:type="dxa" w:w="70"/>
              <w:right w:type="dxa" w:w="120"/>
            </w:tcMar>
          </w:tcPr>
          <w:p>
            <w:pPr>
              <w:spacing w:after="0" w:line="264"/>
              <w:jc w:val="left"/>
            </w:pPr>
            <w:r>
              <w:rPr>
                <w:b w:val="false"/>
                <w:bCs w:val="false"/>
              </w:rPr>
              <w:t xml:space="preserve">Business email (Workspace)</w:t>
            </w:r>
          </w:p>
        </w:tc>
        <w:tc>
          <w:tcPr>
            <w:tcW w:type="dxa" w:w="3000"/>
            <w:shd w:fill="F4F7F7" w:val="clear"/>
            <w:tcMar>
              <w:top w:type="dxa" w:w="70"/>
              <w:left w:type="dxa" w:w="120"/>
              <w:bottom w:type="dxa" w:w="70"/>
              <w:right w:type="dxa" w:w="120"/>
            </w:tcMar>
          </w:tcPr>
          <w:p>
            <w:pPr>
              <w:spacing w:after="0" w:line="264"/>
              <w:jc w:val="left"/>
            </w:pPr>
            <w:r>
              <w:rPr>
                <w:b w:val="false"/>
                <w:bCs w:val="false"/>
              </w:rPr>
              <w:t xml:space="preserve">$6–$12</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Bookkeeping (Wave free / QuickBooks)</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$0–$30</w:t>
            </w:r>
          </w:p>
        </w:tc>
      </w:tr>
      <w:tr>
        <w:tc>
          <w:tcPr>
            <w:tcW w:type="dxa" w:w="6360"/>
            <w:shd w:fill="F4F7F7" w:val="clear"/>
            <w:tcMar>
              <w:top w:type="dxa" w:w="70"/>
              <w:left w:type="dxa" w:w="120"/>
              <w:bottom w:type="dxa" w:w="70"/>
              <w:right w:type="dxa" w:w="120"/>
            </w:tcMar>
          </w:tcPr>
          <w:p>
            <w:pPr>
              <w:spacing w:after="0" w:line="264"/>
              <w:jc w:val="left"/>
            </w:pPr>
            <w:r>
              <w:rPr>
                <w:b w:val="false"/>
                <w:bCs w:val="false"/>
              </w:rPr>
              <w:t xml:space="preserve">Phone number + minimums</w:t>
            </w:r>
          </w:p>
        </w:tc>
        <w:tc>
          <w:tcPr>
            <w:tcW w:type="dxa" w:w="3000"/>
            <w:shd w:fill="F4F7F7" w:val="clear"/>
            <w:tcMar>
              <w:top w:type="dxa" w:w="70"/>
              <w:left w:type="dxa" w:w="120"/>
              <w:bottom w:type="dxa" w:w="70"/>
              <w:right w:type="dxa" w:w="120"/>
            </w:tcMar>
          </w:tcPr>
          <w:p>
            <w:pPr>
              <w:spacing w:after="0" w:line="264"/>
              <w:jc w:val="left"/>
            </w:pPr>
            <w:r>
              <w:rPr>
                <w:b w:val="false"/>
                <w:bCs w:val="false"/>
              </w:rPr>
              <w:t xml:space="preserve">$5–$20</w:t>
            </w:r>
          </w:p>
        </w:tc>
      </w:tr>
      <w:tr>
        <w:tc>
          <w:tcPr>
            <w:tcW w:type="dxa" w:w="6360"/>
            <w:shd w:fill="FFFFFF" w:val="clear"/>
            <w:tcMar>
              <w:top w:type="dxa" w:w="70"/>
              <w:left w:type="dxa" w:w="120"/>
              <w:bottom w:type="dxa" w:w="70"/>
              <w:right w:type="dxa" w:w="120"/>
            </w:tcMar>
          </w:tcPr>
          <w:p>
            <w:pPr>
              <w:spacing w:after="0" w:line="264"/>
              <w:jc w:val="left"/>
            </w:pPr>
            <w:r>
              <w:rPr>
                <w:b w:val="false"/>
                <w:bCs w:val="false"/>
              </w:rPr>
              <w:t xml:space="preserve">Estimated fixed monthly</w:t>
            </w:r>
          </w:p>
        </w:tc>
        <w:tc>
          <w:tcPr>
            <w:tcW w:type="dxa" w:w="3000"/>
            <w:shd w:fill="FFFFFF" w:val="clear"/>
            <w:tcMar>
              <w:top w:type="dxa" w:w="70"/>
              <w:left w:type="dxa" w:w="120"/>
              <w:bottom w:type="dxa" w:w="70"/>
              <w:right w:type="dxa" w:w="120"/>
            </w:tcMar>
          </w:tcPr>
          <w:p>
            <w:pPr>
              <w:spacing w:after="0" w:line="264"/>
              <w:jc w:val="left"/>
            </w:pPr>
            <w:r>
              <w:rPr>
                <w:b w:val="false"/>
                <w:bCs w:val="false"/>
              </w:rPr>
              <w:t xml:space="preserve">~$50–$150</w:t>
            </w:r>
          </w:p>
        </w:tc>
      </w:tr>
    </w:tbl>
    <w:p>
      <w:pPr>
        <w:spacing w:after="60"/>
      </w:pPr>
      <w:r>
        <w:t xml:space="preserve"/>
      </w:r>
    </w:p>
    <w:p>
      <w:pPr>
        <w:spacing w:after="120" w:line="276"/>
      </w:pPr>
      <w:r>
        <w:t xml:space="preserve">Variable costs (call minutes, voice AI, payment fees, ad spend, DNC/NIPR lookups) rise with volume — but they only occur when you’re calling, verifying, or getting paid. That’s the beauty of a usage-based stack: it can’t bankrupt you while it’s quiet.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Simple path to profitability</w:t>
            </w:r>
          </w:p>
          <w:p>
            <w:pPr>
              <w:spacing w:after="40" w:line="264"/>
            </w:pPr>
            <w:r>
              <w:rPr>
                <w:color w:val="333333"/>
              </w:rPr>
              <w:t xml:space="preserve">If a shared A-lead sells for ~$35 and costs you ~$8 to generate via ads, each sale nets ~$27 before fees. Sell that same shared lead to 3 agents and one lead can gross ~$100+. Stack on your own commissions from policies the AI books, and the unit economics work in your favor quickly — the key is keeping cost-per-lead below your sale price.</w:t>
            </w:r>
          </w:p>
        </w:tc>
      </w:tr>
    </w:tbl>
    <w:p>
      <w:pPr>
        <w:pStyle w:val="Heading1"/>
      </w:pPr>
      <w:r>
        <w:t xml:space="preserve">10. Your Launch Checklist</w:t>
      </w:r>
    </w:p>
    <w:p>
      <w:pPr>
        <w:spacing w:after="140" w:line="276"/>
      </w:pPr>
      <w:r>
        <w:rPr>
          <w:i/>
          <w:iCs/>
          <w:color w:val="5D6F78"/>
        </w:rPr>
        <w:t xml:space="preserve">Print this. Check the boxes. When they’re all checked, you’re live.</w:t>
      </w:r>
    </w:p>
    <w:p>
      <w:pPr>
        <w:pStyle w:val="Heading3"/>
      </w:pPr>
      <w:r>
        <w:t xml:space="preserve">Foundation</w:t>
      </w:r>
    </w:p>
    <w:p>
      <w:pPr>
        <w:pStyle w:val="ListParagraph"/>
        <w:numPr>
          <w:ilvl w:val="0"/>
          <w:numId w:val="3"/>
        </w:numPr>
        <w:spacing w:after="80" w:line="270"/>
      </w:pPr>
      <w:r>
        <w:t xml:space="preserve">LLC formed · EIN obtained · business bank account open</w:t>
      </w:r>
    </w:p>
    <w:p>
      <w:pPr>
        <w:pStyle w:val="ListParagraph"/>
        <w:numPr>
          <w:ilvl w:val="0"/>
          <w:numId w:val="3"/>
        </w:numPr>
        <w:spacing w:after="80" w:line="270"/>
      </w:pPr>
      <w:r>
        <w:t xml:space="preserve">Bookkeeping started</w:t>
      </w:r>
    </w:p>
    <w:p>
      <w:pPr>
        <w:pStyle w:val="ListParagraph"/>
        <w:numPr>
          <w:ilvl w:val="0"/>
          <w:numId w:val="3"/>
        </w:numPr>
        <w:spacing w:after="80" w:line="270"/>
      </w:pPr>
      <w:r>
        <w:t xml:space="preserve">Resident life producer license in progress/obtained (to write business)</w:t>
      </w:r>
    </w:p>
    <w:p>
      <w:pPr>
        <w:pStyle w:val="ListParagraph"/>
        <w:numPr>
          <w:ilvl w:val="0"/>
          <w:numId w:val="3"/>
        </w:numPr>
        <w:spacing w:after="80" w:line="270"/>
      </w:pPr>
      <w:r>
        <w:t xml:space="preserve">Attorney consult booked</w:t>
      </w:r>
    </w:p>
    <w:p>
      <w:pPr>
        <w:pStyle w:val="Heading3"/>
      </w:pPr>
      <w:r>
        <w:t xml:space="preserve">Online</w:t>
      </w:r>
    </w:p>
    <w:p>
      <w:pPr>
        <w:pStyle w:val="ListParagraph"/>
        <w:numPr>
          <w:ilvl w:val="0"/>
          <w:numId w:val="3"/>
        </w:numPr>
        <w:spacing w:after="80" w:line="270"/>
      </w:pPr>
      <w:r>
        <w:t xml:space="preserve">Domain purchased + auto-renew on</w:t>
      </w:r>
    </w:p>
    <w:p>
      <w:pPr>
        <w:pStyle w:val="ListParagraph"/>
        <w:numPr>
          <w:ilvl w:val="0"/>
          <w:numId w:val="3"/>
        </w:numPr>
        <w:spacing w:after="80" w:line="270"/>
      </w:pPr>
      <w:r>
        <w:t xml:space="preserve">Website deployed to a host and reachable at your domain</w:t>
      </w:r>
    </w:p>
    <w:p>
      <w:pPr>
        <w:pStyle w:val="ListParagraph"/>
        <w:numPr>
          <w:ilvl w:val="0"/>
          <w:numId w:val="3"/>
        </w:numPr>
        <w:spacing w:after="80" w:line="270"/>
      </w:pPr>
      <w:r>
        <w:t xml:space="preserve">Business email working</w:t>
      </w:r>
    </w:p>
    <w:p>
      <w:pPr>
        <w:pStyle w:val="ListParagraph"/>
        <w:numPr>
          <w:ilvl w:val="0"/>
          <w:numId w:val="3"/>
        </w:numPr>
        <w:spacing w:after="80" w:line="270"/>
      </w:pPr>
      <w:r>
        <w:t xml:space="preserve">Privacy Policy + Terms published on the site</w:t>
      </w:r>
    </w:p>
    <w:p>
      <w:pPr>
        <w:pStyle w:val="Heading3"/>
      </w:pPr>
      <w:r>
        <w:t xml:space="preserve">Engine</w:t>
      </w:r>
    </w:p>
    <w:p>
      <w:pPr>
        <w:pStyle w:val="ListParagraph"/>
        <w:numPr>
          <w:ilvl w:val="0"/>
          <w:numId w:val="3"/>
        </w:numPr>
        <w:spacing w:after="80" w:line="270"/>
      </w:pPr>
      <w:r>
        <w:t xml:space="preserve">Telephony, voice AI, and LLM accounts created; API keys stored server-side</w:t>
      </w:r>
    </w:p>
    <w:p>
      <w:pPr>
        <w:pStyle w:val="ListParagraph"/>
        <w:numPr>
          <w:ilvl w:val="0"/>
          <w:numId w:val="3"/>
        </w:numPr>
        <w:spacing w:after="80" w:line="270"/>
      </w:pPr>
      <w:r>
        <w:t xml:space="preserve">DNC scrubbing + internal DNC wired in</w:t>
      </w:r>
    </w:p>
    <w:p>
      <w:pPr>
        <w:pStyle w:val="ListParagraph"/>
        <w:numPr>
          <w:ilvl w:val="0"/>
          <w:numId w:val="3"/>
        </w:numPr>
        <w:spacing w:after="80" w:line="270"/>
      </w:pPr>
      <w:r>
        <w:t xml:space="preserve">NIPR verification connected for agent signups</w:t>
      </w:r>
    </w:p>
    <w:p>
      <w:pPr>
        <w:pStyle w:val="ListParagraph"/>
        <w:numPr>
          <w:ilvl w:val="0"/>
          <w:numId w:val="3"/>
        </w:numPr>
        <w:spacing w:after="80" w:line="270"/>
      </w:pPr>
      <w:r>
        <w:t xml:space="preserve">Stripe connected for lead purchases</w:t>
      </w:r>
    </w:p>
    <w:p>
      <w:pPr>
        <w:pStyle w:val="ListParagraph"/>
        <w:numPr>
          <w:ilvl w:val="0"/>
          <w:numId w:val="3"/>
        </w:numPr>
        <w:spacing w:after="80" w:line="270"/>
      </w:pPr>
      <w:r>
        <w:t xml:space="preserve">Consent checkbox + disclosure live on the lead form</w:t>
      </w:r>
    </w:p>
    <w:p>
      <w:pPr>
        <w:pStyle w:val="Heading3"/>
      </w:pPr>
      <w:r>
        <w:t xml:space="preserve">Go</w:t>
      </w:r>
    </w:p>
    <w:p>
      <w:pPr>
        <w:pStyle w:val="ListParagraph"/>
        <w:numPr>
          <w:ilvl w:val="0"/>
          <w:numId w:val="3"/>
        </w:numPr>
        <w:spacing w:after="80" w:line="270"/>
      </w:pPr>
      <w:r>
        <w:t xml:space="preserve">First paid-ad test running to the survey</w:t>
      </w:r>
    </w:p>
    <w:p>
      <w:pPr>
        <w:pStyle w:val="ListParagraph"/>
        <w:numPr>
          <w:ilvl w:val="0"/>
          <w:numId w:val="3"/>
        </w:numPr>
        <w:spacing w:after="80" w:line="270"/>
      </w:pPr>
      <w:r>
        <w:t xml:space="preserve">First AI calls placed on A/B leads</w:t>
      </w:r>
    </w:p>
    <w:p>
      <w:pPr>
        <w:pStyle w:val="ListParagraph"/>
        <w:numPr>
          <w:ilvl w:val="0"/>
          <w:numId w:val="3"/>
        </w:numPr>
        <w:spacing w:after="80" w:line="270"/>
      </w:pPr>
      <w:r>
        <w:t xml:space="preserve">First test agent signed up, verified, and bought a lead</w:t>
      </w:r>
    </w:p>
    <w:p>
      <w:pPr>
        <w:pStyle w:val="ListParagraph"/>
        <w:numPr>
          <w:ilvl w:val="0"/>
          <w:numId w:val="3"/>
        </w:numPr>
        <w:spacing w:after="80" w:line="270"/>
      </w:pPr>
      <w:r>
        <w:t xml:space="preserve">Follow-up SMS/email sequences switched on</w:t>
      </w:r>
    </w:p>
    <w:p>
      <w:pPr>
        <w:pStyle w:val="Heading1"/>
      </w:pPr>
      <w:r>
        <w:t xml:space="preserve">11. Quick Resource List</w:t>
      </w:r>
    </w:p>
    <w:p>
      <w:pPr>
        <w:spacing w:after="120" w:line="276"/>
      </w:pPr>
      <w:r>
        <w:rPr>
          <w:b/>
          <w:bCs/>
        </w:rPr>
        <w:t xml:space="preserve">LLC + EIN: </w:t>
      </w:r>
      <w:r>
        <w:t xml:space="preserve">your Secretary of State portal · </w:t>
      </w:r>
      <w:hyperlink w:history="1" r:id="rIdp90jn6_qeduk6icijcnd7">
        <w:r>
          <w:rPr>
            <w:rStyle w:val="Hyperlink"/>
          </w:rPr>
          <w:t xml:space="preserve">irs.gov (free EIN)</w:t>
        </w:r>
      </w:hyperlink>
    </w:p>
    <w:p>
      <w:pPr>
        <w:spacing w:after="120" w:line="276"/>
      </w:pPr>
      <w:r>
        <w:rPr>
          <w:b/>
          <w:bCs/>
        </w:rPr>
        <w:t xml:space="preserve">License verification: </w:t>
      </w:r>
      <w:hyperlink w:history="1" r:id="rIduqorv9rg4-4ninw1zvmip">
        <w:r>
          <w:rPr>
            <w:rStyle w:val="Hyperlink"/>
          </w:rPr>
          <w:t xml:space="preserve">nipr.com</w:t>
        </w:r>
      </w:hyperlink>
    </w:p>
    <w:p>
      <w:pPr>
        <w:spacing w:after="120" w:line="276"/>
      </w:pPr>
      <w:r>
        <w:rPr>
          <w:b/>
          <w:bCs/>
        </w:rPr>
        <w:t xml:space="preserve">Domain + hosting: </w:t>
      </w:r>
      <w:hyperlink w:history="1" r:id="rIdezogrcpsd4ua602h6v2vs">
        <w:r>
          <w:rPr>
            <w:rStyle w:val="Hyperlink"/>
          </w:rPr>
          <w:t xml:space="preserve">Cloudflare</w:t>
        </w:r>
      </w:hyperlink>
      <w:r>
        <w:t xml:space="preserve"> · </w:t>
      </w:r>
      <w:hyperlink w:history="1" r:id="rIdkwcpxs2q6-hsbsg86osyd">
        <w:r>
          <w:rPr>
            <w:rStyle w:val="Hyperlink"/>
          </w:rPr>
          <w:t xml:space="preserve">Vercel</w:t>
        </w:r>
      </w:hyperlink>
      <w:r>
        <w:t xml:space="preserve"> · </w:t>
      </w:r>
      <w:hyperlink w:history="1" r:id="rIdxhea5r6phar3vrnymkkfn">
        <w:r>
          <w:rPr>
            <w:rStyle w:val="Hyperlink"/>
          </w:rPr>
          <w:t xml:space="preserve">Netlify</w:t>
        </w:r>
      </w:hyperlink>
    </w:p>
    <w:p>
      <w:pPr>
        <w:spacing w:after="120" w:line="276"/>
      </w:pPr>
      <w:r>
        <w:rPr>
          <w:b/>
          <w:bCs/>
        </w:rPr>
        <w:t xml:space="preserve">Voice &amp; calls: </w:t>
      </w:r>
      <w:hyperlink w:history="1" r:id="rId_mg8pu0rtslmmfb4dziov">
        <w:r>
          <w:rPr>
            <w:rStyle w:val="Hyperlink"/>
          </w:rPr>
          <w:t xml:space="preserve">Twilio</w:t>
        </w:r>
      </w:hyperlink>
      <w:r>
        <w:t xml:space="preserve"> · </w:t>
      </w:r>
      <w:hyperlink w:history="1" r:id="rIdlpaq2hoot0zf-janocbng">
        <w:r>
          <w:rPr>
            <w:rStyle w:val="Hyperlink"/>
          </w:rPr>
          <w:t xml:space="preserve">ElevenLabs</w:t>
        </w:r>
      </w:hyperlink>
      <w:r>
        <w:t xml:space="preserve"> · </w:t>
      </w:r>
      <w:hyperlink w:history="1" r:id="rIdntv0_5cc4f7rkjfldd4db">
        <w:r>
          <w:rPr>
            <w:rStyle w:val="Hyperlink"/>
          </w:rPr>
          <w:t xml:space="preserve">Vapi</w:t>
        </w:r>
      </w:hyperlink>
    </w:p>
    <w:p>
      <w:pPr>
        <w:spacing w:after="120" w:line="276"/>
      </w:pPr>
      <w:r>
        <w:rPr>
          <w:b/>
          <w:bCs/>
        </w:rPr>
        <w:t xml:space="preserve">Payments: </w:t>
      </w:r>
      <w:hyperlink w:history="1" r:id="rIdwargu5df4glppc3ci1r1n">
        <w:r>
          <w:rPr>
            <w:rStyle w:val="Hyperlink"/>
          </w:rPr>
          <w:t xml:space="preserve">Stripe</w:t>
        </w:r>
      </w:hyperlink>
    </w:p>
    <w:p>
      <w:pPr>
        <w:spacing w:after="120" w:line="276"/>
      </w:pPr>
      <w:r>
        <w:rPr>
          <w:b/>
          <w:bCs/>
        </w:rPr>
        <w:t xml:space="preserve">Compliance reading: </w:t>
      </w:r>
      <w:hyperlink w:history="1" r:id="rIds0iu0xd8uo9eottsivlon">
        <w:r>
          <w:rPr>
            <w:rStyle w:val="Hyperlink"/>
          </w:rPr>
          <w:t xml:space="preserve">FCC on AI voice &amp; TCPA</w:t>
        </w:r>
      </w:hyperlink>
    </w:p>
    <w:p>
      <w:pPr>
        <w:spacing w:after="60"/>
      </w:pPr>
      <w:r>
        <w:t xml:space="preserve"/>
      </w:r>
    </w:p>
    <w:p>
      <w:pPr>
        <w:spacing w:after="120" w:line="276"/>
      </w:pPr>
      <w:r>
        <w:rPr>
          <w:b/>
          <w:bCs/>
          <w:color w:val="0F6B6B"/>
        </w:rPr>
        <w:t xml:space="preserve">You’ve got this, Payton. </w:t>
      </w:r>
      <w:r>
        <w:t xml:space="preserve">Work the checklist top to bottom, ask me whenever a step gets fuzzy, and you’ll have a real, compliant, AI-powered company on the internet. — Your build coach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9A3" w:sz="4" w:space="6"/>
      </w:pBdr>
      <w:jc w:val="center"/>
    </w:pPr>
    <w:r>
      <w:rPr>
        <w:color w:val="5D6F78"/>
        <w:sz w:val="18"/>
        <w:szCs w:val="18"/>
      </w:rPr>
      <w:t xml:space="preserve">Founder's Startup Packet   ·   Page </w:t>
    </w:r>
    <w:r>
      <w:rPr>
        <w:color w:val="5D6F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A3" w:sz="4" w:space="6"/>
      </w:pBdr>
      <w:jc w:val="right"/>
    </w:pPr>
    <w:r>
      <w:rPr>
        <w:b/>
        <w:bCs/>
        <w:color w:val="0D2B3E"/>
        <w:sz w:val="18"/>
        <w:szCs w:val="18"/>
      </w:rPr>
      <w:t xml:space="preserve">AEGIS LIFE</w:t>
    </w:r>
    <w:r>
      <w:rPr>
        <w:color w:val="5D6F78"/>
        <w:sz w:val="18"/>
        <w:szCs w:val="18"/>
      </w:rPr>
      <w:t xml:space="preserve">  ·  AI Life Insurance Lead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decimal"/>
      <w:lvlText w:val="Step %1 —"/>
      <w:lvlJc w:val="left"/>
      <w:pPr>
        <w:ind w:left="760" w:hanging="5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D2B3E"/>
      <w:sz w:val="56"/>
      <w:szCs w:val="56"/>
    </w:rPr>
  </w:style>
  <w:style w:type="paragraph" w:styleId="Heading1">
    <w:name w:val="Heading 1"/>
    <w:basedOn w:val="Normal"/>
    <w:next w:val="Normal"/>
    <w:qFormat/>
    <w:pPr>
      <w:pBdr>
        <w:bottom w:val="single" w:color="D9C9A3" w:sz="6" w:space="6"/>
      </w:pBdr>
      <w:spacing w:after="140" w:before="300"/>
      <w:outlineLvl w:val="0"/>
    </w:pPr>
    <w:rPr>
      <w:rFonts w:ascii="Calibri" w:cs="Calibri" w:eastAsia="Calibri" w:hAnsi="Calibri"/>
      <w:b/>
      <w:bCs/>
      <w:color w:val="0F6B6B"/>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D2B3E"/>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B57E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xdanq2ncauu7rdzj6fav" Type="http://schemas.openxmlformats.org/officeDocument/2006/relationships/hyperlink" Target="https://learn.everquote.com/insurance-lead-companies" TargetMode="External"/><Relationship Id="rIdpucflws6mvxyy7ee99tb9" Type="http://schemas.openxmlformats.org/officeDocument/2006/relationships/hyperlink" Target="https://activeprospect.com/blog/insurance-leads-cost/" TargetMode="External"/><Relationship Id="rIdde3ceyyfs7grs-gqmdr7p" Type="http://schemas.openxmlformats.org/officeDocument/2006/relationships/hyperlink" Target="https://agedleadstore.com/life-insurance-leads/" TargetMode="External"/><Relationship Id="rIdp90jn6_qeduk6icijcnd7" Type="http://schemas.openxmlformats.org/officeDocument/2006/relationships/hyperlink" Target="https://www.irs.gov/businesses/small-businesses-self-employed/apply-for-an-employer-identification-number-ein-online" TargetMode="External"/><Relationship Id="rIduqorv9rg4-4ninw1zvmip" Type="http://schemas.openxmlformats.org/officeDocument/2006/relationships/hyperlink" Target="https://nipr.com/licensing-center" TargetMode="External"/><Relationship Id="rIdezogrcpsd4ua602h6v2vs" Type="http://schemas.openxmlformats.org/officeDocument/2006/relationships/hyperlink" Target="https://www.cloudflare.com/products/registrar/" TargetMode="External"/><Relationship Id="rIdkwcpxs2q6-hsbsg86osyd" Type="http://schemas.openxmlformats.org/officeDocument/2006/relationships/hyperlink" Target="https://vercel.com" TargetMode="External"/><Relationship Id="rIdxhea5r6phar3vrnymkkfn" Type="http://schemas.openxmlformats.org/officeDocument/2006/relationships/hyperlink" Target="https://www.netlify.com" TargetMode="External"/><Relationship Id="rId_mg8pu0rtslmmfb4dziov" Type="http://schemas.openxmlformats.org/officeDocument/2006/relationships/hyperlink" Target="https://www.twilio.com/voice" TargetMode="External"/><Relationship Id="rIdlpaq2hoot0zf-janocbng" Type="http://schemas.openxmlformats.org/officeDocument/2006/relationships/hyperlink" Target="https://elevenlabs.io" TargetMode="External"/><Relationship Id="rIdntv0_5cc4f7rkjfldd4db" Type="http://schemas.openxmlformats.org/officeDocument/2006/relationships/hyperlink" Target="https://vapi.ai" TargetMode="External"/><Relationship Id="rIdwargu5df4glppc3ci1r1n" Type="http://schemas.openxmlformats.org/officeDocument/2006/relationships/hyperlink" Target="https://stripe.com" TargetMode="External"/><Relationship Id="rIds0iu0xd8uo9eottsivlon" Type="http://schemas.openxmlformats.org/officeDocument/2006/relationships/hyperlink" Target="https://www.fcc.gov/document/fcc-confirms-tcpa-applies-ai-technologies-generate-human-voice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2026-06-04T17:31:24.286Z</dcterms:created>
  <dcterms:modified xsi:type="dcterms:W3CDTF">2026-06-04T17:31:24.286Z</dcterms:modified>
</cp:coreProperties>
</file>

<file path=docProps/custom.xml><?xml version="1.0" encoding="utf-8"?>
<Properties xmlns="http://schemas.openxmlformats.org/officeDocument/2006/custom-properties" xmlns:vt="http://schemas.openxmlformats.org/officeDocument/2006/docPropsVTypes"/>
</file>