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pStyle w:val="Title"/>
      </w:pPr>
      <w:r>
        <w:t xml:space="preserve">AI Calling Playbook</w:t>
      </w:r>
    </w:p>
    <w:p>
      <w:pPr>
        <w:spacing w:after="200"/>
      </w:pPr>
      <w:r>
        <w:rPr>
          <w:b/>
          <w:bCs/>
          <w:color w:val="B57E1F"/>
          <w:sz w:val="28"/>
          <w:szCs w:val="28"/>
        </w:rPr>
        <w:t xml:space="preserve">Scripts, Rebuttals, Lead Scoring &amp; the Human-Voice Engine</w:t>
      </w:r>
    </w:p>
    <w:p>
      <w:pPr>
        <w:spacing w:after="60"/>
      </w:pPr>
      <w:r>
        <w:rPr>
          <w:color w:val="5D6F78"/>
          <w:sz w:val="22"/>
          <w:szCs w:val="22"/>
        </w:rPr>
        <w:t xml:space="preserve">Prepared for Payton — founder, Aegis Life</w:t>
      </w:r>
    </w:p>
    <w:p>
      <w:r>
        <w:rPr>
          <w:color w:val="5D6F78"/>
          <w:sz w:val="22"/>
          <w:szCs w:val="22"/>
        </w:rPr>
        <w:t xml:space="preserve">Strategic build &amp; operations guide</w:t>
      </w:r>
    </w:p>
    <w:p>
      <w:r>
        <w:br w:type="page"/>
      </w:r>
    </w:p>
    <w:p>
      <w:pPr>
        <w:pStyle w:val="Heading1"/>
      </w:pPr>
      <w: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1. How the AI Sales Engine Works</w:t>
      </w:r>
    </w:p>
    <w:p>
      <w:pPr>
        <w:spacing w:after="140" w:line="276"/>
      </w:pPr>
      <w:r>
        <w:rPr>
          <w:i/>
          <w:iCs/>
          <w:color w:val="5D6F78"/>
        </w:rPr>
        <w:t xml:space="preserve">This is the brain behind the owner account. It turns a phone number and a survey into a booked appointment — automatically.</w:t>
      </w:r>
    </w:p>
    <w:p>
      <w:pPr>
        <w:spacing w:after="120" w:line="276"/>
      </w:pPr>
      <w:r>
        <w:t xml:space="preserve">Aegis Life's AI engine runs a continuous loop on every new lead. The goal is speed-to-lead (calling within seconds), a natural human conversation, and disciplined objection handling that moves the prospect toward a booked appointment or a written application.</w:t>
      </w:r>
    </w:p>
    <w:p>
      <w:pPr>
        <w:pStyle w:val="Heading3"/>
      </w:pPr>
      <w:r>
        <w:t xml:space="preserve">The loop, step by step</w:t>
      </w:r>
    </w:p>
    <w:p>
      <w:pPr>
        <w:pStyle w:val="ListParagraph"/>
        <w:numPr>
          <w:ilvl w:val="0"/>
          <w:numId w:val="2"/>
        </w:numPr>
        <w:spacing w:after="80" w:line="270"/>
      </w:pPr>
      <w:r>
        <w:t xml:space="preserve">Trigger — a lead is created (survey submission, ad form, or an imported list) and instantly scored A–D.</w:t>
      </w:r>
    </w:p>
    <w:p>
      <w:pPr>
        <w:pStyle w:val="ListParagraph"/>
        <w:numPr>
          <w:ilvl w:val="0"/>
          <w:numId w:val="2"/>
        </w:numPr>
        <w:spacing w:after="80" w:line="270"/>
      </w:pPr>
      <w:r>
        <w:t xml:space="preserve">Compliance gate — the number is scrubbed against the internal Do-Not-Call list and the National DNC Registry, and consent is confirmed before any dial.</w:t>
      </w:r>
    </w:p>
    <w:p>
      <w:pPr>
        <w:pStyle w:val="ListParagraph"/>
        <w:numPr>
          <w:ilvl w:val="0"/>
          <w:numId w:val="2"/>
        </w:numPr>
        <w:spacing w:after="80" w:line="270"/>
      </w:pPr>
      <w:r>
        <w:t xml:space="preserve">Dial — the voice agent calls using a soothing, human-sounding voice. If no answer, it leaves a warm voicemail and triggers the follow-up sequence.</w:t>
      </w:r>
    </w:p>
    <w:p>
      <w:pPr>
        <w:pStyle w:val="ListParagraph"/>
        <w:numPr>
          <w:ilvl w:val="0"/>
          <w:numId w:val="2"/>
        </w:numPr>
        <w:spacing w:after="80" w:line="270"/>
      </w:pPr>
      <w:r>
        <w:t xml:space="preserve">Converse — speech-to-text transcribes the prospect live; the language model decides the next line using the script + objection library; text-to-speech speaks it back with sub-second latency.</w:t>
      </w:r>
    </w:p>
    <w:p>
      <w:pPr>
        <w:pStyle w:val="ListParagraph"/>
        <w:numPr>
          <w:ilvl w:val="0"/>
          <w:numId w:val="2"/>
        </w:numPr>
        <w:spacing w:after="80" w:line="270"/>
      </w:pPr>
      <w:r>
        <w:t xml:space="preserve">Detect &amp; rebut — the model classifies objections (price, spouse, researching, etc.) and responds with the matching rebuttal.</w:t>
      </w:r>
    </w:p>
    <w:p>
      <w:pPr>
        <w:pStyle w:val="ListParagraph"/>
        <w:numPr>
          <w:ilvl w:val="0"/>
          <w:numId w:val="2"/>
        </w:numPr>
        <w:spacing w:after="80" w:line="270"/>
      </w:pPr>
      <w:r>
        <w:t xml:space="preserve">Close — on a buying signal it books an appointment or warm-transfers to a licensed human, then fires SMS + email confirmations.</w:t>
      </w:r>
    </w:p>
    <w:p>
      <w:pPr>
        <w:pStyle w:val="ListParagraph"/>
        <w:numPr>
          <w:ilvl w:val="0"/>
          <w:numId w:val="2"/>
        </w:numPr>
        <w:spacing w:after="80" w:line="270"/>
      </w:pPr>
      <w:r>
        <w:t xml:space="preserve">Learn — every transcript is scored on outcome and fed back so the best-performing openings and rebuttals get used more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1E7" w:sz="2"/>
              <w:left w:val="single" w:color="B57E1F" w:sz="24"/>
              <w:bottom w:val="single" w:color="F6F1E7" w:sz="2"/>
              <w:right w:val="single" w:color="F6F1E7" w:sz="2"/>
            </w:tcBorders>
            <w:shd w:fill="F6F1E7" w:val="clear"/>
            <w:tcMar>
              <w:top w:type="dxa" w:w="120"/>
              <w:left w:type="dxa" w:w="200"/>
              <w:bottom w:type="dxa" w:w="120"/>
              <w:right w:type="dxa" w:w="160"/>
            </w:tcMar>
          </w:tcPr>
          <w:p>
            <w:pPr>
              <w:spacing w:after="60"/>
            </w:pPr>
            <w:r>
              <w:rPr>
                <w:b/>
                <w:bCs/>
                <w:color w:val="0D2B3E"/>
              </w:rPr>
              <w:t xml:space="preserve">Why "appointment first", not "sell on call one"</w:t>
            </w:r>
          </w:p>
          <w:p>
            <w:pPr>
              <w:spacing w:after="40" w:line="264"/>
            </w:pPr>
            <w:r>
              <w:rPr>
                <w:color w:val="333333"/>
              </w:rPr>
              <w:t xml:space="preserve">For most life products the AI's job is to qualify and book — not to bind a policy unattended. A licensed human (you, at first) confirms health questions and submits the application. As you grow, the AI can hand fully-qualified, consented prospects straight into a carrier e-app.</w:t>
            </w:r>
          </w:p>
        </w:tc>
      </w:tr>
    </w:tbl>
    <w:p>
      <w:pPr>
        <w:pStyle w:val="Heading1"/>
      </w:pPr>
      <w:r>
        <w:t xml:space="preserve">2. The Master Call Script</w:t>
      </w:r>
    </w:p>
    <w:p>
      <w:pPr>
        <w:spacing w:after="140" w:line="276"/>
      </w:pPr>
      <w:r>
        <w:rPr>
          <w:i/>
          <w:iCs/>
          <w:color w:val="5D6F78"/>
        </w:rPr>
        <w:t xml:space="preserve">A flexible spine, not a robotic read. The AI adapts wording to each lead's survey answers.</w:t>
      </w:r>
    </w:p>
    <w:p>
      <w:pPr>
        <w:pStyle w:val="Heading2"/>
      </w:pPr>
      <w:r>
        <w:t xml:space="preserve">2.1 Opening (the first 10 seconds matter most)</w:t>
      </w:r>
    </w:p>
    <w:p>
      <w:pPr>
        <w:spacing w:after="120" w:line="276"/>
      </w:pPr>
      <w:r>
        <w:rPr>
          <w:b/>
          <w:bCs/>
          <w:color w:val="0F6B6B"/>
        </w:rPr>
        <w:t xml:space="preserve">AI: </w:t>
      </w:r>
      <w:r>
        <w:t xml:space="preserve">“Hi, is this [First Name]? Hi [First Name], this is Avery on the recorded line with Aegis Life. You recently reached out about getting life insurance in place to protect your [family / new baby / mortgage] — is now an okay time for just a couple of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Three rules for the opener</w:t>
            </w:r>
          </w:p>
          <w:p>
            <w:pPr>
              <w:spacing w:after="40" w:line="264"/>
            </w:pPr>
            <w:r>
              <w:rPr>
                <w:color w:val="333333"/>
              </w:rPr>
              <w:t xml:space="preserve">Use their name twice and your name once — it builds familiarity.</w:t>
            </w:r>
          </w:p>
          <w:p>
            <w:pPr>
              <w:spacing w:after="40" w:line="264"/>
            </w:pPr>
            <w:r>
              <w:rPr>
                <w:color w:val="333333"/>
              </w:rPr>
              <w:t xml:space="preserve">Disclose the recording and the company (compliance + trust).</w:t>
            </w:r>
          </w:p>
          <w:p>
            <w:pPr>
              <w:spacing w:after="40" w:line="264"/>
            </w:pPr>
            <w:r>
              <w:rPr>
                <w:color w:val="333333"/>
              </w:rPr>
              <w:t xml:space="preserve">Ask permission for “just a couple of minutes.” A small yes opens the door.</w:t>
            </w:r>
          </w:p>
        </w:tc>
      </w:tr>
    </w:tbl>
    <w:p>
      <w:pPr>
        <w:pStyle w:val="Heading2"/>
      </w:pPr>
      <w:r>
        <w:t xml:space="preserve">2.2 Permission &amp; framing</w:t>
      </w:r>
    </w:p>
    <w:p>
      <w:pPr>
        <w:spacing w:after="120" w:line="276"/>
      </w:pPr>
      <w:r>
        <w:rPr>
          <w:b/>
          <w:bCs/>
          <w:color w:val="0F6B6B"/>
        </w:rPr>
        <w:t xml:space="preserve">AI: </w:t>
      </w:r>
      <w:r>
        <w:t xml:space="preserve">“I’ll be quick and respect your time. The reason for my call is simple — I want to make sure you get the right coverage at the best possible price. Sound fair?”</w:t>
      </w:r>
    </w:p>
    <w:p>
      <w:pPr>
        <w:pStyle w:val="Heading2"/>
      </w:pPr>
      <w:r>
        <w:t xml:space="preserve">2.3 Discovery (let them talk 60% of the time)</w:t>
      </w:r>
    </w:p>
    <w:p>
      <w:pPr>
        <w:spacing w:after="120" w:line="276"/>
      </w:pPr>
      <w:r>
        <w:t xml:space="preserve">The AI asks open questions and listens. Each answer updates the recommendation and the close.</w:t>
      </w:r>
    </w:p>
    <w:p>
      <w:pPr>
        <w:pStyle w:val="ListParagraph"/>
        <w:numPr>
          <w:ilvl w:val="0"/>
          <w:numId w:val="2"/>
        </w:numPr>
        <w:spacing w:after="80" w:line="270"/>
      </w:pPr>
      <w:r>
        <w:t xml:space="preserve">“What made you start looking into life insurance now?” (uncovers the emotional driver)</w:t>
      </w:r>
    </w:p>
    <w:p>
      <w:pPr>
        <w:pStyle w:val="ListParagraph"/>
        <w:numPr>
          <w:ilvl w:val="0"/>
          <w:numId w:val="2"/>
        </w:numPr>
        <w:spacing w:after="80" w:line="270"/>
      </w:pPr>
      <w:r>
        <w:t xml:space="preserve">“Who are you most wanting to protect if something happened to you?”</w:t>
      </w:r>
    </w:p>
    <w:p>
      <w:pPr>
        <w:pStyle w:val="ListParagraph"/>
        <w:numPr>
          <w:ilvl w:val="0"/>
          <w:numId w:val="2"/>
        </w:numPr>
        <w:spacing w:after="80" w:line="270"/>
      </w:pPr>
      <w:r>
        <w:t xml:space="preserve">“Do you have any coverage today, even through work?”</w:t>
      </w:r>
    </w:p>
    <w:p>
      <w:pPr>
        <w:pStyle w:val="ListParagraph"/>
        <w:numPr>
          <w:ilvl w:val="0"/>
          <w:numId w:val="2"/>
        </w:numPr>
        <w:spacing w:after="80" w:line="270"/>
      </w:pPr>
      <w:r>
        <w:t xml:space="preserve">“Have you ever been declined or had any major health issues I should know about?”</w:t>
      </w:r>
    </w:p>
    <w:p>
      <w:pPr>
        <w:pStyle w:val="ListParagraph"/>
        <w:numPr>
          <w:ilvl w:val="0"/>
          <w:numId w:val="2"/>
        </w:numPr>
        <w:spacing w:after="80" w:line="270"/>
      </w:pPr>
      <w:r>
        <w:t xml:space="preserve">“If we could find something that fits your budget, is this something you’d want to put in place soon?”</w:t>
      </w:r>
    </w:p>
    <w:p>
      <w:pPr>
        <w:pStyle w:val="Heading2"/>
      </w:pPr>
      <w:r>
        <w:t xml:space="preserve">2.4 Bridge to value</w:t>
      </w:r>
    </w:p>
    <w:p>
      <w:pPr>
        <w:spacing w:after="120" w:line="276"/>
      </w:pPr>
      <w:r>
        <w:rPr>
          <w:b/>
          <w:bCs/>
          <w:color w:val="0F6B6B"/>
        </w:rPr>
        <w:t xml:space="preserve">AI: </w:t>
      </w:r>
      <w:r>
        <w:t xml:space="preserve">“Based on what you’ve told me, a [term / whole / final-expense] plan looks like the best fit. For someone your age in [State] and in good health, coverage like this is often more affordable than people expect — frequently less than a streaming subscription. Can I grab two quick details to get your real number?”</w:t>
      </w:r>
    </w:p>
    <w:p>
      <w:pPr>
        <w:pStyle w:val="Heading2"/>
      </w:pPr>
      <w:r>
        <w:t xml:space="preserve">2.5 Trial close &amp; appointment</w:t>
      </w:r>
    </w:p>
    <w:p>
      <w:pPr>
        <w:spacing w:after="120" w:line="276"/>
      </w:pPr>
      <w:r>
        <w:rPr>
          <w:b/>
          <w:bCs/>
          <w:color w:val="0F6B6B"/>
        </w:rPr>
        <w:t xml:space="preserve">AI: </w:t>
      </w:r>
      <w:r>
        <w:t xml:space="preserve">“Great news — you pre-qualify. The next step is a short call with a licensed agent to lock in your rate based on today’s age and health. I have tomorrow at 6 PM or Thursday at 5 — which works better?”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1E7" w:sz="2"/>
              <w:left w:val="single" w:color="B57E1F" w:sz="24"/>
              <w:bottom w:val="single" w:color="F6F1E7" w:sz="2"/>
              <w:right w:val="single" w:color="F6F1E7" w:sz="2"/>
            </w:tcBorders>
            <w:shd w:fill="F6F1E7" w:val="clear"/>
            <w:tcMar>
              <w:top w:type="dxa" w:w="120"/>
              <w:left w:type="dxa" w:w="200"/>
              <w:bottom w:type="dxa" w:w="120"/>
              <w:right w:type="dxa" w:w="160"/>
            </w:tcMar>
          </w:tcPr>
          <w:p>
            <w:pPr>
              <w:spacing w:after="60"/>
            </w:pPr>
            <w:r>
              <w:rPr>
                <w:b/>
                <w:bCs/>
                <w:color w:val="0D2B3E"/>
              </w:rPr>
              <w:t xml:space="preserve">Assumptive close</w:t>
            </w:r>
          </w:p>
          <w:p>
            <w:pPr>
              <w:spacing w:after="40" w:line="264"/>
            </w:pPr>
            <w:r>
              <w:rPr>
                <w:color w:val="333333"/>
              </w:rPr>
              <w:t xml:space="preserve">Always offer two specific times, never “when are you free?” Two choices feels easy and moves the calendar forward. Rates are genuinely age-based, so “lock it in today” is true urgency, not a gimmick.</w:t>
            </w:r>
          </w:p>
        </w:tc>
      </w:tr>
    </w:tbl>
    <w:p>
      <w:r>
        <w:br w:type="page"/>
      </w:r>
    </w:p>
    <w:p>
      <w:pPr>
        <w:pStyle w:val="Heading1"/>
      </w:pPr>
      <w:r>
        <w:t xml:space="preserve">3. Objection &amp; Rebuttal Library</w:t>
      </w:r>
    </w:p>
    <w:p>
      <w:pPr>
        <w:spacing w:after="140" w:line="276"/>
      </w:pPr>
      <w:r>
        <w:rPr>
          <w:i/>
          <w:iCs/>
          <w:color w:val="5D6F78"/>
        </w:rPr>
        <w:t xml:space="preserve">The AI classifies the objection, then answers with empathy → reframe → question. Every rebuttal ends with a question to keep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1300"/>
        <w:gridCol w:w="5960"/>
      </w:tblGrid>
      <w:tr>
        <w:trPr>
          <w:tblHeader/>
        </w:trPr>
        <w:tc>
          <w:tcPr>
            <w:tcW w:type="dxa" w:w="2100"/>
            <w:shd w:fill="0F6B6B" w:val="clear"/>
            <w:tcMar>
              <w:top w:type="dxa" w:w="70"/>
              <w:left w:type="dxa" w:w="120"/>
              <w:bottom w:type="dxa" w:w="70"/>
              <w:right w:type="dxa" w:w="120"/>
            </w:tcMar>
          </w:tcPr>
          <w:p>
            <w:pPr>
              <w:spacing w:after="0" w:line="264"/>
              <w:jc w:val="left"/>
            </w:pPr>
            <w:r>
              <w:rPr>
                <w:b/>
                <w:bCs/>
                <w:color w:val="FFFFFF"/>
              </w:rPr>
              <w:t xml:space="preserve">Prospect says</w:t>
            </w:r>
          </w:p>
        </w:tc>
        <w:tc>
          <w:tcPr>
            <w:tcW w:type="dxa" w:w="1300"/>
            <w:shd w:fill="0F6B6B" w:val="clear"/>
            <w:tcMar>
              <w:top w:type="dxa" w:w="70"/>
              <w:left w:type="dxa" w:w="120"/>
              <w:bottom w:type="dxa" w:w="70"/>
              <w:right w:type="dxa" w:w="120"/>
            </w:tcMar>
          </w:tcPr>
          <w:p>
            <w:pPr>
              <w:spacing w:after="0" w:line="264"/>
              <w:jc w:val="left"/>
            </w:pPr>
            <w:r>
              <w:rPr>
                <w:b/>
                <w:bCs/>
                <w:color w:val="FFFFFF"/>
              </w:rPr>
              <w:t xml:space="preserve">Type</w:t>
            </w:r>
          </w:p>
        </w:tc>
        <w:tc>
          <w:tcPr>
            <w:tcW w:type="dxa" w:w="5960"/>
            <w:shd w:fill="0F6B6B" w:val="clear"/>
            <w:tcMar>
              <w:top w:type="dxa" w:w="70"/>
              <w:left w:type="dxa" w:w="120"/>
              <w:bottom w:type="dxa" w:w="70"/>
              <w:right w:type="dxa" w:w="120"/>
            </w:tcMar>
          </w:tcPr>
          <w:p>
            <w:pPr>
              <w:spacing w:after="0" w:line="264"/>
              <w:jc w:val="left"/>
            </w:pPr>
            <w:r>
              <w:rPr>
                <w:b/>
                <w:bCs/>
                <w:color w:val="FFFFFF"/>
              </w:rPr>
              <w:t xml:space="preserve">AI rebuttal</w:t>
            </w:r>
          </w:p>
        </w:tc>
      </w:tr>
      <w:tr>
        <w:tc>
          <w:tcPr>
            <w:tcW w:type="dxa" w:w="2100"/>
            <w:shd w:fill="FFFFFF" w:val="clear"/>
            <w:tcMar>
              <w:top w:type="dxa" w:w="70"/>
              <w:left w:type="dxa" w:w="120"/>
              <w:bottom w:type="dxa" w:w="70"/>
              <w:right w:type="dxa" w:w="120"/>
            </w:tcMar>
          </w:tcPr>
          <w:p>
            <w:pPr>
              <w:spacing w:after="0" w:line="264"/>
              <w:jc w:val="left"/>
            </w:pPr>
            <w:r>
              <w:rPr>
                <w:b w:val="false"/>
                <w:bCs w:val="false"/>
              </w:rPr>
              <w:t xml:space="preserve">“It’s too expensive.”</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Price</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“I completely understand — nobody wants another bill. The good thing is most people are surprised how low it actually is. For your age and health it’s often $30–40 a month for solid coverage. Would it be worth two minutes to see your exact number, with zero obligation?”</w:t>
            </w:r>
          </w:p>
        </w:tc>
      </w:tr>
      <w:tr>
        <w:tc>
          <w:tcPr>
            <w:tcW w:type="dxa" w:w="2100"/>
            <w:shd w:fill="F4F7F7" w:val="clear"/>
            <w:tcMar>
              <w:top w:type="dxa" w:w="70"/>
              <w:left w:type="dxa" w:w="120"/>
              <w:bottom w:type="dxa" w:w="70"/>
              <w:right w:type="dxa" w:w="120"/>
            </w:tcMar>
          </w:tcPr>
          <w:p>
            <w:pPr>
              <w:spacing w:after="0" w:line="264"/>
              <w:jc w:val="left"/>
            </w:pPr>
            <w:r>
              <w:rPr>
                <w:b w:val="false"/>
                <w:bCs w:val="false"/>
              </w:rPr>
              <w:t xml:space="preserve">“I need to talk to my spouse.”</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Spouse / delay</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“That makes complete sense — this is a family decision. What I’d suggest is we lock in your quote now while it’s based on today’s age, so you bring real numbers to that conversation instead of guesses. Locking it in doesn’t commit you to anything. Fair?”</w:t>
            </w:r>
          </w:p>
        </w:tc>
      </w:tr>
      <w:tr>
        <w:tc>
          <w:tcPr>
            <w:tcW w:type="dxa" w:w="2100"/>
            <w:shd w:fill="FFFFFF" w:val="clear"/>
            <w:tcMar>
              <w:top w:type="dxa" w:w="70"/>
              <w:left w:type="dxa" w:w="120"/>
              <w:bottom w:type="dxa" w:w="70"/>
              <w:right w:type="dxa" w:w="120"/>
            </w:tcMar>
          </w:tcPr>
          <w:p>
            <w:pPr>
              <w:spacing w:after="0" w:line="264"/>
              <w:jc w:val="left"/>
            </w:pPr>
            <w:r>
              <w:rPr>
                <w:b w:val="false"/>
                <w:bCs w:val="false"/>
              </w:rPr>
              <w:t xml:space="preserve">“I’m just researching right now.”</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Researching</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“Perfect — that’s exactly the smart way to do it. Most people researching tell me the hardest part is comparing apples to apples. Let me do that work for you in two minutes so your research is actually based on your real rates. What’s prompted you to start looking?”</w:t>
            </w:r>
          </w:p>
        </w:tc>
      </w:tr>
      <w:tr>
        <w:tc>
          <w:tcPr>
            <w:tcW w:type="dxa" w:w="2100"/>
            <w:shd w:fill="F4F7F7" w:val="clear"/>
            <w:tcMar>
              <w:top w:type="dxa" w:w="70"/>
              <w:left w:type="dxa" w:w="120"/>
              <w:bottom w:type="dxa" w:w="70"/>
              <w:right w:type="dxa" w:w="120"/>
            </w:tcMar>
          </w:tcPr>
          <w:p>
            <w:pPr>
              <w:spacing w:after="0" w:line="264"/>
              <w:jc w:val="left"/>
            </w:pPr>
            <w:r>
              <w:rPr>
                <w:b w:val="false"/>
                <w:bCs w:val="false"/>
              </w:rPr>
              <w:t xml:space="preserve">“I already have insurance through work.”</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Has coverage</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“That’s great that you have something. One thing worth knowing — work coverage usually ends the day you leave the job, and it’s often only one or two times your salary. Would it make sense to see what it costs to own a policy that follows you no matter where you work?”</w:t>
            </w:r>
          </w:p>
        </w:tc>
      </w:tr>
      <w:tr>
        <w:tc>
          <w:tcPr>
            <w:tcW w:type="dxa" w:w="2100"/>
            <w:shd w:fill="FFFFFF" w:val="clear"/>
            <w:tcMar>
              <w:top w:type="dxa" w:w="70"/>
              <w:left w:type="dxa" w:w="120"/>
              <w:bottom w:type="dxa" w:w="70"/>
              <w:right w:type="dxa" w:w="120"/>
            </w:tcMar>
          </w:tcPr>
          <w:p>
            <w:pPr>
              <w:spacing w:after="0" w:line="264"/>
              <w:jc w:val="left"/>
            </w:pPr>
            <w:r>
              <w:rPr>
                <w:b w:val="false"/>
                <w:bCs w:val="false"/>
              </w:rPr>
              <w:t xml:space="preserve">“Send me some information / email me.”</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Brush-off</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“I’m happy to email you a summary. To make sure I send the right plan and not a stack of junk, let me ask two quick questions so it’s actually personalized — that okay? (Then transition back to discovery.)”</w:t>
            </w:r>
          </w:p>
        </w:tc>
      </w:tr>
      <w:tr>
        <w:tc>
          <w:tcPr>
            <w:tcW w:type="dxa" w:w="2100"/>
            <w:shd w:fill="F4F7F7" w:val="clear"/>
            <w:tcMar>
              <w:top w:type="dxa" w:w="70"/>
              <w:left w:type="dxa" w:w="120"/>
              <w:bottom w:type="dxa" w:w="70"/>
              <w:right w:type="dxa" w:w="120"/>
            </w:tcMar>
          </w:tcPr>
          <w:p>
            <w:pPr>
              <w:spacing w:after="0" w:line="264"/>
              <w:jc w:val="left"/>
            </w:pPr>
            <w:r>
              <w:rPr>
                <w:b w:val="false"/>
                <w:bCs w:val="false"/>
              </w:rPr>
              <w:t xml:space="preserve">“I don’t have time right now.”</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No time</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“Totally understand, you’re busy. This really is just two minutes, and it could save your family a lot of stress later. Would right now or this evening around 6 be easier for a quick call back?”</w:t>
            </w:r>
          </w:p>
        </w:tc>
      </w:tr>
      <w:tr>
        <w:tc>
          <w:tcPr>
            <w:tcW w:type="dxa" w:w="2100"/>
            <w:shd w:fill="FFFFFF" w:val="clear"/>
            <w:tcMar>
              <w:top w:type="dxa" w:w="70"/>
              <w:left w:type="dxa" w:w="120"/>
              <w:bottom w:type="dxa" w:w="70"/>
              <w:right w:type="dxa" w:w="120"/>
            </w:tcMar>
          </w:tcPr>
          <w:p>
            <w:pPr>
              <w:spacing w:after="0" w:line="264"/>
              <w:jc w:val="left"/>
            </w:pPr>
            <w:r>
              <w:rPr>
                <w:b w:val="false"/>
                <w:bCs w:val="false"/>
              </w:rPr>
              <w:t xml:space="preserve">“How do I know this is legit?”</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Trust</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“Great question — you should always ask that. I’m a licensed agent with Aegis Life, this call is recorded for your protection, and the carriers I’d recommend are A-rated names like Mutual of Omaha and Banner. I’ll never ask for payment info today — only a licensed agent finalizes anything. Does that put you at ease?”</w:t>
            </w:r>
          </w:p>
        </w:tc>
      </w:tr>
      <w:tr>
        <w:tc>
          <w:tcPr>
            <w:tcW w:type="dxa" w:w="2100"/>
            <w:shd w:fill="F4F7F7" w:val="clear"/>
            <w:tcMar>
              <w:top w:type="dxa" w:w="70"/>
              <w:left w:type="dxa" w:w="120"/>
              <w:bottom w:type="dxa" w:w="70"/>
              <w:right w:type="dxa" w:w="120"/>
            </w:tcMar>
          </w:tcPr>
          <w:p>
            <w:pPr>
              <w:spacing w:after="0" w:line="264"/>
              <w:jc w:val="left"/>
            </w:pPr>
            <w:r>
              <w:rPr>
                <w:b w:val="false"/>
                <w:bCs w:val="false"/>
              </w:rPr>
              <w:t xml:space="preserve">“Let me think about it.”</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Stall</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“Of course — it’s an important decision. Usually when someone wants to think it over, there’s one thing still on their mind. Is it the price, the coverage amount, or just whether now’s the right time? Let’s knock that out together.”</w:t>
            </w:r>
          </w:p>
        </w:tc>
      </w:tr>
      <w:tr>
        <w:tc>
          <w:tcPr>
            <w:tcW w:type="dxa" w:w="2100"/>
            <w:shd w:fill="FFFFFF" w:val="clear"/>
            <w:tcMar>
              <w:top w:type="dxa" w:w="70"/>
              <w:left w:type="dxa" w:w="120"/>
              <w:bottom w:type="dxa" w:w="70"/>
              <w:right w:type="dxa" w:w="120"/>
            </w:tcMar>
          </w:tcPr>
          <w:p>
            <w:pPr>
              <w:spacing w:after="0" w:line="264"/>
              <w:jc w:val="left"/>
            </w:pPr>
            <w:r>
              <w:rPr>
                <w:b w:val="false"/>
                <w:bCs w:val="false"/>
              </w:rPr>
              <w:t xml:space="preserve">“I have health problems, I’ll get declined.”</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Health</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“I’m really glad you mentioned that, because it actually helps me. There are carriers built specifically for situations like yours — some with no medical exam and guaranteed acceptance. Let’s find the one that says yes. Can you tell me a little about what’s going on?”</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1E7" w:sz="2"/>
              <w:left w:val="single" w:color="B57E1F" w:sz="24"/>
              <w:bottom w:val="single" w:color="F6F1E7" w:sz="2"/>
              <w:right w:val="single" w:color="F6F1E7" w:sz="2"/>
            </w:tcBorders>
            <w:shd w:fill="F6F1E7" w:val="clear"/>
            <w:tcMar>
              <w:top w:type="dxa" w:w="120"/>
              <w:left w:type="dxa" w:w="200"/>
              <w:bottom w:type="dxa" w:w="120"/>
              <w:right w:type="dxa" w:w="160"/>
            </w:tcMar>
          </w:tcPr>
          <w:p>
            <w:pPr>
              <w:spacing w:after="60"/>
            </w:pPr>
            <w:r>
              <w:rPr>
                <w:b/>
                <w:bCs/>
                <w:color w:val="0D2B3E"/>
              </w:rPr>
              <w:t xml:space="preserve">The 3-objection rule</w:t>
            </w:r>
          </w:p>
          <w:p>
            <w:pPr>
              <w:spacing w:after="40" w:line="264"/>
            </w:pPr>
            <w:r>
              <w:rPr>
                <w:color w:val="333333"/>
              </w:rPr>
              <w:t xml:space="preserve">Coach the AI (and yourself) to attempt a maximum of three rebuttals on any single objection. Beyond that, pivot to a softer ask — a scheduled callback or an emailed quote — so you stay warm and compliant rather than pushy. Persistence sells; pestering gets you reported.</w:t>
            </w:r>
          </w:p>
        </w:tc>
      </w:tr>
    </w:tbl>
    <w:p>
      <w:r>
        <w:br w:type="page"/>
      </w:r>
    </w:p>
    <w:p>
      <w:pPr>
        <w:pStyle w:val="Heading1"/>
      </w:pPr>
      <w:r>
        <w:t xml:space="preserve">4. Lead Scoring Methodology (A–D)</w:t>
      </w:r>
    </w:p>
    <w:p>
      <w:pPr>
        <w:spacing w:after="140" w:line="276"/>
      </w:pPr>
      <w:r>
        <w:rPr>
          <w:i/>
          <w:iCs/>
          <w:color w:val="5D6F78"/>
        </w:rPr>
        <w:t xml:space="preserve">Every lead gets a transparent 0–100 purchase-intent score built from eight weighted factors. This is the exact model running in the platform.</w:t>
      </w:r>
    </w:p>
    <w:p>
      <w:pPr>
        <w:spacing w:after="120" w:line="276"/>
      </w:pPr>
      <w:r>
        <w:t xml:space="preserve">The score answers one question: how likely is this person to actually buy if a competent agent calls them? It is built from the survey responses. Higher-weight factors are the ones that, in real life, separate buyers from browsers — chiefly buying timeframe and a genuine coverage gap.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1100"/>
        <w:gridCol w:w="5960"/>
      </w:tblGrid>
      <w:tr>
        <w:trPr>
          <w:tblHeader/>
        </w:trPr>
        <w:tc>
          <w:tcPr>
            <w:tcW w:type="dxa" w:w="2300"/>
            <w:shd w:fill="0F6B6B" w:val="clear"/>
            <w:tcMar>
              <w:top w:type="dxa" w:w="70"/>
              <w:left w:type="dxa" w:w="120"/>
              <w:bottom w:type="dxa" w:w="70"/>
              <w:right w:type="dxa" w:w="120"/>
            </w:tcMar>
          </w:tcPr>
          <w:p>
            <w:pPr>
              <w:spacing w:after="0" w:line="264"/>
              <w:jc w:val="left"/>
            </w:pPr>
            <w:r>
              <w:rPr>
                <w:b/>
                <w:bCs/>
                <w:color w:val="FFFFFF"/>
              </w:rPr>
              <w:t xml:space="preserve">Factor</w:t>
            </w:r>
          </w:p>
        </w:tc>
        <w:tc>
          <w:tcPr>
            <w:tcW w:type="dxa" w:w="1100"/>
            <w:shd w:fill="0F6B6B" w:val="clear"/>
            <w:tcMar>
              <w:top w:type="dxa" w:w="70"/>
              <w:left w:type="dxa" w:w="120"/>
              <w:bottom w:type="dxa" w:w="70"/>
              <w:right w:type="dxa" w:w="120"/>
            </w:tcMar>
          </w:tcPr>
          <w:p>
            <w:pPr>
              <w:spacing w:after="0" w:line="264"/>
              <w:jc w:val="left"/>
            </w:pPr>
            <w:r>
              <w:rPr>
                <w:b/>
                <w:bCs/>
                <w:color w:val="FFFFFF"/>
              </w:rPr>
              <w:t xml:space="preserve">Max pts</w:t>
            </w:r>
          </w:p>
        </w:tc>
        <w:tc>
          <w:tcPr>
            <w:tcW w:type="dxa" w:w="5960"/>
            <w:shd w:fill="0F6B6B" w:val="clear"/>
            <w:tcMar>
              <w:top w:type="dxa" w:w="70"/>
              <w:left w:type="dxa" w:w="120"/>
              <w:bottom w:type="dxa" w:w="70"/>
              <w:right w:type="dxa" w:w="120"/>
            </w:tcMar>
          </w:tcPr>
          <w:p>
            <w:pPr>
              <w:spacing w:after="0" w:line="264"/>
              <w:jc w:val="left"/>
            </w:pPr>
            <w:r>
              <w:rPr>
                <w:b/>
                <w:bCs/>
                <w:color w:val="FFFFFF"/>
              </w:rPr>
              <w:t xml:space="preserve">Why it matters</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Buying timeframe</w:t>
            </w:r>
          </w:p>
        </w:tc>
        <w:tc>
          <w:tcPr>
            <w:tcW w:type="dxa" w:w="1100"/>
            <w:shd w:fill="FFFFFF" w:val="clear"/>
            <w:tcMar>
              <w:top w:type="dxa" w:w="70"/>
              <w:left w:type="dxa" w:w="120"/>
              <w:bottom w:type="dxa" w:w="70"/>
              <w:right w:type="dxa" w:w="120"/>
            </w:tcMar>
          </w:tcPr>
          <w:p>
            <w:pPr>
              <w:spacing w:after="0" w:line="264"/>
              <w:jc w:val="left"/>
            </w:pPr>
            <w:r>
              <w:rPr>
                <w:b w:val="false"/>
                <w:bCs w:val="false"/>
              </w:rPr>
              <w:t xml:space="preserve">25</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“ASAP” scores highest; “just researching” lowest. The single strongest predictor of a close.</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Coverage need</w:t>
            </w:r>
          </w:p>
        </w:tc>
        <w:tc>
          <w:tcPr>
            <w:tcW w:type="dxa" w:w="1100"/>
            <w:shd w:fill="F4F7F7" w:val="clear"/>
            <w:tcMar>
              <w:top w:type="dxa" w:w="70"/>
              <w:left w:type="dxa" w:w="120"/>
              <w:bottom w:type="dxa" w:w="70"/>
              <w:right w:type="dxa" w:w="120"/>
            </w:tcMar>
          </w:tcPr>
          <w:p>
            <w:pPr>
              <w:spacing w:after="0" w:line="264"/>
              <w:jc w:val="left"/>
            </w:pPr>
            <w:r>
              <w:rPr>
                <w:b w:val="false"/>
                <w:bCs w:val="false"/>
              </w:rPr>
              <w:t xml:space="preserve">15</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Larger desired coverage signals a real, sized need.</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Coverage gap</w:t>
            </w:r>
          </w:p>
        </w:tc>
        <w:tc>
          <w:tcPr>
            <w:tcW w:type="dxa" w:w="1100"/>
            <w:shd w:fill="FFFFFF" w:val="clear"/>
            <w:tcMar>
              <w:top w:type="dxa" w:w="70"/>
              <w:left w:type="dxa" w:w="120"/>
              <w:bottom w:type="dxa" w:w="70"/>
              <w:right w:type="dxa" w:w="120"/>
            </w:tcMar>
          </w:tcPr>
          <w:p>
            <w:pPr>
              <w:spacing w:after="0" w:line="264"/>
              <w:jc w:val="left"/>
            </w:pPr>
            <w:r>
              <w:rPr>
                <w:b w:val="false"/>
                <w:bCs w:val="false"/>
              </w:rPr>
              <w:t xml:space="preserve">14</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No existing coverage = an urgent, unmet need worth the most points.</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Life trigger event</w:t>
            </w:r>
          </w:p>
        </w:tc>
        <w:tc>
          <w:tcPr>
            <w:tcW w:type="dxa" w:w="1100"/>
            <w:shd w:fill="F4F7F7" w:val="clear"/>
            <w:tcMar>
              <w:top w:type="dxa" w:w="70"/>
              <w:left w:type="dxa" w:w="120"/>
              <w:bottom w:type="dxa" w:w="70"/>
              <w:right w:type="dxa" w:w="120"/>
            </w:tcMar>
          </w:tcPr>
          <w:p>
            <w:pPr>
              <w:spacing w:after="0" w:line="264"/>
              <w:jc w:val="left"/>
            </w:pPr>
            <w:r>
              <w:rPr>
                <w:b w:val="false"/>
                <w:bCs w:val="false"/>
              </w:rPr>
              <w:t xml:space="preserve">12</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New baby, mortgage, marriage, business — concrete reasons people finally buy.</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Stated budget</w:t>
            </w:r>
          </w:p>
        </w:tc>
        <w:tc>
          <w:tcPr>
            <w:tcW w:type="dxa" w:w="1100"/>
            <w:shd w:fill="FFFFFF" w:val="clear"/>
            <w:tcMar>
              <w:top w:type="dxa" w:w="70"/>
              <w:left w:type="dxa" w:w="120"/>
              <w:bottom w:type="dxa" w:w="70"/>
              <w:right w:type="dxa" w:w="120"/>
            </w:tcMar>
          </w:tcPr>
          <w:p>
            <w:pPr>
              <w:spacing w:after="0" w:line="264"/>
              <w:jc w:val="left"/>
            </w:pPr>
            <w:r>
              <w:rPr>
                <w:b w:val="false"/>
                <w:bCs w:val="false"/>
              </w:rPr>
              <w:t xml:space="preserve">12</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A specific monthly number they’re comfortable with shows readiness to pay.</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Income band</w:t>
            </w:r>
          </w:p>
        </w:tc>
        <w:tc>
          <w:tcPr>
            <w:tcW w:type="dxa" w:w="1100"/>
            <w:shd w:fill="F4F7F7" w:val="clear"/>
            <w:tcMar>
              <w:top w:type="dxa" w:w="70"/>
              <w:left w:type="dxa" w:w="120"/>
              <w:bottom w:type="dxa" w:w="70"/>
              <w:right w:type="dxa" w:w="120"/>
            </w:tcMar>
          </w:tcPr>
          <w:p>
            <w:pPr>
              <w:spacing w:after="0" w:line="264"/>
              <w:jc w:val="left"/>
            </w:pPr>
            <w:r>
              <w:rPr>
                <w:b w:val="false"/>
                <w:bCs w:val="false"/>
              </w:rPr>
              <w:t xml:space="preserve">8</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Ability to afford and sustain premiums.</w:t>
            </w:r>
          </w:p>
        </w:tc>
      </w:tr>
      <w:tr>
        <w:tc>
          <w:tcPr>
            <w:tcW w:type="dxa" w:w="2300"/>
            <w:shd w:fill="FFFFFF" w:val="clear"/>
            <w:tcMar>
              <w:top w:type="dxa" w:w="70"/>
              <w:left w:type="dxa" w:w="120"/>
              <w:bottom w:type="dxa" w:w="70"/>
              <w:right w:type="dxa" w:w="120"/>
            </w:tcMar>
          </w:tcPr>
          <w:p>
            <w:pPr>
              <w:spacing w:after="0" w:line="264"/>
              <w:jc w:val="left"/>
            </w:pPr>
            <w:r>
              <w:rPr>
                <w:b w:val="false"/>
                <w:bCs w:val="false"/>
              </w:rPr>
              <w:t xml:space="preserve">Contact readiness</w:t>
            </w:r>
          </w:p>
        </w:tc>
        <w:tc>
          <w:tcPr>
            <w:tcW w:type="dxa" w:w="1100"/>
            <w:shd w:fill="FFFFFF" w:val="clear"/>
            <w:tcMar>
              <w:top w:type="dxa" w:w="70"/>
              <w:left w:type="dxa" w:w="120"/>
              <w:bottom w:type="dxa" w:w="70"/>
              <w:right w:type="dxa" w:w="120"/>
            </w:tcMar>
          </w:tcPr>
          <w:p>
            <w:pPr>
              <w:spacing w:after="0" w:line="264"/>
              <w:jc w:val="left"/>
            </w:pPr>
            <w:r>
              <w:rPr>
                <w:b w:val="false"/>
                <w:bCs w:val="false"/>
              </w:rPr>
              <w:t xml:space="preserve">8</w:t>
            </w:r>
          </w:p>
        </w:tc>
        <w:tc>
          <w:tcPr>
            <w:tcW w:type="dxa" w:w="5960"/>
            <w:shd w:fill="FFFFFF" w:val="clear"/>
            <w:tcMar>
              <w:top w:type="dxa" w:w="70"/>
              <w:left w:type="dxa" w:w="120"/>
              <w:bottom w:type="dxa" w:w="70"/>
              <w:right w:type="dxa" w:w="120"/>
            </w:tcMar>
          </w:tcPr>
          <w:p>
            <w:pPr>
              <w:spacing w:after="0" w:line="264"/>
              <w:jc w:val="left"/>
            </w:pPr>
            <w:r>
              <w:rPr>
                <w:b w:val="false"/>
                <w:bCs w:val="false"/>
              </w:rPr>
              <w:t xml:space="preserve">“Call me now” beats “email me first.”</w:t>
            </w:r>
          </w:p>
        </w:tc>
      </w:tr>
      <w:tr>
        <w:tc>
          <w:tcPr>
            <w:tcW w:type="dxa" w:w="2300"/>
            <w:shd w:fill="F4F7F7" w:val="clear"/>
            <w:tcMar>
              <w:top w:type="dxa" w:w="70"/>
              <w:left w:type="dxa" w:w="120"/>
              <w:bottom w:type="dxa" w:w="70"/>
              <w:right w:type="dxa" w:w="120"/>
            </w:tcMar>
          </w:tcPr>
          <w:p>
            <w:pPr>
              <w:spacing w:after="0" w:line="264"/>
              <w:jc w:val="left"/>
            </w:pPr>
            <w:r>
              <w:rPr>
                <w:b w:val="false"/>
                <w:bCs w:val="false"/>
              </w:rPr>
              <w:t xml:space="preserve">Insurability (health)</w:t>
            </w:r>
          </w:p>
        </w:tc>
        <w:tc>
          <w:tcPr>
            <w:tcW w:type="dxa" w:w="1100"/>
            <w:shd w:fill="F4F7F7" w:val="clear"/>
            <w:tcMar>
              <w:top w:type="dxa" w:w="70"/>
              <w:left w:type="dxa" w:w="120"/>
              <w:bottom w:type="dxa" w:w="70"/>
              <w:right w:type="dxa" w:w="120"/>
            </w:tcMar>
          </w:tcPr>
          <w:p>
            <w:pPr>
              <w:spacing w:after="0" w:line="264"/>
              <w:jc w:val="left"/>
            </w:pPr>
            <w:r>
              <w:rPr>
                <w:b w:val="false"/>
                <w:bCs w:val="false"/>
              </w:rPr>
              <w:t xml:space="preserve">6</w:t>
            </w:r>
          </w:p>
        </w:tc>
        <w:tc>
          <w:tcPr>
            <w:tcW w:type="dxa" w:w="5960"/>
            <w:shd w:fill="F4F7F7" w:val="clear"/>
            <w:tcMar>
              <w:top w:type="dxa" w:w="70"/>
              <w:left w:type="dxa" w:w="120"/>
              <w:bottom w:type="dxa" w:w="70"/>
              <w:right w:type="dxa" w:w="120"/>
            </w:tcMar>
          </w:tcPr>
          <w:p>
            <w:pPr>
              <w:spacing w:after="0" w:line="264"/>
              <w:jc w:val="left"/>
            </w:pPr>
            <w:r>
              <w:rPr>
                <w:b w:val="false"/>
                <w:bCs w:val="false"/>
              </w:rPr>
              <w:t xml:space="preserve">Better health = easier approval = higher close probability.</w:t>
            </w:r>
          </w:p>
        </w:tc>
      </w:tr>
    </w:tbl>
    <w:p>
      <w:pPr>
        <w:spacing w:after="60"/>
      </w:pPr>
      <w:r>
        <w:t xml:space="preserve"/>
      </w:r>
    </w:p>
    <w:p>
      <w:pPr>
        <w:pStyle w:val="Heading3"/>
      </w:pPr>
      <w:r>
        <w:t xml:space="preserve">Tobacco adjustment</w:t>
      </w:r>
    </w:p>
    <w:p>
      <w:pPr>
        <w:spacing w:after="120" w:line="276"/>
      </w:pPr>
      <w:r>
        <w:t xml:space="preserve">Tobacco/nicotine use applies a small penalty — it raises premiums and lowers close rates on price-sensitive prospects.</w:t>
      </w:r>
    </w:p>
    <w:p>
      <w:pPr>
        <w:pStyle w:val="Heading3"/>
      </w:pPr>
      <w:r>
        <w:t xml:space="preserve">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3260"/>
        <w:gridCol w:w="3900"/>
      </w:tblGrid>
      <w:tr>
        <w:trPr>
          <w:tblHeader/>
        </w:trPr>
        <w:tc>
          <w:tcPr>
            <w:tcW w:type="dxa" w:w="900"/>
            <w:shd w:fill="0F6B6B" w:val="clear"/>
            <w:tcMar>
              <w:top w:type="dxa" w:w="70"/>
              <w:left w:type="dxa" w:w="120"/>
              <w:bottom w:type="dxa" w:w="70"/>
              <w:right w:type="dxa" w:w="120"/>
            </w:tcMar>
          </w:tcPr>
          <w:p>
            <w:pPr>
              <w:spacing w:after="0" w:line="264"/>
              <w:jc w:val="left"/>
            </w:pPr>
            <w:r>
              <w:rPr>
                <w:b/>
                <w:bCs/>
                <w:color w:val="FFFFFF"/>
              </w:rPr>
              <w:t xml:space="preserve">Tier</w:t>
            </w:r>
          </w:p>
        </w:tc>
        <w:tc>
          <w:tcPr>
            <w:tcW w:type="dxa" w:w="1300"/>
            <w:shd w:fill="0F6B6B" w:val="clear"/>
            <w:tcMar>
              <w:top w:type="dxa" w:w="70"/>
              <w:left w:type="dxa" w:w="120"/>
              <w:bottom w:type="dxa" w:w="70"/>
              <w:right w:type="dxa" w:w="120"/>
            </w:tcMar>
          </w:tcPr>
          <w:p>
            <w:pPr>
              <w:spacing w:after="0" w:line="264"/>
              <w:jc w:val="left"/>
            </w:pPr>
            <w:r>
              <w:rPr>
                <w:b/>
                <w:bCs/>
                <w:color w:val="FFFFFF"/>
              </w:rPr>
              <w:t xml:space="preserve">Score</w:t>
            </w:r>
          </w:p>
        </w:tc>
        <w:tc>
          <w:tcPr>
            <w:tcW w:type="dxa" w:w="3260"/>
            <w:shd w:fill="0F6B6B" w:val="clear"/>
            <w:tcMar>
              <w:top w:type="dxa" w:w="70"/>
              <w:left w:type="dxa" w:w="120"/>
              <w:bottom w:type="dxa" w:w="70"/>
              <w:right w:type="dxa" w:w="120"/>
            </w:tcMar>
          </w:tcPr>
          <w:p>
            <w:pPr>
              <w:spacing w:after="0" w:line="264"/>
              <w:jc w:val="left"/>
            </w:pPr>
            <w:r>
              <w:rPr>
                <w:b/>
                <w:bCs/>
                <w:color w:val="FFFFFF"/>
              </w:rPr>
              <w:t xml:space="preserve">Meaning</w:t>
            </w:r>
          </w:p>
        </w:tc>
        <w:tc>
          <w:tcPr>
            <w:tcW w:type="dxa" w:w="3900"/>
            <w:shd w:fill="0F6B6B" w:val="clear"/>
            <w:tcMar>
              <w:top w:type="dxa" w:w="70"/>
              <w:left w:type="dxa" w:w="120"/>
              <w:bottom w:type="dxa" w:w="70"/>
              <w:right w:type="dxa" w:w="120"/>
            </w:tcMar>
          </w:tcPr>
          <w:p>
            <w:pPr>
              <w:spacing w:after="0" w:line="264"/>
              <w:jc w:val="left"/>
            </w:pPr>
            <w:r>
              <w:rPr>
                <w:b/>
                <w:bCs/>
                <w:color w:val="FFFFFF"/>
              </w:rPr>
              <w:t xml:space="preserve">How to treat</w:t>
            </w:r>
          </w:p>
        </w:tc>
      </w:tr>
      <w:tr>
        <w:tc>
          <w:tcPr>
            <w:tcW w:type="dxa" w:w="900"/>
            <w:shd w:fill="FFFFFF" w:val="clear"/>
            <w:tcMar>
              <w:top w:type="dxa" w:w="70"/>
              <w:left w:type="dxa" w:w="120"/>
              <w:bottom w:type="dxa" w:w="70"/>
              <w:right w:type="dxa" w:w="120"/>
            </w:tcMar>
          </w:tcPr>
          <w:p>
            <w:pPr>
              <w:spacing w:after="0" w:line="264"/>
              <w:jc w:val="left"/>
            </w:pPr>
            <w:r>
              <w:rPr>
                <w:b w:val="false"/>
                <w:bCs w:val="false"/>
              </w:rPr>
              <w:t xml:space="preserve">A</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78–99</w:t>
            </w:r>
          </w:p>
        </w:tc>
        <w:tc>
          <w:tcPr>
            <w:tcW w:type="dxa" w:w="3260"/>
            <w:shd w:fill="FFFFFF" w:val="clear"/>
            <w:tcMar>
              <w:top w:type="dxa" w:w="70"/>
              <w:left w:type="dxa" w:w="120"/>
              <w:bottom w:type="dxa" w:w="70"/>
              <w:right w:type="dxa" w:w="120"/>
            </w:tcMar>
          </w:tcPr>
          <w:p>
            <w:pPr>
              <w:spacing w:after="0" w:line="264"/>
              <w:jc w:val="left"/>
            </w:pPr>
            <w:r>
              <w:rPr>
                <w:b w:val="false"/>
                <w:bCs w:val="false"/>
              </w:rPr>
              <w:t xml:space="preserve">Hot — ready to buy now</w:t>
            </w:r>
          </w:p>
        </w:tc>
        <w:tc>
          <w:tcPr>
            <w:tcW w:type="dxa" w:w="3900"/>
            <w:shd w:fill="FFFFFF" w:val="clear"/>
            <w:tcMar>
              <w:top w:type="dxa" w:w="70"/>
              <w:left w:type="dxa" w:w="120"/>
              <w:bottom w:type="dxa" w:w="70"/>
              <w:right w:type="dxa" w:w="120"/>
            </w:tcMar>
          </w:tcPr>
          <w:p>
            <w:pPr>
              <w:spacing w:after="0" w:line="264"/>
              <w:jc w:val="left"/>
            </w:pPr>
            <w:r>
              <w:rPr>
                <w:b w:val="false"/>
                <w:bCs w:val="false"/>
              </w:rPr>
              <w:t xml:space="preserve">Call within 60 seconds; assign your best closer / live transfer.</w:t>
            </w:r>
          </w:p>
        </w:tc>
      </w:tr>
      <w:tr>
        <w:tc>
          <w:tcPr>
            <w:tcW w:type="dxa" w:w="900"/>
            <w:shd w:fill="F4F7F7" w:val="clear"/>
            <w:tcMar>
              <w:top w:type="dxa" w:w="70"/>
              <w:left w:type="dxa" w:w="120"/>
              <w:bottom w:type="dxa" w:w="70"/>
              <w:right w:type="dxa" w:w="120"/>
            </w:tcMar>
          </w:tcPr>
          <w:p>
            <w:pPr>
              <w:spacing w:after="0" w:line="264"/>
              <w:jc w:val="left"/>
            </w:pPr>
            <w:r>
              <w:rPr>
                <w:b w:val="false"/>
                <w:bCs w:val="false"/>
              </w:rPr>
              <w:t xml:space="preserve">B</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60–77</w:t>
            </w:r>
          </w:p>
        </w:tc>
        <w:tc>
          <w:tcPr>
            <w:tcW w:type="dxa" w:w="3260"/>
            <w:shd w:fill="F4F7F7" w:val="clear"/>
            <w:tcMar>
              <w:top w:type="dxa" w:w="70"/>
              <w:left w:type="dxa" w:w="120"/>
              <w:bottom w:type="dxa" w:w="70"/>
              <w:right w:type="dxa" w:w="120"/>
            </w:tcMar>
          </w:tcPr>
          <w:p>
            <w:pPr>
              <w:spacing w:after="0" w:line="264"/>
              <w:jc w:val="left"/>
            </w:pPr>
            <w:r>
              <w:rPr>
                <w:b w:val="false"/>
                <w:bCs w:val="false"/>
              </w:rPr>
              <w:t xml:space="preserve">Warm — strong intent</w:t>
            </w:r>
          </w:p>
        </w:tc>
        <w:tc>
          <w:tcPr>
            <w:tcW w:type="dxa" w:w="3900"/>
            <w:shd w:fill="F4F7F7" w:val="clear"/>
            <w:tcMar>
              <w:top w:type="dxa" w:w="70"/>
              <w:left w:type="dxa" w:w="120"/>
              <w:bottom w:type="dxa" w:w="70"/>
              <w:right w:type="dxa" w:w="120"/>
            </w:tcMar>
          </w:tcPr>
          <w:p>
            <w:pPr>
              <w:spacing w:after="0" w:line="264"/>
              <w:jc w:val="left"/>
            </w:pPr>
            <w:r>
              <w:rPr>
                <w:b w:val="false"/>
                <w:bCs w:val="false"/>
              </w:rPr>
              <w:t xml:space="preserve">Call same day; multi-touch follow-up.</w:t>
            </w:r>
          </w:p>
        </w:tc>
      </w:tr>
      <w:tr>
        <w:tc>
          <w:tcPr>
            <w:tcW w:type="dxa" w:w="900"/>
            <w:shd w:fill="FFFFFF" w:val="clear"/>
            <w:tcMar>
              <w:top w:type="dxa" w:w="70"/>
              <w:left w:type="dxa" w:w="120"/>
              <w:bottom w:type="dxa" w:w="70"/>
              <w:right w:type="dxa" w:w="120"/>
            </w:tcMar>
          </w:tcPr>
          <w:p>
            <w:pPr>
              <w:spacing w:after="0" w:line="264"/>
              <w:jc w:val="left"/>
            </w:pPr>
            <w:r>
              <w:rPr>
                <w:b w:val="false"/>
                <w:bCs w:val="false"/>
              </w:rPr>
              <w:t xml:space="preserve">C</w:t>
            </w:r>
          </w:p>
        </w:tc>
        <w:tc>
          <w:tcPr>
            <w:tcW w:type="dxa" w:w="1300"/>
            <w:shd w:fill="FFFFFF" w:val="clear"/>
            <w:tcMar>
              <w:top w:type="dxa" w:w="70"/>
              <w:left w:type="dxa" w:w="120"/>
              <w:bottom w:type="dxa" w:w="70"/>
              <w:right w:type="dxa" w:w="120"/>
            </w:tcMar>
          </w:tcPr>
          <w:p>
            <w:pPr>
              <w:spacing w:after="0" w:line="264"/>
              <w:jc w:val="left"/>
            </w:pPr>
            <w:r>
              <w:rPr>
                <w:b w:val="false"/>
                <w:bCs w:val="false"/>
              </w:rPr>
              <w:t xml:space="preserve">42–59</w:t>
            </w:r>
          </w:p>
        </w:tc>
        <w:tc>
          <w:tcPr>
            <w:tcW w:type="dxa" w:w="3260"/>
            <w:shd w:fill="FFFFFF" w:val="clear"/>
            <w:tcMar>
              <w:top w:type="dxa" w:w="70"/>
              <w:left w:type="dxa" w:w="120"/>
              <w:bottom w:type="dxa" w:w="70"/>
              <w:right w:type="dxa" w:w="120"/>
            </w:tcMar>
          </w:tcPr>
          <w:p>
            <w:pPr>
              <w:spacing w:after="0" w:line="264"/>
              <w:jc w:val="left"/>
            </w:pPr>
            <w:r>
              <w:rPr>
                <w:b w:val="false"/>
                <w:bCs w:val="false"/>
              </w:rPr>
              <w:t xml:space="preserve">Lukewarm — needs nurture</w:t>
            </w:r>
          </w:p>
        </w:tc>
        <w:tc>
          <w:tcPr>
            <w:tcW w:type="dxa" w:w="3900"/>
            <w:shd w:fill="FFFFFF" w:val="clear"/>
            <w:tcMar>
              <w:top w:type="dxa" w:w="70"/>
              <w:left w:type="dxa" w:w="120"/>
              <w:bottom w:type="dxa" w:w="70"/>
              <w:right w:type="dxa" w:w="120"/>
            </w:tcMar>
          </w:tcPr>
          <w:p>
            <w:pPr>
              <w:spacing w:after="0" w:line="264"/>
              <w:jc w:val="left"/>
            </w:pPr>
            <w:r>
              <w:rPr>
                <w:b w:val="false"/>
                <w:bCs w:val="false"/>
              </w:rPr>
              <w:t xml:space="preserve">Educational sequence; revisit weekly.</w:t>
            </w:r>
          </w:p>
        </w:tc>
      </w:tr>
      <w:tr>
        <w:tc>
          <w:tcPr>
            <w:tcW w:type="dxa" w:w="900"/>
            <w:shd w:fill="F4F7F7" w:val="clear"/>
            <w:tcMar>
              <w:top w:type="dxa" w:w="70"/>
              <w:left w:type="dxa" w:w="120"/>
              <w:bottom w:type="dxa" w:w="70"/>
              <w:right w:type="dxa" w:w="120"/>
            </w:tcMar>
          </w:tcPr>
          <w:p>
            <w:pPr>
              <w:spacing w:after="0" w:line="264"/>
              <w:jc w:val="left"/>
            </w:pPr>
            <w:r>
              <w:rPr>
                <w:b w:val="false"/>
                <w:bCs w:val="false"/>
              </w:rPr>
              <w:t xml:space="preserve">D</w:t>
            </w:r>
          </w:p>
        </w:tc>
        <w:tc>
          <w:tcPr>
            <w:tcW w:type="dxa" w:w="1300"/>
            <w:shd w:fill="F4F7F7" w:val="clear"/>
            <w:tcMar>
              <w:top w:type="dxa" w:w="70"/>
              <w:left w:type="dxa" w:w="120"/>
              <w:bottom w:type="dxa" w:w="70"/>
              <w:right w:type="dxa" w:w="120"/>
            </w:tcMar>
          </w:tcPr>
          <w:p>
            <w:pPr>
              <w:spacing w:after="0" w:line="264"/>
              <w:jc w:val="left"/>
            </w:pPr>
            <w:r>
              <w:rPr>
                <w:b w:val="false"/>
                <w:bCs w:val="false"/>
              </w:rPr>
              <w:t xml:space="preserve">8–41</w:t>
            </w:r>
          </w:p>
        </w:tc>
        <w:tc>
          <w:tcPr>
            <w:tcW w:type="dxa" w:w="3260"/>
            <w:shd w:fill="F4F7F7" w:val="clear"/>
            <w:tcMar>
              <w:top w:type="dxa" w:w="70"/>
              <w:left w:type="dxa" w:w="120"/>
              <w:bottom w:type="dxa" w:w="70"/>
              <w:right w:type="dxa" w:w="120"/>
            </w:tcMar>
          </w:tcPr>
          <w:p>
            <w:pPr>
              <w:spacing w:after="0" w:line="264"/>
              <w:jc w:val="left"/>
            </w:pPr>
            <w:r>
              <w:rPr>
                <w:b w:val="false"/>
                <w:bCs w:val="false"/>
              </w:rPr>
              <w:t xml:space="preserve">Cold / researching</w:t>
            </w:r>
          </w:p>
        </w:tc>
        <w:tc>
          <w:tcPr>
            <w:tcW w:type="dxa" w:w="3900"/>
            <w:shd w:fill="F4F7F7" w:val="clear"/>
            <w:tcMar>
              <w:top w:type="dxa" w:w="70"/>
              <w:left w:type="dxa" w:w="120"/>
              <w:bottom w:type="dxa" w:w="70"/>
              <w:right w:type="dxa" w:w="120"/>
            </w:tcMar>
          </w:tcPr>
          <w:p>
            <w:pPr>
              <w:spacing w:after="0" w:line="264"/>
              <w:jc w:val="left"/>
            </w:pPr>
            <w:r>
              <w:rPr>
                <w:b w:val="false"/>
                <w:bCs w:val="false"/>
              </w:rPr>
              <w:t xml:space="preserve">Long-term drip; cheapest pricing tier.</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Sell the score, don’t hide it</w:t>
            </w:r>
          </w:p>
          <w:p>
            <w:pPr>
              <w:spacing w:after="40" w:line="264"/>
            </w:pPr>
            <w:r>
              <w:rPr>
                <w:color w:val="333333"/>
              </w:rPr>
              <w:t xml:space="preserve">Agents pay more for transparency. Showing the factor-by-factor breakdown (as the platform does) is a competitive advantage over vendors who just dump a name and number. It tells the agent exactly why a lead is hot and how to open the call.</w:t>
            </w:r>
          </w:p>
        </w:tc>
      </w:tr>
    </w:tbl>
    <w:p>
      <w:pPr>
        <w:pStyle w:val="Heading1"/>
      </w:pPr>
      <w:r>
        <w:t xml:space="preserve">5. Carrier &amp; Product Matching</w:t>
      </w:r>
    </w:p>
    <w:p>
      <w:pPr>
        <w:spacing w:after="140" w:line="276"/>
      </w:pPr>
      <w:r>
        <w:rPr>
          <w:i/>
          <w:iCs/>
          <w:color w:val="5D6F78"/>
        </w:rPr>
        <w:t xml:space="preserve">For every lead the engine recommends 1–3 best-fit carriers and product types. Here is the logic agents see.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0"/>
        <w:gridCol w:w="2700"/>
        <w:gridCol w:w="3400"/>
      </w:tblGrid>
      <w:tr>
        <w:trPr>
          <w:tblHeader/>
        </w:trPr>
        <w:tc>
          <w:tcPr>
            <w:tcW w:type="dxa" w:w="3260"/>
            <w:shd w:fill="0F6B6B" w:val="clear"/>
            <w:tcMar>
              <w:top w:type="dxa" w:w="70"/>
              <w:left w:type="dxa" w:w="120"/>
              <w:bottom w:type="dxa" w:w="70"/>
              <w:right w:type="dxa" w:w="120"/>
            </w:tcMar>
          </w:tcPr>
          <w:p>
            <w:pPr>
              <w:spacing w:after="0" w:line="264"/>
              <w:jc w:val="left"/>
            </w:pPr>
            <w:r>
              <w:rPr>
                <w:b/>
                <w:bCs/>
                <w:color w:val="FFFFFF"/>
              </w:rPr>
              <w:t xml:space="preserve">Prospect profile</w:t>
            </w:r>
          </w:p>
        </w:tc>
        <w:tc>
          <w:tcPr>
            <w:tcW w:type="dxa" w:w="2700"/>
            <w:shd w:fill="0F6B6B" w:val="clear"/>
            <w:tcMar>
              <w:top w:type="dxa" w:w="70"/>
              <w:left w:type="dxa" w:w="120"/>
              <w:bottom w:type="dxa" w:w="70"/>
              <w:right w:type="dxa" w:w="120"/>
            </w:tcMar>
          </w:tcPr>
          <w:p>
            <w:pPr>
              <w:spacing w:after="0" w:line="264"/>
              <w:jc w:val="left"/>
            </w:pPr>
            <w:r>
              <w:rPr>
                <w:b/>
                <w:bCs/>
                <w:color w:val="FFFFFF"/>
              </w:rPr>
              <w:t xml:space="preserve">Recommended product</w:t>
            </w:r>
          </w:p>
        </w:tc>
        <w:tc>
          <w:tcPr>
            <w:tcW w:type="dxa" w:w="3400"/>
            <w:shd w:fill="0F6B6B" w:val="clear"/>
            <w:tcMar>
              <w:top w:type="dxa" w:w="70"/>
              <w:left w:type="dxa" w:w="120"/>
              <w:bottom w:type="dxa" w:w="70"/>
              <w:right w:type="dxa" w:w="120"/>
            </w:tcMar>
          </w:tcPr>
          <w:p>
            <w:pPr>
              <w:spacing w:after="0" w:line="264"/>
              <w:jc w:val="left"/>
            </w:pPr>
            <w:r>
              <w:rPr>
                <w:b/>
                <w:bCs/>
                <w:color w:val="FFFFFF"/>
              </w:rPr>
              <w:t xml:space="preserve">Example carriers</w:t>
            </w:r>
          </w:p>
        </w:tc>
      </w:tr>
      <w:tr>
        <w:tc>
          <w:tcPr>
            <w:tcW w:type="dxa" w:w="3260"/>
            <w:shd w:fill="FFFFFF" w:val="clear"/>
            <w:tcMar>
              <w:top w:type="dxa" w:w="70"/>
              <w:left w:type="dxa" w:w="120"/>
              <w:bottom w:type="dxa" w:w="70"/>
              <w:right w:type="dxa" w:w="120"/>
            </w:tcMar>
          </w:tcPr>
          <w:p>
            <w:pPr>
              <w:spacing w:after="0" w:line="264"/>
              <w:jc w:val="left"/>
            </w:pPr>
            <w:r>
              <w:rPr>
                <w:b w:val="false"/>
                <w:bCs w:val="false"/>
              </w:rPr>
              <w:t xml:space="preserve">Young family, healthy, mortgage / new baby</w:t>
            </w:r>
          </w:p>
        </w:tc>
        <w:tc>
          <w:tcPr>
            <w:tcW w:type="dxa" w:w="2700"/>
            <w:shd w:fill="FFFFFF" w:val="clear"/>
            <w:tcMar>
              <w:top w:type="dxa" w:w="70"/>
              <w:left w:type="dxa" w:w="120"/>
              <w:bottom w:type="dxa" w:w="70"/>
              <w:right w:type="dxa" w:w="120"/>
            </w:tcMar>
          </w:tcPr>
          <w:p>
            <w:pPr>
              <w:spacing w:after="0" w:line="264"/>
              <w:jc w:val="left"/>
            </w:pPr>
            <w:r>
              <w:rPr>
                <w:b w:val="false"/>
                <w:bCs w:val="false"/>
              </w:rPr>
              <w:t xml:space="preserve">Level term (10–30 yr)</w:t>
            </w:r>
          </w:p>
        </w:tc>
        <w:tc>
          <w:tcPr>
            <w:tcW w:type="dxa" w:w="3400"/>
            <w:shd w:fill="FFFFFF" w:val="clear"/>
            <w:tcMar>
              <w:top w:type="dxa" w:w="70"/>
              <w:left w:type="dxa" w:w="120"/>
              <w:bottom w:type="dxa" w:w="70"/>
              <w:right w:type="dxa" w:w="120"/>
            </w:tcMar>
          </w:tcPr>
          <w:p>
            <w:pPr>
              <w:spacing w:after="0" w:line="264"/>
              <w:jc w:val="left"/>
            </w:pPr>
            <w:r>
              <w:rPr>
                <w:b w:val="false"/>
                <w:bCs w:val="false"/>
              </w:rPr>
              <w:t xml:space="preserve">Banner (Legal &amp; General), Haven (MassMutual), Protective, Ladder, Ethos</w:t>
            </w:r>
          </w:p>
        </w:tc>
      </w:tr>
      <w:tr>
        <w:tc>
          <w:tcPr>
            <w:tcW w:type="dxa" w:w="3260"/>
            <w:shd w:fill="F4F7F7" w:val="clear"/>
            <w:tcMar>
              <w:top w:type="dxa" w:w="70"/>
              <w:left w:type="dxa" w:w="120"/>
              <w:bottom w:type="dxa" w:w="70"/>
              <w:right w:type="dxa" w:w="120"/>
            </w:tcMar>
          </w:tcPr>
          <w:p>
            <w:pPr>
              <w:spacing w:after="0" w:line="264"/>
              <w:jc w:val="left"/>
            </w:pPr>
            <w:r>
              <w:rPr>
                <w:b w:val="false"/>
                <w:bCs w:val="false"/>
              </w:rPr>
              <w:t xml:space="preserve">High income, business or estate need</w:t>
            </w:r>
          </w:p>
        </w:tc>
        <w:tc>
          <w:tcPr>
            <w:tcW w:type="dxa" w:w="2700"/>
            <w:shd w:fill="F4F7F7" w:val="clear"/>
            <w:tcMar>
              <w:top w:type="dxa" w:w="70"/>
              <w:left w:type="dxa" w:w="120"/>
              <w:bottom w:type="dxa" w:w="70"/>
              <w:right w:type="dxa" w:w="120"/>
            </w:tcMar>
          </w:tcPr>
          <w:p>
            <w:pPr>
              <w:spacing w:after="0" w:line="264"/>
              <w:jc w:val="left"/>
            </w:pPr>
            <w:r>
              <w:rPr>
                <w:b w:val="false"/>
                <w:bCs w:val="false"/>
              </w:rPr>
              <w:t xml:space="preserve">Indexed Universal Life / Whole Life</w:t>
            </w:r>
          </w:p>
        </w:tc>
        <w:tc>
          <w:tcPr>
            <w:tcW w:type="dxa" w:w="3400"/>
            <w:shd w:fill="F4F7F7" w:val="clear"/>
            <w:tcMar>
              <w:top w:type="dxa" w:w="70"/>
              <w:left w:type="dxa" w:w="120"/>
              <w:bottom w:type="dxa" w:w="70"/>
              <w:right w:type="dxa" w:w="120"/>
            </w:tcMar>
          </w:tcPr>
          <w:p>
            <w:pPr>
              <w:spacing w:after="0" w:line="264"/>
              <w:jc w:val="left"/>
            </w:pPr>
            <w:r>
              <w:rPr>
                <w:b w:val="false"/>
                <w:bCs w:val="false"/>
              </w:rPr>
              <w:t xml:space="preserve">Penn Mutual, Northwestern Mutual, Nationwide</w:t>
            </w:r>
          </w:p>
        </w:tc>
      </w:tr>
      <w:tr>
        <w:tc>
          <w:tcPr>
            <w:tcW w:type="dxa" w:w="3260"/>
            <w:shd w:fill="FFFFFF" w:val="clear"/>
            <w:tcMar>
              <w:top w:type="dxa" w:w="70"/>
              <w:left w:type="dxa" w:w="120"/>
              <w:bottom w:type="dxa" w:w="70"/>
              <w:right w:type="dxa" w:w="120"/>
            </w:tcMar>
          </w:tcPr>
          <w:p>
            <w:pPr>
              <w:spacing w:after="0" w:line="264"/>
              <w:jc w:val="left"/>
            </w:pPr>
            <w:r>
              <w:rPr>
                <w:b w:val="false"/>
                <w:bCs w:val="false"/>
              </w:rPr>
              <w:t xml:space="preserve">Senior, small face / burial need</w:t>
            </w:r>
          </w:p>
        </w:tc>
        <w:tc>
          <w:tcPr>
            <w:tcW w:type="dxa" w:w="2700"/>
            <w:shd w:fill="FFFFFF" w:val="clear"/>
            <w:tcMar>
              <w:top w:type="dxa" w:w="70"/>
              <w:left w:type="dxa" w:w="120"/>
              <w:bottom w:type="dxa" w:w="70"/>
              <w:right w:type="dxa" w:w="120"/>
            </w:tcMar>
          </w:tcPr>
          <w:p>
            <w:pPr>
              <w:spacing w:after="0" w:line="264"/>
              <w:jc w:val="left"/>
            </w:pPr>
            <w:r>
              <w:rPr>
                <w:b w:val="false"/>
                <w:bCs w:val="false"/>
              </w:rPr>
              <w:t xml:space="preserve">Final expense / Whole Life</w:t>
            </w:r>
          </w:p>
        </w:tc>
        <w:tc>
          <w:tcPr>
            <w:tcW w:type="dxa" w:w="3400"/>
            <w:shd w:fill="FFFFFF" w:val="clear"/>
            <w:tcMar>
              <w:top w:type="dxa" w:w="70"/>
              <w:left w:type="dxa" w:w="120"/>
              <w:bottom w:type="dxa" w:w="70"/>
              <w:right w:type="dxa" w:w="120"/>
            </w:tcMar>
          </w:tcPr>
          <w:p>
            <w:pPr>
              <w:spacing w:after="0" w:line="264"/>
              <w:jc w:val="left"/>
            </w:pPr>
            <w:r>
              <w:rPr>
                <w:b w:val="false"/>
                <w:bCs w:val="false"/>
              </w:rPr>
              <w:t xml:space="preserve">Mutual of Omaha, Corebridge (AIG), Gerber Life</w:t>
            </w:r>
          </w:p>
        </w:tc>
      </w:tr>
      <w:tr>
        <w:tc>
          <w:tcPr>
            <w:tcW w:type="dxa" w:w="3260"/>
            <w:shd w:fill="F4F7F7" w:val="clear"/>
            <w:tcMar>
              <w:top w:type="dxa" w:w="70"/>
              <w:left w:type="dxa" w:w="120"/>
              <w:bottom w:type="dxa" w:w="70"/>
              <w:right w:type="dxa" w:w="120"/>
            </w:tcMar>
          </w:tcPr>
          <w:p>
            <w:pPr>
              <w:spacing w:after="0" w:line="264"/>
              <w:jc w:val="left"/>
            </w:pPr>
            <w:r>
              <w:rPr>
                <w:b w:val="false"/>
                <w:bCs w:val="false"/>
              </w:rPr>
              <w:t xml:space="preserve">Health-impaired or older smoker</w:t>
            </w:r>
          </w:p>
        </w:tc>
        <w:tc>
          <w:tcPr>
            <w:tcW w:type="dxa" w:w="2700"/>
            <w:shd w:fill="F4F7F7" w:val="clear"/>
            <w:tcMar>
              <w:top w:type="dxa" w:w="70"/>
              <w:left w:type="dxa" w:w="120"/>
              <w:bottom w:type="dxa" w:w="70"/>
              <w:right w:type="dxa" w:w="120"/>
            </w:tcMar>
          </w:tcPr>
          <w:p>
            <w:pPr>
              <w:spacing w:after="0" w:line="264"/>
              <w:jc w:val="left"/>
            </w:pPr>
            <w:r>
              <w:rPr>
                <w:b w:val="false"/>
                <w:bCs w:val="false"/>
              </w:rPr>
              <w:t xml:space="preserve">Guaranteed / Simplified issue</w:t>
            </w:r>
          </w:p>
        </w:tc>
        <w:tc>
          <w:tcPr>
            <w:tcW w:type="dxa" w:w="3400"/>
            <w:shd w:fill="F4F7F7" w:val="clear"/>
            <w:tcMar>
              <w:top w:type="dxa" w:w="70"/>
              <w:left w:type="dxa" w:w="120"/>
              <w:bottom w:type="dxa" w:w="70"/>
              <w:right w:type="dxa" w:w="120"/>
            </w:tcMar>
          </w:tcPr>
          <w:p>
            <w:pPr>
              <w:spacing w:after="0" w:line="264"/>
              <w:jc w:val="left"/>
            </w:pPr>
            <w:r>
              <w:rPr>
                <w:b w:val="false"/>
                <w:bCs w:val="false"/>
              </w:rPr>
              <w:t xml:space="preserve">Corebridge (AIG), Americo, Gerber Life</w:t>
            </w:r>
          </w:p>
        </w:tc>
      </w:tr>
      <w:tr>
        <w:tc>
          <w:tcPr>
            <w:tcW w:type="dxa" w:w="3260"/>
            <w:shd w:fill="FFFFFF" w:val="clear"/>
            <w:tcMar>
              <w:top w:type="dxa" w:w="70"/>
              <w:left w:type="dxa" w:w="120"/>
              <w:bottom w:type="dxa" w:w="70"/>
              <w:right w:type="dxa" w:w="120"/>
            </w:tcMar>
          </w:tcPr>
          <w:p>
            <w:pPr>
              <w:spacing w:after="0" w:line="264"/>
              <w:jc w:val="left"/>
            </w:pPr>
            <w:r>
              <w:rPr>
                <w:b w:val="false"/>
                <w:bCs w:val="false"/>
              </w:rPr>
              <w:t xml:space="preserve">Budget-conscious first-time buyer</w:t>
            </w:r>
          </w:p>
        </w:tc>
        <w:tc>
          <w:tcPr>
            <w:tcW w:type="dxa" w:w="2700"/>
            <w:shd w:fill="FFFFFF" w:val="clear"/>
            <w:tcMar>
              <w:top w:type="dxa" w:w="70"/>
              <w:left w:type="dxa" w:w="120"/>
              <w:bottom w:type="dxa" w:w="70"/>
              <w:right w:type="dxa" w:w="120"/>
            </w:tcMar>
          </w:tcPr>
          <w:p>
            <w:pPr>
              <w:spacing w:after="0" w:line="264"/>
              <w:jc w:val="left"/>
            </w:pPr>
            <w:r>
              <w:rPr>
                <w:b w:val="false"/>
                <w:bCs w:val="false"/>
              </w:rPr>
              <w:t xml:space="preserve">Digital / no-exam term</w:t>
            </w:r>
          </w:p>
        </w:tc>
        <w:tc>
          <w:tcPr>
            <w:tcW w:type="dxa" w:w="3400"/>
            <w:shd w:fill="FFFFFF" w:val="clear"/>
            <w:tcMar>
              <w:top w:type="dxa" w:w="70"/>
              <w:left w:type="dxa" w:w="120"/>
              <w:bottom w:type="dxa" w:w="70"/>
              <w:right w:type="dxa" w:w="120"/>
            </w:tcMar>
          </w:tcPr>
          <w:p>
            <w:pPr>
              <w:spacing w:after="0" w:line="264"/>
              <w:jc w:val="left"/>
            </w:pPr>
            <w:r>
              <w:rPr>
                <w:b w:val="false"/>
                <w:bCs w:val="false"/>
              </w:rPr>
              <w:t xml:space="preserve">Ladder, Ethos, Haven Life</w:t>
            </w:r>
          </w:p>
        </w:tc>
      </w:tr>
    </w:tbl>
    <w:p>
      <w:pPr>
        <w:spacing w:after="60"/>
      </w:pPr>
      <w:r>
        <w:t xml:space="preserve"/>
      </w:r>
    </w:p>
    <w:p>
      <w:pPr>
        <w:spacing w:after="120" w:line="276"/>
      </w:pPr>
      <w:r>
        <w:t xml:space="preserve">The recommendation is advisory — it points the agent toward the right shelf so they spend less time guessing and more time closing. Agents only see carriers they can actually write (matched to their appointments in their profile).</w:t>
      </w:r>
    </w:p>
    <w:p>
      <w:r>
        <w:br w:type="page"/>
      </w:r>
    </w:p>
    <w:p>
      <w:pPr>
        <w:pStyle w:val="Heading1"/>
      </w:pPr>
      <w:r>
        <w:t xml:space="preserve">6. The Human-Sounding Voice Engine (Integration Blueprint)</w:t>
      </w:r>
    </w:p>
    <w:p>
      <w:pPr>
        <w:spacing w:after="140" w:line="276"/>
      </w:pPr>
      <w:r>
        <w:rPr>
          <w:i/>
          <w:iCs/>
          <w:color w:val="5D6F78"/>
        </w:rPr>
        <w:t xml:space="preserve">You asked for a voice that sounds like a real, trustworthy human. This is exactly how to build it and what to buy. The platform is already wired for these plug-in points.</w:t>
      </w:r>
    </w:p>
    <w:p>
      <w:pPr>
        <w:pStyle w:val="Heading2"/>
      </w:pPr>
      <w:r>
        <w:t xml:space="preserve">6.1 Two ways to deliver a realistic voice</w:t>
      </w:r>
    </w:p>
    <w:p>
      <w:pPr>
        <w:spacing w:after="120" w:line="276"/>
      </w:pPr>
      <w:r>
        <w:t xml:space="preserve">There are two architectures. Start with Option A; it is the fastest path to a natural voice that can actually talk back.</w:t>
      </w:r>
    </w:p>
    <w:p>
      <w:pPr>
        <w:pStyle w:val="Heading3"/>
      </w:pPr>
      <w:r>
        <w:t xml:space="preserve">Option A — All-in-one conversational voice platform (recommended to start)</w:t>
      </w:r>
    </w:p>
    <w:p>
      <w:pPr>
        <w:spacing w:after="120" w:line="276"/>
      </w:pPr>
      <w:r>
        <w:t xml:space="preserve">A single provider handles listening, thinking, and speaking with the low latency a real conversation needs. You give it the script and objection library from this playbook; it dials and talks.</w:t>
      </w:r>
    </w:p>
    <w:p>
      <w:pPr>
        <w:pStyle w:val="ListParagraph"/>
        <w:numPr>
          <w:ilvl w:val="0"/>
          <w:numId w:val="2"/>
        </w:numPr>
        <w:spacing w:after="80" w:line="270"/>
      </w:pPr>
      <w:r>
        <w:rPr>
          <w:b/>
          <w:bCs/>
        </w:rPr>
        <w:t xml:space="preserve">ElevenLabs Conversational AI — </w:t>
      </w:r>
      <w:r>
        <w:t xml:space="preserve">the most natural-sounding voices on the market; built-in turn-taking and telephony.</w:t>
      </w:r>
    </w:p>
    <w:p>
      <w:pPr>
        <w:pStyle w:val="ListParagraph"/>
        <w:numPr>
          <w:ilvl w:val="0"/>
          <w:numId w:val="2"/>
        </w:numPr>
        <w:spacing w:after="80" w:line="270"/>
      </w:pPr>
      <w:r>
        <w:rPr>
          <w:b/>
          <w:bCs/>
        </w:rPr>
        <w:t xml:space="preserve">Vapi or Retell AI — </w:t>
      </w:r>
      <w:r>
        <w:t xml:space="preserve">developer platforms that orchestrate phone + voice + your chosen LLM with very low latency.</w:t>
      </w:r>
    </w:p>
    <w:p>
      <w:pPr>
        <w:pStyle w:val="ListParagraph"/>
        <w:numPr>
          <w:ilvl w:val="0"/>
          <w:numId w:val="2"/>
        </w:numPr>
        <w:spacing w:after="80" w:line="270"/>
      </w:pPr>
      <w:r>
        <w:rPr>
          <w:b/>
          <w:bCs/>
        </w:rPr>
        <w:t xml:space="preserve">Bland AI / Synthflow — </w:t>
      </w:r>
      <w:r>
        <w:t xml:space="preserve">no-code AI phone agents you can configure with scripts directly.</w:t>
      </w:r>
    </w:p>
    <w:p>
      <w:pPr>
        <w:pStyle w:val="Heading3"/>
      </w:pPr>
      <w:r>
        <w:t xml:space="preserve">Option B — Assemble the pipeline yourself (more control, more work)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600"/>
        <w:gridCol w:w="3960"/>
      </w:tblGrid>
      <w:tr>
        <w:trPr>
          <w:tblHeader/>
        </w:trPr>
        <w:tc>
          <w:tcPr>
            <w:tcW w:type="dxa" w:w="1800"/>
            <w:shd w:fill="0F6B6B" w:val="clear"/>
            <w:tcMar>
              <w:top w:type="dxa" w:w="70"/>
              <w:left w:type="dxa" w:w="120"/>
              <w:bottom w:type="dxa" w:w="70"/>
              <w:right w:type="dxa" w:w="120"/>
            </w:tcMar>
          </w:tcPr>
          <w:p>
            <w:pPr>
              <w:spacing w:after="0" w:line="264"/>
              <w:jc w:val="left"/>
            </w:pPr>
            <w:r>
              <w:rPr>
                <w:b/>
                <w:bCs/>
                <w:color w:val="FFFFFF"/>
              </w:rPr>
              <w:t xml:space="preserve">Layer</w:t>
            </w:r>
          </w:p>
        </w:tc>
        <w:tc>
          <w:tcPr>
            <w:tcW w:type="dxa" w:w="3600"/>
            <w:shd w:fill="0F6B6B" w:val="clear"/>
            <w:tcMar>
              <w:top w:type="dxa" w:w="70"/>
              <w:left w:type="dxa" w:w="120"/>
              <w:bottom w:type="dxa" w:w="70"/>
              <w:right w:type="dxa" w:w="120"/>
            </w:tcMar>
          </w:tcPr>
          <w:p>
            <w:pPr>
              <w:spacing w:after="0" w:line="264"/>
              <w:jc w:val="left"/>
            </w:pPr>
            <w:r>
              <w:rPr>
                <w:b/>
                <w:bCs/>
                <w:color w:val="FFFFFF"/>
              </w:rPr>
              <w:t xml:space="preserve">Job</w:t>
            </w:r>
          </w:p>
        </w:tc>
        <w:tc>
          <w:tcPr>
            <w:tcW w:type="dxa" w:w="3960"/>
            <w:shd w:fill="0F6B6B" w:val="clear"/>
            <w:tcMar>
              <w:top w:type="dxa" w:w="70"/>
              <w:left w:type="dxa" w:w="120"/>
              <w:bottom w:type="dxa" w:w="70"/>
              <w:right w:type="dxa" w:w="120"/>
            </w:tcMar>
          </w:tcPr>
          <w:p>
            <w:pPr>
              <w:spacing w:after="0" w:line="264"/>
              <w:jc w:val="left"/>
            </w:pPr>
            <w:r>
              <w:rPr>
                <w:b/>
                <w:bCs/>
                <w:color w:val="FFFFFF"/>
              </w:rPr>
              <w:t xml:space="preserve">Recommended service</w:t>
            </w:r>
          </w:p>
        </w:tc>
      </w:tr>
      <w:tr>
        <w:tc>
          <w:tcPr>
            <w:tcW w:type="dxa" w:w="1800"/>
            <w:shd w:fill="FFFFFF" w:val="clear"/>
            <w:tcMar>
              <w:top w:type="dxa" w:w="70"/>
              <w:left w:type="dxa" w:w="120"/>
              <w:bottom w:type="dxa" w:w="70"/>
              <w:right w:type="dxa" w:w="120"/>
            </w:tcMar>
          </w:tcPr>
          <w:p>
            <w:pPr>
              <w:spacing w:after="0" w:line="264"/>
              <w:jc w:val="left"/>
            </w:pPr>
            <w:r>
              <w:rPr>
                <w:b w:val="false"/>
                <w:bCs w:val="false"/>
              </w:rPr>
              <w:t xml:space="preserve">Telephony</w:t>
            </w:r>
          </w:p>
        </w:tc>
        <w:tc>
          <w:tcPr>
            <w:tcW w:type="dxa" w:w="3600"/>
            <w:shd w:fill="FFFFFF" w:val="clear"/>
            <w:tcMar>
              <w:top w:type="dxa" w:w="70"/>
              <w:left w:type="dxa" w:w="120"/>
              <w:bottom w:type="dxa" w:w="70"/>
              <w:right w:type="dxa" w:w="120"/>
            </w:tcMar>
          </w:tcPr>
          <w:p>
            <w:pPr>
              <w:spacing w:after="0" w:line="264"/>
              <w:jc w:val="left"/>
            </w:pPr>
            <w:r>
              <w:rPr>
                <w:b w:val="false"/>
                <w:bCs w:val="false"/>
              </w:rPr>
              <w:t xml:space="preserve">Place/receive the actual phone call</w:t>
            </w:r>
          </w:p>
        </w:tc>
        <w:tc>
          <w:tcPr>
            <w:tcW w:type="dxa" w:w="3960"/>
            <w:shd w:fill="FFFFFF" w:val="clear"/>
            <w:tcMar>
              <w:top w:type="dxa" w:w="70"/>
              <w:left w:type="dxa" w:w="120"/>
              <w:bottom w:type="dxa" w:w="70"/>
              <w:right w:type="dxa" w:w="120"/>
            </w:tcMar>
          </w:tcPr>
          <w:p>
            <w:pPr>
              <w:spacing w:after="0" w:line="264"/>
              <w:jc w:val="left"/>
            </w:pPr>
            <w:r>
              <w:rPr>
                <w:b w:val="false"/>
                <w:bCs w:val="false"/>
              </w:rPr>
              <w:t xml:space="preserve">Twilio Programmable Voice or Telnyx</w:t>
            </w:r>
          </w:p>
        </w:tc>
      </w:tr>
      <w:tr>
        <w:tc>
          <w:tcPr>
            <w:tcW w:type="dxa" w:w="1800"/>
            <w:shd w:fill="F4F7F7" w:val="clear"/>
            <w:tcMar>
              <w:top w:type="dxa" w:w="70"/>
              <w:left w:type="dxa" w:w="120"/>
              <w:bottom w:type="dxa" w:w="70"/>
              <w:right w:type="dxa" w:w="120"/>
            </w:tcMar>
          </w:tcPr>
          <w:p>
            <w:pPr>
              <w:spacing w:after="0" w:line="264"/>
              <w:jc w:val="left"/>
            </w:pPr>
            <w:r>
              <w:rPr>
                <w:b w:val="false"/>
                <w:bCs w:val="false"/>
              </w:rPr>
              <w:t xml:space="preserve">Speech-to-text</w:t>
            </w:r>
          </w:p>
        </w:tc>
        <w:tc>
          <w:tcPr>
            <w:tcW w:type="dxa" w:w="3600"/>
            <w:shd w:fill="F4F7F7" w:val="clear"/>
            <w:tcMar>
              <w:top w:type="dxa" w:w="70"/>
              <w:left w:type="dxa" w:w="120"/>
              <w:bottom w:type="dxa" w:w="70"/>
              <w:right w:type="dxa" w:w="120"/>
            </w:tcMar>
          </w:tcPr>
          <w:p>
            <w:pPr>
              <w:spacing w:after="0" w:line="264"/>
              <w:jc w:val="left"/>
            </w:pPr>
            <w:r>
              <w:rPr>
                <w:b w:val="false"/>
                <w:bCs w:val="false"/>
              </w:rPr>
              <w:t xml:space="preserve">Transcribe the prospect in real time</w:t>
            </w:r>
          </w:p>
        </w:tc>
        <w:tc>
          <w:tcPr>
            <w:tcW w:type="dxa" w:w="3960"/>
            <w:shd w:fill="F4F7F7" w:val="clear"/>
            <w:tcMar>
              <w:top w:type="dxa" w:w="70"/>
              <w:left w:type="dxa" w:w="120"/>
              <w:bottom w:type="dxa" w:w="70"/>
              <w:right w:type="dxa" w:w="120"/>
            </w:tcMar>
          </w:tcPr>
          <w:p>
            <w:pPr>
              <w:spacing w:after="0" w:line="264"/>
              <w:jc w:val="left"/>
            </w:pPr>
            <w:r>
              <w:rPr>
                <w:b w:val="false"/>
                <w:bCs w:val="false"/>
              </w:rPr>
              <w:t xml:space="preserve">Deepgram or AssemblyAI</w:t>
            </w:r>
          </w:p>
        </w:tc>
      </w:tr>
      <w:tr>
        <w:tc>
          <w:tcPr>
            <w:tcW w:type="dxa" w:w="1800"/>
            <w:shd w:fill="FFFFFF" w:val="clear"/>
            <w:tcMar>
              <w:top w:type="dxa" w:w="70"/>
              <w:left w:type="dxa" w:w="120"/>
              <w:bottom w:type="dxa" w:w="70"/>
              <w:right w:type="dxa" w:w="120"/>
            </w:tcMar>
          </w:tcPr>
          <w:p>
            <w:pPr>
              <w:spacing w:after="0" w:line="264"/>
              <w:jc w:val="left"/>
            </w:pPr>
            <w:r>
              <w:rPr>
                <w:b w:val="false"/>
                <w:bCs w:val="false"/>
              </w:rPr>
              <w:t xml:space="preserve">Brain (LLM)</w:t>
            </w:r>
          </w:p>
        </w:tc>
        <w:tc>
          <w:tcPr>
            <w:tcW w:type="dxa" w:w="3600"/>
            <w:shd w:fill="FFFFFF" w:val="clear"/>
            <w:tcMar>
              <w:top w:type="dxa" w:w="70"/>
              <w:left w:type="dxa" w:w="120"/>
              <w:bottom w:type="dxa" w:w="70"/>
              <w:right w:type="dxa" w:w="120"/>
            </w:tcMar>
          </w:tcPr>
          <w:p>
            <w:pPr>
              <w:spacing w:after="0" w:line="264"/>
              <w:jc w:val="left"/>
            </w:pPr>
            <w:r>
              <w:rPr>
                <w:b w:val="false"/>
                <w:bCs w:val="false"/>
              </w:rPr>
              <w:t xml:space="preserve">Decide the next line using this playbook</w:t>
            </w:r>
          </w:p>
        </w:tc>
        <w:tc>
          <w:tcPr>
            <w:tcW w:type="dxa" w:w="3960"/>
            <w:shd w:fill="FFFFFF" w:val="clear"/>
            <w:tcMar>
              <w:top w:type="dxa" w:w="70"/>
              <w:left w:type="dxa" w:w="120"/>
              <w:bottom w:type="dxa" w:w="70"/>
              <w:right w:type="dxa" w:w="120"/>
            </w:tcMar>
          </w:tcPr>
          <w:p>
            <w:pPr>
              <w:spacing w:after="0" w:line="264"/>
              <w:jc w:val="left"/>
            </w:pPr>
            <w:r>
              <w:rPr>
                <w:b w:val="false"/>
                <w:bCs w:val="false"/>
              </w:rPr>
              <w:t xml:space="preserve">Claude (Anthropic API)</w:t>
            </w:r>
          </w:p>
        </w:tc>
      </w:tr>
      <w:tr>
        <w:tc>
          <w:tcPr>
            <w:tcW w:type="dxa" w:w="1800"/>
            <w:shd w:fill="F4F7F7" w:val="clear"/>
            <w:tcMar>
              <w:top w:type="dxa" w:w="70"/>
              <w:left w:type="dxa" w:w="120"/>
              <w:bottom w:type="dxa" w:w="70"/>
              <w:right w:type="dxa" w:w="120"/>
            </w:tcMar>
          </w:tcPr>
          <w:p>
            <w:pPr>
              <w:spacing w:after="0" w:line="264"/>
              <w:jc w:val="left"/>
            </w:pPr>
            <w:r>
              <w:rPr>
                <w:b w:val="false"/>
                <w:bCs w:val="false"/>
              </w:rPr>
              <w:t xml:space="preserve">Text-to-speech</w:t>
            </w:r>
          </w:p>
        </w:tc>
        <w:tc>
          <w:tcPr>
            <w:tcW w:type="dxa" w:w="3600"/>
            <w:shd w:fill="F4F7F7" w:val="clear"/>
            <w:tcMar>
              <w:top w:type="dxa" w:w="70"/>
              <w:left w:type="dxa" w:w="120"/>
              <w:bottom w:type="dxa" w:w="70"/>
              <w:right w:type="dxa" w:w="120"/>
            </w:tcMar>
          </w:tcPr>
          <w:p>
            <w:pPr>
              <w:spacing w:after="0" w:line="264"/>
              <w:jc w:val="left"/>
            </w:pPr>
            <w:r>
              <w:rPr>
                <w:b w:val="false"/>
                <w:bCs w:val="false"/>
              </w:rPr>
              <w:t xml:space="preserve">Speak in a soothing human voice</w:t>
            </w:r>
          </w:p>
        </w:tc>
        <w:tc>
          <w:tcPr>
            <w:tcW w:type="dxa" w:w="3960"/>
            <w:shd w:fill="F4F7F7" w:val="clear"/>
            <w:tcMar>
              <w:top w:type="dxa" w:w="70"/>
              <w:left w:type="dxa" w:w="120"/>
              <w:bottom w:type="dxa" w:w="70"/>
              <w:right w:type="dxa" w:w="120"/>
            </w:tcMar>
          </w:tcPr>
          <w:p>
            <w:pPr>
              <w:spacing w:after="0" w:line="264"/>
              <w:jc w:val="left"/>
            </w:pPr>
            <w:r>
              <w:rPr>
                <w:b w:val="false"/>
                <w:bCs w:val="false"/>
              </w:rPr>
              <w:t xml:space="preserve">ElevenLabs or Cartesia (sub-300ms)</w:t>
            </w:r>
          </w:p>
        </w:tc>
      </w:tr>
    </w:tbl>
    <w:p>
      <w:pPr>
        <w:pStyle w:val="Heading2"/>
      </w:pPr>
      <w:r>
        <w:t xml:space="preserve">6.2 Making it sound human, not robotic</w:t>
      </w:r>
    </w:p>
    <w:p>
      <w:pPr>
        <w:pStyle w:val="ListParagraph"/>
        <w:numPr>
          <w:ilvl w:val="0"/>
          <w:numId w:val="2"/>
        </w:numPr>
        <w:spacing w:after="80" w:line="270"/>
      </w:pPr>
      <w:r>
        <w:t xml:space="preserve">Pick a warm, mid-pitch voice and slow the rate slightly (~0.95x). Soothing beats energetic for life insurance.</w:t>
      </w:r>
    </w:p>
    <w:p>
      <w:pPr>
        <w:pStyle w:val="ListParagraph"/>
        <w:numPr>
          <w:ilvl w:val="0"/>
          <w:numId w:val="2"/>
        </w:numPr>
        <w:spacing w:after="80" w:line="270"/>
      </w:pPr>
      <w:r>
        <w:t xml:space="preserve">Add natural fillers and breaths sparingly (“yeah,” “got it,” a short pause) — modern voice platforms support this.</w:t>
      </w:r>
    </w:p>
    <w:p>
      <w:pPr>
        <w:pStyle w:val="ListParagraph"/>
        <w:numPr>
          <w:ilvl w:val="0"/>
          <w:numId w:val="2"/>
        </w:numPr>
        <w:spacing w:after="80" w:line="270"/>
      </w:pPr>
      <w:r>
        <w:t xml:space="preserve">Keep responses short. Humans speak in 1–2 sentence turns, then listen. Long monologues feel like a robot.</w:t>
      </w:r>
    </w:p>
    <w:p>
      <w:pPr>
        <w:pStyle w:val="ListParagraph"/>
        <w:numPr>
          <w:ilvl w:val="0"/>
          <w:numId w:val="2"/>
        </w:numPr>
        <w:spacing w:after="80" w:line="270"/>
      </w:pPr>
      <w:r>
        <w:t xml:space="preserve">Enable barge-in (let the prospect interrupt). Nothing breaks the illusion faster than an AI that won’t stop talking.</w:t>
      </w:r>
    </w:p>
    <w:p>
      <w:pPr>
        <w:pStyle w:val="ListParagraph"/>
        <w:numPr>
          <w:ilvl w:val="0"/>
          <w:numId w:val="2"/>
        </w:numPr>
        <w:spacing w:after="80" w:line="270"/>
      </w:pPr>
      <w:r>
        <w:t xml:space="preserve">Target sub-second response latency end-to-end; &gt;1.5s of silence feels unnatural.</w:t>
      </w:r>
    </w:p>
    <w:p>
      <w:pPr>
        <w:pStyle w:val="ListParagraph"/>
        <w:numPr>
          <w:ilvl w:val="0"/>
          <w:numId w:val="2"/>
        </w:numPr>
        <w:spacing w:after="80" w:line="270"/>
      </w:pPr>
      <w:r>
        <w:t xml:space="preserve">Use the prospect’s name and mirror their words. The script in Section 2 is written for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AF2F2" w:sz="2"/>
              <w:left w:val="single" w:color="0F6B6B" w:sz="24"/>
              <w:bottom w:val="single" w:color="EAF2F2" w:sz="2"/>
              <w:right w:val="single" w:color="EAF2F2" w:sz="2"/>
            </w:tcBorders>
            <w:shd w:fill="EAF2F2" w:val="clear"/>
            <w:tcMar>
              <w:top w:type="dxa" w:w="120"/>
              <w:left w:type="dxa" w:w="200"/>
              <w:bottom w:type="dxa" w:w="120"/>
              <w:right w:type="dxa" w:w="160"/>
            </w:tcMar>
          </w:tcPr>
          <w:p>
            <w:pPr>
              <w:spacing w:after="60"/>
            </w:pPr>
            <w:r>
              <w:rPr>
                <w:b/>
                <w:bCs/>
                <w:color w:val="0D2B3E"/>
              </w:rPr>
              <w:t xml:space="preserve">The demo you already have</w:t>
            </w:r>
          </w:p>
          <w:p>
            <w:pPr>
              <w:spacing w:after="40" w:line="264"/>
            </w:pPr>
            <w:r>
              <w:rPr>
                <w:color w:val="333333"/>
              </w:rPr>
              <w:t xml:space="preserve">The owner “AI Sales Engine” screen in your website speaks each scripted line aloud right now using the browser’s built-in voices, so you can hear the cadence today. Swapping in ElevenLabs or Vapi is a configuration change — replace the browser speech call with the provider’s API and add your phone number. The script, objection logic and scoring are already done.</w:t>
            </w:r>
          </w:p>
        </w:tc>
      </w:tr>
    </w:tbl>
    <w:p>
      <w:pPr>
        <w:pStyle w:val="Heading2"/>
      </w:pPr>
      <w:r>
        <w:t xml:space="preserve">6.3 Where the API keys go</w:t>
      </w:r>
    </w:p>
    <w:p>
      <w:pPr>
        <w:spacing w:after="120" w:line="276"/>
      </w:pPr>
      <w:r>
        <w:t xml:space="preserve">In production you will store provider credentials as server-side environment variables (never in the browser). The integration points the platform expects: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00"/>
        <w:gridCol w:w="5660"/>
      </w:tblGrid>
      <w:tr>
        <w:trPr>
          <w:tblHeader/>
        </w:trPr>
        <w:tc>
          <w:tcPr>
            <w:tcW w:type="dxa" w:w="3700"/>
            <w:shd w:fill="0F6B6B" w:val="clear"/>
            <w:tcMar>
              <w:top w:type="dxa" w:w="70"/>
              <w:left w:type="dxa" w:w="120"/>
              <w:bottom w:type="dxa" w:w="70"/>
              <w:right w:type="dxa" w:w="120"/>
            </w:tcMar>
          </w:tcPr>
          <w:p>
            <w:pPr>
              <w:spacing w:after="0" w:line="264"/>
              <w:jc w:val="left"/>
            </w:pPr>
            <w:r>
              <w:rPr>
                <w:b/>
                <w:bCs/>
                <w:color w:val="FFFFFF"/>
              </w:rPr>
              <w:t xml:space="preserve">Variable</w:t>
            </w:r>
          </w:p>
        </w:tc>
        <w:tc>
          <w:tcPr>
            <w:tcW w:type="dxa" w:w="5660"/>
            <w:shd w:fill="0F6B6B" w:val="clear"/>
            <w:tcMar>
              <w:top w:type="dxa" w:w="70"/>
              <w:left w:type="dxa" w:w="120"/>
              <w:bottom w:type="dxa" w:w="70"/>
              <w:right w:type="dxa" w:w="120"/>
            </w:tcMar>
          </w:tcPr>
          <w:p>
            <w:pPr>
              <w:spacing w:after="0" w:line="264"/>
              <w:jc w:val="left"/>
            </w:pPr>
            <w:r>
              <w:rPr>
                <w:b/>
                <w:bCs/>
                <w:color w:val="FFFFFF"/>
              </w:rPr>
              <w:t xml:space="preserve">Used for</w:t>
            </w:r>
          </w:p>
        </w:tc>
      </w:tr>
      <w:tr>
        <w:tc>
          <w:tcPr>
            <w:tcW w:type="dxa" w:w="3700"/>
            <w:shd w:fill="FFFFFF" w:val="clear"/>
            <w:tcMar>
              <w:top w:type="dxa" w:w="70"/>
              <w:left w:type="dxa" w:w="120"/>
              <w:bottom w:type="dxa" w:w="70"/>
              <w:right w:type="dxa" w:w="120"/>
            </w:tcMar>
          </w:tcPr>
          <w:p>
            <w:pPr>
              <w:spacing w:after="0" w:line="264"/>
              <w:jc w:val="left"/>
            </w:pPr>
            <w:r>
              <w:rPr>
                <w:b w:val="false"/>
                <w:bCs w:val="false"/>
              </w:rPr>
              <w:t xml:space="preserve">TELEPHONY_API_KEY / PHONE_NUMBER</w:t>
            </w:r>
          </w:p>
        </w:tc>
        <w:tc>
          <w:tcPr>
            <w:tcW w:type="dxa" w:w="5660"/>
            <w:shd w:fill="FFFFFF" w:val="clear"/>
            <w:tcMar>
              <w:top w:type="dxa" w:w="70"/>
              <w:left w:type="dxa" w:w="120"/>
              <w:bottom w:type="dxa" w:w="70"/>
              <w:right w:type="dxa" w:w="120"/>
            </w:tcMar>
          </w:tcPr>
          <w:p>
            <w:pPr>
              <w:spacing w:after="0" w:line="264"/>
              <w:jc w:val="left"/>
            </w:pPr>
            <w:r>
              <w:rPr>
                <w:b w:val="false"/>
                <w:bCs w:val="false"/>
              </w:rPr>
              <w:t xml:space="preserve">Twilio/Telnyx — outbound dialing &amp; caller ID</w:t>
            </w:r>
          </w:p>
        </w:tc>
      </w:tr>
      <w:tr>
        <w:tc>
          <w:tcPr>
            <w:tcW w:type="dxa" w:w="3700"/>
            <w:shd w:fill="F4F7F7" w:val="clear"/>
            <w:tcMar>
              <w:top w:type="dxa" w:w="70"/>
              <w:left w:type="dxa" w:w="120"/>
              <w:bottom w:type="dxa" w:w="70"/>
              <w:right w:type="dxa" w:w="120"/>
            </w:tcMar>
          </w:tcPr>
          <w:p>
            <w:pPr>
              <w:spacing w:after="0" w:line="264"/>
              <w:jc w:val="left"/>
            </w:pPr>
            <w:r>
              <w:rPr>
                <w:b w:val="false"/>
                <w:bCs w:val="false"/>
              </w:rPr>
              <w:t xml:space="preserve">VOICE_API_KEY</w:t>
            </w:r>
          </w:p>
        </w:tc>
        <w:tc>
          <w:tcPr>
            <w:tcW w:type="dxa" w:w="5660"/>
            <w:shd w:fill="F4F7F7" w:val="clear"/>
            <w:tcMar>
              <w:top w:type="dxa" w:w="70"/>
              <w:left w:type="dxa" w:w="120"/>
              <w:bottom w:type="dxa" w:w="70"/>
              <w:right w:type="dxa" w:w="120"/>
            </w:tcMar>
          </w:tcPr>
          <w:p>
            <w:pPr>
              <w:spacing w:after="0" w:line="264"/>
              <w:jc w:val="left"/>
            </w:pPr>
            <w:r>
              <w:rPr>
                <w:b w:val="false"/>
                <w:bCs w:val="false"/>
              </w:rPr>
              <w:t xml:space="preserve">ElevenLabs/Cartesia — the human voice</w:t>
            </w:r>
          </w:p>
        </w:tc>
      </w:tr>
      <w:tr>
        <w:tc>
          <w:tcPr>
            <w:tcW w:type="dxa" w:w="3700"/>
            <w:shd w:fill="FFFFFF" w:val="clear"/>
            <w:tcMar>
              <w:top w:type="dxa" w:w="70"/>
              <w:left w:type="dxa" w:w="120"/>
              <w:bottom w:type="dxa" w:w="70"/>
              <w:right w:type="dxa" w:w="120"/>
            </w:tcMar>
          </w:tcPr>
          <w:p>
            <w:pPr>
              <w:spacing w:after="0" w:line="264"/>
              <w:jc w:val="left"/>
            </w:pPr>
            <w:r>
              <w:rPr>
                <w:b w:val="false"/>
                <w:bCs w:val="false"/>
              </w:rPr>
              <w:t xml:space="preserve">LLM_API_KEY</w:t>
            </w:r>
          </w:p>
        </w:tc>
        <w:tc>
          <w:tcPr>
            <w:tcW w:type="dxa" w:w="5660"/>
            <w:shd w:fill="FFFFFF" w:val="clear"/>
            <w:tcMar>
              <w:top w:type="dxa" w:w="70"/>
              <w:left w:type="dxa" w:w="120"/>
              <w:bottom w:type="dxa" w:w="70"/>
              <w:right w:type="dxa" w:w="120"/>
            </w:tcMar>
          </w:tcPr>
          <w:p>
            <w:pPr>
              <w:spacing w:after="0" w:line="264"/>
              <w:jc w:val="left"/>
            </w:pPr>
            <w:r>
              <w:rPr>
                <w:b w:val="false"/>
                <w:bCs w:val="false"/>
              </w:rPr>
              <w:t xml:space="preserve">Anthropic — the conversation brain</w:t>
            </w:r>
          </w:p>
        </w:tc>
      </w:tr>
      <w:tr>
        <w:tc>
          <w:tcPr>
            <w:tcW w:type="dxa" w:w="3700"/>
            <w:shd w:fill="F4F7F7" w:val="clear"/>
            <w:tcMar>
              <w:top w:type="dxa" w:w="70"/>
              <w:left w:type="dxa" w:w="120"/>
              <w:bottom w:type="dxa" w:w="70"/>
              <w:right w:type="dxa" w:w="120"/>
            </w:tcMar>
          </w:tcPr>
          <w:p>
            <w:pPr>
              <w:spacing w:after="0" w:line="264"/>
              <w:jc w:val="left"/>
            </w:pPr>
            <w:r>
              <w:rPr>
                <w:b w:val="false"/>
                <w:bCs w:val="false"/>
              </w:rPr>
              <w:t xml:space="preserve">DNC_API_KEY</w:t>
            </w:r>
          </w:p>
        </w:tc>
        <w:tc>
          <w:tcPr>
            <w:tcW w:type="dxa" w:w="5660"/>
            <w:shd w:fill="F4F7F7" w:val="clear"/>
            <w:tcMar>
              <w:top w:type="dxa" w:w="70"/>
              <w:left w:type="dxa" w:w="120"/>
              <w:bottom w:type="dxa" w:w="70"/>
              <w:right w:type="dxa" w:w="120"/>
            </w:tcMar>
          </w:tcPr>
          <w:p>
            <w:pPr>
              <w:spacing w:after="0" w:line="264"/>
              <w:jc w:val="left"/>
            </w:pPr>
            <w:r>
              <w:rPr>
                <w:b w:val="false"/>
                <w:bCs w:val="false"/>
              </w:rPr>
              <w:t xml:space="preserve">Real-time DNC scrubbing service</w:t>
            </w:r>
          </w:p>
        </w:tc>
      </w:tr>
      <w:tr>
        <w:tc>
          <w:tcPr>
            <w:tcW w:type="dxa" w:w="3700"/>
            <w:shd w:fill="FFFFFF" w:val="clear"/>
            <w:tcMar>
              <w:top w:type="dxa" w:w="70"/>
              <w:left w:type="dxa" w:w="120"/>
              <w:bottom w:type="dxa" w:w="70"/>
              <w:right w:type="dxa" w:w="120"/>
            </w:tcMar>
          </w:tcPr>
          <w:p>
            <w:pPr>
              <w:spacing w:after="0" w:line="264"/>
              <w:jc w:val="left"/>
            </w:pPr>
            <w:r>
              <w:rPr>
                <w:b w:val="false"/>
                <w:bCs w:val="false"/>
              </w:rPr>
              <w:t xml:space="preserve">NIPR_PDB_KEY</w:t>
            </w:r>
          </w:p>
        </w:tc>
        <w:tc>
          <w:tcPr>
            <w:tcW w:type="dxa" w:w="5660"/>
            <w:shd w:fill="FFFFFF" w:val="clear"/>
            <w:tcMar>
              <w:top w:type="dxa" w:w="70"/>
              <w:left w:type="dxa" w:w="120"/>
              <w:bottom w:type="dxa" w:w="70"/>
              <w:right w:type="dxa" w:w="120"/>
            </w:tcMar>
          </w:tcPr>
          <w:p>
            <w:pPr>
              <w:spacing w:after="0" w:line="264"/>
              <w:jc w:val="left"/>
            </w:pPr>
            <w:r>
              <w:rPr>
                <w:b w:val="false"/>
                <w:bCs w:val="false"/>
              </w:rPr>
              <w:t xml:space="preserve">License verification at agent signup</w:t>
            </w:r>
          </w:p>
        </w:tc>
      </w:tr>
      <w:tr>
        <w:tc>
          <w:tcPr>
            <w:tcW w:type="dxa" w:w="3700"/>
            <w:shd w:fill="F4F7F7" w:val="clear"/>
            <w:tcMar>
              <w:top w:type="dxa" w:w="70"/>
              <w:left w:type="dxa" w:w="120"/>
              <w:bottom w:type="dxa" w:w="70"/>
              <w:right w:type="dxa" w:w="120"/>
            </w:tcMar>
          </w:tcPr>
          <w:p>
            <w:pPr>
              <w:spacing w:after="0" w:line="264"/>
              <w:jc w:val="left"/>
            </w:pPr>
            <w:r>
              <w:rPr>
                <w:b w:val="false"/>
                <w:bCs w:val="false"/>
              </w:rPr>
              <w:t xml:space="preserve">PAYMENT_SECRET_KEY</w:t>
            </w:r>
          </w:p>
        </w:tc>
        <w:tc>
          <w:tcPr>
            <w:tcW w:type="dxa" w:w="5660"/>
            <w:shd w:fill="F4F7F7" w:val="clear"/>
            <w:tcMar>
              <w:top w:type="dxa" w:w="70"/>
              <w:left w:type="dxa" w:w="120"/>
              <w:bottom w:type="dxa" w:w="70"/>
              <w:right w:type="dxa" w:w="120"/>
            </w:tcMar>
          </w:tcPr>
          <w:p>
            <w:pPr>
              <w:spacing w:after="0" w:line="264"/>
              <w:jc w:val="left"/>
            </w:pPr>
            <w:r>
              <w:rPr>
                <w:b w:val="false"/>
                <w:bCs w:val="false"/>
              </w:rPr>
              <w:t xml:space="preserve">Stripe — agent lead purchases</w:t>
            </w:r>
          </w:p>
        </w:tc>
      </w:tr>
    </w:tbl>
    <w:p>
      <w:r>
        <w:br w:type="page"/>
      </w:r>
    </w:p>
    <w:p>
      <w:pPr>
        <w:pStyle w:val="Heading1"/>
      </w:pPr>
      <w:r>
        <w:t xml:space="preserve">7. Compliance Guardrails for AI Calling</w:t>
      </w:r>
    </w:p>
    <w:p>
      <w:pPr>
        <w:spacing w:after="140" w:line="276"/>
      </w:pPr>
      <w:r>
        <w:rPr>
          <w:i/>
          <w:iCs/>
          <w:color w:val="5D6F78"/>
        </w:rPr>
        <w:t xml:space="preserve">Read this section twice. AI voice calls are legal, but the rules are strict and the penalties (TCPA) are per-call. Build compliance in from day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BECE8" w:sz="2"/>
              <w:left w:val="single" w:color="C0492F" w:sz="24"/>
              <w:bottom w:val="single" w:color="FBECE8" w:sz="2"/>
              <w:right w:val="single" w:color="FBECE8" w:sz="2"/>
            </w:tcBorders>
            <w:shd w:fill="FBECE8" w:val="clear"/>
            <w:tcMar>
              <w:top w:type="dxa" w:w="120"/>
              <w:left w:type="dxa" w:w="200"/>
              <w:bottom w:type="dxa" w:w="120"/>
              <w:right w:type="dxa" w:w="160"/>
            </w:tcMar>
          </w:tcPr>
          <w:p>
            <w:pPr>
              <w:spacing w:after="60"/>
            </w:pPr>
            <w:r>
              <w:rPr>
                <w:b/>
                <w:bCs/>
                <w:color w:val="0D2B3E"/>
              </w:rPr>
              <w:t xml:space="preserve">AI voice = “artificial voice” under the TCPA</w:t>
            </w:r>
          </w:p>
          <w:p>
            <w:pPr>
              <w:spacing w:after="40" w:line="264"/>
            </w:pPr>
            <w:r>
              <w:rPr>
                <w:color w:val="333333"/>
              </w:rPr>
              <w:t xml:space="preserve">In Feb 2024 the FCC confirmed that AI technologies generating human-sounding voices are “artificial or prerecorded voice” calls under the TCPA. That means you need prior express written consent before the AI dials a consumer’s phone — clear disclosure, not buried in fine print, naming that AI/prerecorded voice calls are authorized and to which number.</w:t>
            </w:r>
          </w:p>
        </w:tc>
      </w:tr>
    </w:tbl>
    <w:p>
      <w:pPr>
        <w:pStyle w:val="Heading3"/>
      </w:pPr>
      <w:r>
        <w:t xml:space="preserve">Your non-negotiable checklist</w:t>
      </w:r>
    </w:p>
    <w:p>
      <w:pPr>
        <w:pStyle w:val="ListParagraph"/>
        <w:numPr>
          <w:ilvl w:val="0"/>
          <w:numId w:val="3"/>
        </w:numPr>
        <w:spacing w:after="80" w:line="270"/>
      </w:pPr>
      <w:r>
        <w:t xml:space="preserve">Prior express written consent: capture it on the lead form (a checkbox + disclosure language) and store the timestamp, IP, and exact language shown. This is your legal shield.</w:t>
      </w:r>
    </w:p>
    <w:p>
      <w:pPr>
        <w:pStyle w:val="ListParagraph"/>
        <w:numPr>
          <w:ilvl w:val="0"/>
          <w:numId w:val="3"/>
        </w:numPr>
        <w:spacing w:after="80" w:line="270"/>
      </w:pPr>
      <w:r>
        <w:t xml:space="preserve">DNC scrubbing: before every call, check the number against the National Do-Not-Call Registry AND your own internal DNC list.</w:t>
      </w:r>
    </w:p>
    <w:p>
      <w:pPr>
        <w:pStyle w:val="ListParagraph"/>
        <w:numPr>
          <w:ilvl w:val="0"/>
          <w:numId w:val="3"/>
        </w:numPr>
        <w:spacing w:after="80" w:line="270"/>
      </w:pPr>
      <w:r>
        <w:t xml:space="preserve">Honor opt-outs instantly and “in any reasonable manner” (FCC Opt-Out Rule, effective April 11, 2025) — “stop,” “remove me,” a reply text, etc. Add them to your internal DNC immediately.</w:t>
      </w:r>
    </w:p>
    <w:p>
      <w:pPr>
        <w:pStyle w:val="ListParagraph"/>
        <w:numPr>
          <w:ilvl w:val="0"/>
          <w:numId w:val="3"/>
        </w:numPr>
        <w:spacing w:after="80" w:line="270"/>
      </w:pPr>
      <w:r>
        <w:t xml:space="preserve">Calling hours: only 8 a.m.–9 p.m. in the prospect’s local time zone.</w:t>
      </w:r>
    </w:p>
    <w:p>
      <w:pPr>
        <w:pStyle w:val="ListParagraph"/>
        <w:numPr>
          <w:ilvl w:val="0"/>
          <w:numId w:val="3"/>
        </w:numPr>
        <w:spacing w:after="80" w:line="270"/>
      </w:pPr>
      <w:r>
        <w:t xml:space="preserve">Identify yourself: state who is calling and a callback number; disclose the recording.</w:t>
      </w:r>
    </w:p>
    <w:p>
      <w:pPr>
        <w:pStyle w:val="ListParagraph"/>
        <w:numPr>
          <w:ilvl w:val="0"/>
          <w:numId w:val="3"/>
        </w:numPr>
        <w:spacing w:after="80" w:line="270"/>
      </w:pPr>
      <w:r>
        <w:t xml:space="preserve">Keep records: retain consent and call recordings to defend any complaint.</w:t>
      </w:r>
    </w:p>
    <w:p>
      <w:pPr>
        <w:spacing w:after="120" w:line="276"/>
      </w:pPr>
      <w:r>
        <w:rPr>
          <w:b/>
          <w:bCs/>
        </w:rPr>
        <w:t xml:space="preserve">Note: </w:t>
      </w:r>
      <w:r>
        <w:t xml:space="preserve">The FCC’s stricter “one-to-one consent” rule was vacated by the 11th Circuit in January 2025, so multi-seller consent is again allowed if disclosures are clear. Rules shift — have a TCPA attorney review your consent language before you scale. This playbook is guidance, not legal advice.</w:t>
      </w:r>
    </w:p>
    <w:p>
      <w:pPr>
        <w:pStyle w:val="Heading1"/>
      </w:pPr>
      <w:r>
        <w:t xml:space="preserve">8. Follow-Up Automation (SMS + Email)</w:t>
      </w:r>
    </w:p>
    <w:p>
      <w:pPr>
        <w:spacing w:after="140" w:line="276"/>
      </w:pPr>
      <w:r>
        <w:rPr>
          <w:i/>
          <w:iCs/>
          <w:color w:val="5D6F78"/>
        </w:rPr>
        <w:t xml:space="preserve">Most leads aren’t closed on call one. These sequences run automatically until the prospect responds, books, or opts out.</w:t>
      </w:r>
    </w:p>
    <w:p>
      <w:pPr>
        <w:pStyle w:val="Heading3"/>
      </w:pPr>
      <w:r>
        <w:t xml:space="preserve">Speed-to-lead sequence (new A/B leads)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6360"/>
      </w:tblGrid>
      <w:tr>
        <w:trPr>
          <w:tblHeader/>
        </w:trPr>
        <w:tc>
          <w:tcPr>
            <w:tcW w:type="dxa" w:w="1500"/>
            <w:shd w:fill="0F6B6B" w:val="clear"/>
            <w:tcMar>
              <w:top w:type="dxa" w:w="70"/>
              <w:left w:type="dxa" w:w="120"/>
              <w:bottom w:type="dxa" w:w="70"/>
              <w:right w:type="dxa" w:w="120"/>
            </w:tcMar>
          </w:tcPr>
          <w:p>
            <w:pPr>
              <w:spacing w:after="0" w:line="264"/>
              <w:jc w:val="left"/>
            </w:pPr>
            <w:r>
              <w:rPr>
                <w:b/>
                <w:bCs/>
                <w:color w:val="FFFFFF"/>
              </w:rPr>
              <w:t xml:space="preserve">When</w:t>
            </w:r>
          </w:p>
        </w:tc>
        <w:tc>
          <w:tcPr>
            <w:tcW w:type="dxa" w:w="1500"/>
            <w:shd w:fill="0F6B6B" w:val="clear"/>
            <w:tcMar>
              <w:top w:type="dxa" w:w="70"/>
              <w:left w:type="dxa" w:w="120"/>
              <w:bottom w:type="dxa" w:w="70"/>
              <w:right w:type="dxa" w:w="120"/>
            </w:tcMar>
          </w:tcPr>
          <w:p>
            <w:pPr>
              <w:spacing w:after="0" w:line="264"/>
              <w:jc w:val="left"/>
            </w:pPr>
            <w:r>
              <w:rPr>
                <w:b/>
                <w:bCs/>
                <w:color w:val="FFFFFF"/>
              </w:rPr>
              <w:t xml:space="preserve">Channel</w:t>
            </w:r>
          </w:p>
        </w:tc>
        <w:tc>
          <w:tcPr>
            <w:tcW w:type="dxa" w:w="6360"/>
            <w:shd w:fill="0F6B6B" w:val="clear"/>
            <w:tcMar>
              <w:top w:type="dxa" w:w="70"/>
              <w:left w:type="dxa" w:w="120"/>
              <w:bottom w:type="dxa" w:w="70"/>
              <w:right w:type="dxa" w:w="120"/>
            </w:tcMar>
          </w:tcPr>
          <w:p>
            <w:pPr>
              <w:spacing w:after="0" w:line="264"/>
              <w:jc w:val="left"/>
            </w:pPr>
            <w:r>
              <w:rPr>
                <w:b/>
                <w:bCs/>
                <w:color w:val="FFFFFF"/>
              </w:rPr>
              <w:t xml:space="preserve">Message</w:t>
            </w:r>
          </w:p>
        </w:tc>
      </w:tr>
      <w:tr>
        <w:tc>
          <w:tcPr>
            <w:tcW w:type="dxa" w:w="1500"/>
            <w:shd w:fill="FFFFFF" w:val="clear"/>
            <w:tcMar>
              <w:top w:type="dxa" w:w="70"/>
              <w:left w:type="dxa" w:w="120"/>
              <w:bottom w:type="dxa" w:w="70"/>
              <w:right w:type="dxa" w:w="120"/>
            </w:tcMar>
          </w:tcPr>
          <w:p>
            <w:pPr>
              <w:spacing w:after="0" w:line="264"/>
              <w:jc w:val="left"/>
            </w:pPr>
            <w:r>
              <w:rPr>
                <w:b w:val="false"/>
                <w:bCs w:val="false"/>
              </w:rPr>
              <w:t xml:space="preserve">0–60 sec</w:t>
            </w:r>
          </w:p>
        </w:tc>
        <w:tc>
          <w:tcPr>
            <w:tcW w:type="dxa" w:w="1500"/>
            <w:shd w:fill="FFFFFF" w:val="clear"/>
            <w:tcMar>
              <w:top w:type="dxa" w:w="70"/>
              <w:left w:type="dxa" w:w="120"/>
              <w:bottom w:type="dxa" w:w="70"/>
              <w:right w:type="dxa" w:w="120"/>
            </w:tcMar>
          </w:tcPr>
          <w:p>
            <w:pPr>
              <w:spacing w:after="0" w:line="264"/>
              <w:jc w:val="left"/>
            </w:pPr>
            <w:r>
              <w:rPr>
                <w:b w:val="false"/>
                <w:bCs w:val="false"/>
              </w:rPr>
              <w:t xml:space="preserve">AI call</w:t>
            </w:r>
          </w:p>
        </w:tc>
        <w:tc>
          <w:tcPr>
            <w:tcW w:type="dxa" w:w="6360"/>
            <w:shd w:fill="FFFFFF" w:val="clear"/>
            <w:tcMar>
              <w:top w:type="dxa" w:w="70"/>
              <w:left w:type="dxa" w:w="120"/>
              <w:bottom w:type="dxa" w:w="70"/>
              <w:right w:type="dxa" w:w="120"/>
            </w:tcMar>
          </w:tcPr>
          <w:p>
            <w:pPr>
              <w:spacing w:after="0" w:line="264"/>
              <w:jc w:val="left"/>
            </w:pPr>
            <w:r>
              <w:rPr>
                <w:b w:val="false"/>
                <w:bCs w:val="false"/>
              </w:rPr>
              <w:t xml:space="preserve">Live call attempt</w:t>
            </w:r>
          </w:p>
        </w:tc>
      </w:tr>
      <w:tr>
        <w:tc>
          <w:tcPr>
            <w:tcW w:type="dxa" w:w="1500"/>
            <w:shd w:fill="F4F7F7" w:val="clear"/>
            <w:tcMar>
              <w:top w:type="dxa" w:w="70"/>
              <w:left w:type="dxa" w:w="120"/>
              <w:bottom w:type="dxa" w:w="70"/>
              <w:right w:type="dxa" w:w="120"/>
            </w:tcMar>
          </w:tcPr>
          <w:p>
            <w:pPr>
              <w:spacing w:after="0" w:line="264"/>
              <w:jc w:val="left"/>
            </w:pPr>
            <w:r>
              <w:rPr>
                <w:b w:val="false"/>
                <w:bCs w:val="false"/>
              </w:rPr>
              <w:t xml:space="preserve">+5 min (no answer)</w:t>
            </w:r>
          </w:p>
        </w:tc>
        <w:tc>
          <w:tcPr>
            <w:tcW w:type="dxa" w:w="1500"/>
            <w:shd w:fill="F4F7F7" w:val="clear"/>
            <w:tcMar>
              <w:top w:type="dxa" w:w="70"/>
              <w:left w:type="dxa" w:w="120"/>
              <w:bottom w:type="dxa" w:w="70"/>
              <w:right w:type="dxa" w:w="120"/>
            </w:tcMar>
          </w:tcPr>
          <w:p>
            <w:pPr>
              <w:spacing w:after="0" w:line="264"/>
              <w:jc w:val="left"/>
            </w:pPr>
            <w:r>
              <w:rPr>
                <w:b w:val="false"/>
                <w:bCs w:val="false"/>
              </w:rPr>
              <w:t xml:space="preserve">SMS</w:t>
            </w:r>
          </w:p>
        </w:tc>
        <w:tc>
          <w:tcPr>
            <w:tcW w:type="dxa" w:w="6360"/>
            <w:shd w:fill="F4F7F7" w:val="clear"/>
            <w:tcMar>
              <w:top w:type="dxa" w:w="70"/>
              <w:left w:type="dxa" w:w="120"/>
              <w:bottom w:type="dxa" w:w="70"/>
              <w:right w:type="dxa" w:w="120"/>
            </w:tcMar>
          </w:tcPr>
          <w:p>
            <w:pPr>
              <w:spacing w:after="0" w:line="264"/>
              <w:jc w:val="left"/>
            </w:pPr>
            <w:r>
              <w:rPr>
                <w:b w:val="false"/>
                <w:bCs w:val="false"/>
              </w:rPr>
              <w:t xml:space="preserve">“Hi [Name], it’s Avery with Aegis Life about the life insurance quote you requested. Is now a good time for a quick call? Reply STOP to opt out.”</w:t>
            </w:r>
          </w:p>
        </w:tc>
      </w:tr>
      <w:tr>
        <w:tc>
          <w:tcPr>
            <w:tcW w:type="dxa" w:w="1500"/>
            <w:shd w:fill="FFFFFF" w:val="clear"/>
            <w:tcMar>
              <w:top w:type="dxa" w:w="70"/>
              <w:left w:type="dxa" w:w="120"/>
              <w:bottom w:type="dxa" w:w="70"/>
              <w:right w:type="dxa" w:w="120"/>
            </w:tcMar>
          </w:tcPr>
          <w:p>
            <w:pPr>
              <w:spacing w:after="0" w:line="264"/>
              <w:jc w:val="left"/>
            </w:pPr>
            <w:r>
              <w:rPr>
                <w:b w:val="false"/>
                <w:bCs w:val="false"/>
              </w:rPr>
              <w:t xml:space="preserve">+1 hour</w:t>
            </w:r>
          </w:p>
        </w:tc>
        <w:tc>
          <w:tcPr>
            <w:tcW w:type="dxa" w:w="1500"/>
            <w:shd w:fill="FFFFFF" w:val="clear"/>
            <w:tcMar>
              <w:top w:type="dxa" w:w="70"/>
              <w:left w:type="dxa" w:w="120"/>
              <w:bottom w:type="dxa" w:w="70"/>
              <w:right w:type="dxa" w:w="120"/>
            </w:tcMar>
          </w:tcPr>
          <w:p>
            <w:pPr>
              <w:spacing w:after="0" w:line="264"/>
              <w:jc w:val="left"/>
            </w:pPr>
            <w:r>
              <w:rPr>
                <w:b w:val="false"/>
                <w:bCs w:val="false"/>
              </w:rPr>
              <w:t xml:space="preserve">Email</w:t>
            </w:r>
          </w:p>
        </w:tc>
        <w:tc>
          <w:tcPr>
            <w:tcW w:type="dxa" w:w="6360"/>
            <w:shd w:fill="FFFFFF" w:val="clear"/>
            <w:tcMar>
              <w:top w:type="dxa" w:w="70"/>
              <w:left w:type="dxa" w:w="120"/>
              <w:bottom w:type="dxa" w:w="70"/>
              <w:right w:type="dxa" w:w="120"/>
            </w:tcMar>
          </w:tcPr>
          <w:p>
            <w:pPr>
              <w:spacing w:after="0" w:line="264"/>
              <w:jc w:val="left"/>
            </w:pPr>
            <w:r>
              <w:rPr>
                <w:b w:val="false"/>
                <w:bCs w:val="false"/>
              </w:rPr>
              <w:t xml:space="preserve">Personalized quote summary + the 1–3 recommended carriers</w:t>
            </w:r>
          </w:p>
        </w:tc>
      </w:tr>
      <w:tr>
        <w:tc>
          <w:tcPr>
            <w:tcW w:type="dxa" w:w="1500"/>
            <w:shd w:fill="F4F7F7" w:val="clear"/>
            <w:tcMar>
              <w:top w:type="dxa" w:w="70"/>
              <w:left w:type="dxa" w:w="120"/>
              <w:bottom w:type="dxa" w:w="70"/>
              <w:right w:type="dxa" w:w="120"/>
            </w:tcMar>
          </w:tcPr>
          <w:p>
            <w:pPr>
              <w:spacing w:after="0" w:line="264"/>
              <w:jc w:val="left"/>
            </w:pPr>
            <w:r>
              <w:rPr>
                <w:b w:val="false"/>
                <w:bCs w:val="false"/>
              </w:rPr>
              <w:t xml:space="preserve">+1 day</w:t>
            </w:r>
          </w:p>
        </w:tc>
        <w:tc>
          <w:tcPr>
            <w:tcW w:type="dxa" w:w="1500"/>
            <w:shd w:fill="F4F7F7" w:val="clear"/>
            <w:tcMar>
              <w:top w:type="dxa" w:w="70"/>
              <w:left w:type="dxa" w:w="120"/>
              <w:bottom w:type="dxa" w:w="70"/>
              <w:right w:type="dxa" w:w="120"/>
            </w:tcMar>
          </w:tcPr>
          <w:p>
            <w:pPr>
              <w:spacing w:after="0" w:line="264"/>
              <w:jc w:val="left"/>
            </w:pPr>
            <w:r>
              <w:rPr>
                <w:b w:val="false"/>
                <w:bCs w:val="false"/>
              </w:rPr>
              <w:t xml:space="preserve">AI call</w:t>
            </w:r>
          </w:p>
        </w:tc>
        <w:tc>
          <w:tcPr>
            <w:tcW w:type="dxa" w:w="6360"/>
            <w:shd w:fill="F4F7F7" w:val="clear"/>
            <w:tcMar>
              <w:top w:type="dxa" w:w="70"/>
              <w:left w:type="dxa" w:w="120"/>
              <w:bottom w:type="dxa" w:w="70"/>
              <w:right w:type="dxa" w:w="120"/>
            </w:tcMar>
          </w:tcPr>
          <w:p>
            <w:pPr>
              <w:spacing w:after="0" w:line="264"/>
              <w:jc w:val="left"/>
            </w:pPr>
            <w:r>
              <w:rPr>
                <w:b w:val="false"/>
                <w:bCs w:val="false"/>
              </w:rPr>
              <w:t xml:space="preserve">Second attempt, different time of day</w:t>
            </w:r>
          </w:p>
        </w:tc>
      </w:tr>
      <w:tr>
        <w:tc>
          <w:tcPr>
            <w:tcW w:type="dxa" w:w="1500"/>
            <w:shd w:fill="FFFFFF" w:val="clear"/>
            <w:tcMar>
              <w:top w:type="dxa" w:w="70"/>
              <w:left w:type="dxa" w:w="120"/>
              <w:bottom w:type="dxa" w:w="70"/>
              <w:right w:type="dxa" w:w="120"/>
            </w:tcMar>
          </w:tcPr>
          <w:p>
            <w:pPr>
              <w:spacing w:after="0" w:line="264"/>
              <w:jc w:val="left"/>
            </w:pPr>
            <w:r>
              <w:rPr>
                <w:b w:val="false"/>
                <w:bCs w:val="false"/>
              </w:rPr>
              <w:t xml:space="preserve">+3 days</w:t>
            </w:r>
          </w:p>
        </w:tc>
        <w:tc>
          <w:tcPr>
            <w:tcW w:type="dxa" w:w="1500"/>
            <w:shd w:fill="FFFFFF" w:val="clear"/>
            <w:tcMar>
              <w:top w:type="dxa" w:w="70"/>
              <w:left w:type="dxa" w:w="120"/>
              <w:bottom w:type="dxa" w:w="70"/>
              <w:right w:type="dxa" w:w="120"/>
            </w:tcMar>
          </w:tcPr>
          <w:p>
            <w:pPr>
              <w:spacing w:after="0" w:line="264"/>
              <w:jc w:val="left"/>
            </w:pPr>
            <w:r>
              <w:rPr>
                <w:b w:val="false"/>
                <w:bCs w:val="false"/>
              </w:rPr>
              <w:t xml:space="preserve">SMS</w:t>
            </w:r>
          </w:p>
        </w:tc>
        <w:tc>
          <w:tcPr>
            <w:tcW w:type="dxa" w:w="6360"/>
            <w:shd w:fill="FFFFFF" w:val="clear"/>
            <w:tcMar>
              <w:top w:type="dxa" w:w="70"/>
              <w:left w:type="dxa" w:w="120"/>
              <w:bottom w:type="dxa" w:w="70"/>
              <w:right w:type="dxa" w:w="120"/>
            </w:tcMar>
          </w:tcPr>
          <w:p>
            <w:pPr>
              <w:spacing w:after="0" w:line="264"/>
              <w:jc w:val="left"/>
            </w:pPr>
            <w:r>
              <w:rPr>
                <w:b w:val="false"/>
                <w:bCs w:val="false"/>
              </w:rPr>
              <w:t xml:space="preserve">“Still want me to hold your quote at today’s rate, [Name]? Just reply YES.”</w:t>
            </w:r>
          </w:p>
        </w:tc>
      </w:tr>
    </w:tbl>
    <w:p>
      <w:pPr>
        <w:spacing w:after="60"/>
      </w:pPr>
      <w:r>
        <w:t xml:space="preserve"/>
      </w:r>
    </w:p>
    <w:p>
      <w:pPr>
        <w:pStyle w:val="Heading3"/>
      </w:pPr>
      <w:r>
        <w:t xml:space="preserve">Nurture sequence (C/D / “researching”)</w:t>
      </w:r>
    </w:p>
    <w:p>
      <w:pPr>
        <w:pStyle w:val="ListParagraph"/>
        <w:numPr>
          <w:ilvl w:val="0"/>
          <w:numId w:val="2"/>
        </w:numPr>
        <w:spacing w:after="80" w:line="270"/>
      </w:pPr>
      <w:r>
        <w:t xml:space="preserve">Weekly educational email (“Term vs. whole life,” “How much coverage do you really need?”).</w:t>
      </w:r>
    </w:p>
    <w:p>
      <w:pPr>
        <w:pStyle w:val="ListParagraph"/>
        <w:numPr>
          <w:ilvl w:val="0"/>
          <w:numId w:val="2"/>
        </w:numPr>
        <w:spacing w:after="80" w:line="270"/>
      </w:pPr>
      <w:r>
        <w:t xml:space="preserve">Monthly friendly check-in call from the AI.</w:t>
      </w:r>
    </w:p>
    <w:p>
      <w:pPr>
        <w:pStyle w:val="ListParagraph"/>
        <w:numPr>
          <w:ilvl w:val="0"/>
          <w:numId w:val="2"/>
        </w:numPr>
        <w:spacing w:after="80" w:line="270"/>
      </w:pPr>
      <w:r>
        <w:t xml:space="preserve">Re-score on any engagement (email click, reply) and promote to the speed-to-lead sequence when they heat up.</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6F1E7" w:sz="2"/>
              <w:left w:val="single" w:color="B57E1F" w:sz="24"/>
              <w:bottom w:val="single" w:color="F6F1E7" w:sz="2"/>
              <w:right w:val="single" w:color="F6F1E7" w:sz="2"/>
            </w:tcBorders>
            <w:shd w:fill="F6F1E7" w:val="clear"/>
            <w:tcMar>
              <w:top w:type="dxa" w:w="120"/>
              <w:left w:type="dxa" w:w="200"/>
              <w:bottom w:type="dxa" w:w="120"/>
              <w:right w:type="dxa" w:w="160"/>
            </w:tcMar>
          </w:tcPr>
          <w:p>
            <w:pPr>
              <w:spacing w:after="60"/>
            </w:pPr>
            <w:r>
              <w:rPr>
                <w:b/>
                <w:bCs/>
                <w:color w:val="0D2B3E"/>
              </w:rPr>
              <w:t xml:space="preserve">Every automated message carries an opt-out</w:t>
            </w:r>
          </w:p>
          <w:p>
            <w:pPr>
              <w:spacing w:after="40" w:line="264"/>
            </w:pPr>
            <w:r>
              <w:rPr>
                <w:color w:val="333333"/>
              </w:rPr>
              <w:t xml:space="preserve">SMS must include “Reply STOP to opt out”; email must have an unsubscribe link. Opt-outs flow straight into your internal DNC and stop all sequences instantly. This is both the law and good manners — and it keeps your sender reputation clean.</w:t>
            </w:r>
          </w:p>
        </w:tc>
      </w:tr>
    </w:tbl>
    <w:p>
      <w:pPr>
        <w:spacing w:before="240"/>
      </w:pPr>
      <w:r>
        <w:rPr>
          <w:b/>
          <w:bCs/>
          <w:color w:val="0F6B6B"/>
        </w:rPr>
        <w:t xml:space="preserve">Sources &amp; further reading</w:t>
      </w:r>
    </w:p>
    <w:p>
      <w:pPr>
        <w:spacing w:after="120" w:line="276"/>
      </w:pPr>
      <w:r>
        <w:t xml:space="preserve">FCC — AI voices under the TCPA: </w:t>
      </w:r>
      <w:hyperlink w:history="1" r:id="rIdy4ed_dy8o_yprugytarwc">
        <w:r>
          <w:rPr>
            <w:rStyle w:val="Hyperlink"/>
          </w:rPr>
          <w:t xml:space="preserve">fcc.gov</w:t>
        </w:r>
      </w:hyperlink>
    </w:p>
    <w:p>
      <w:pPr>
        <w:spacing w:after="120" w:line="276"/>
      </w:pPr>
      <w:r>
        <w:t xml:space="preserve">TCPA consent guidance: </w:t>
      </w:r>
      <w:hyperlink w:history="1" r:id="rIdkf3l-klahlq9ib_lvpmrj">
        <w:r>
          <w:rPr>
            <w:rStyle w:val="Hyperlink"/>
          </w:rPr>
          <w:t xml:space="preserve">activeprospect.com/blog/tcpa-consent</w:t>
        </w:r>
      </w:hyperlink>
    </w:p>
    <w:p>
      <w:pPr>
        <w:spacing w:after="120" w:line="276"/>
      </w:pPr>
      <w:r>
        <w:t xml:space="preserve">FCC Opt-Out Rule (Apr 2025): </w:t>
      </w:r>
      <w:hyperlink w:history="1" r:id="rId2i9nrcokna3uhcbowdk7r">
        <w:r>
          <w:rPr>
            <w:rStyle w:val="Hyperlink"/>
          </w:rPr>
          <w:t xml:space="preserve">bclplaw.com</w:t>
        </w:r>
      </w:hyperlink>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C9A3" w:sz="4" w:space="6"/>
      </w:pBdr>
      <w:jc w:val="center"/>
    </w:pPr>
    <w:r>
      <w:rPr>
        <w:color w:val="5D6F78"/>
        <w:sz w:val="18"/>
        <w:szCs w:val="18"/>
      </w:rPr>
      <w:t xml:space="preserve">AI Calling Playbook   ·   Page </w:t>
    </w:r>
    <w:r>
      <w:rPr>
        <w:color w:val="5D6F7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C9A3" w:sz="4" w:space="6"/>
      </w:pBdr>
      <w:jc w:val="right"/>
    </w:pPr>
    <w:r>
      <w:rPr>
        <w:b/>
        <w:bCs/>
        <w:color w:val="0D2B3E"/>
        <w:sz w:val="18"/>
        <w:szCs w:val="18"/>
      </w:rPr>
      <w:t xml:space="preserve">AEGIS LIFE</w:t>
    </w:r>
    <w:r>
      <w:rPr>
        <w:color w:val="5D6F78"/>
        <w:sz w:val="18"/>
        <w:szCs w:val="18"/>
      </w:rPr>
      <w:t xml:space="preserve">  ·  AI Life Insurance Lead Platform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20" w:hanging="260"/>
      </w:pPr>
    </w:lvl>
    <w:lvl w:ilvl="1" w15:tentative="1">
      <w:start w:val="1"/>
      <w:numFmt w:val="bullet"/>
      <w:lvlText w:val="◦"/>
      <w:lvlJc w:val="left"/>
      <w:pPr>
        <w:ind w:left="1040" w:hanging="260"/>
      </w:pPr>
    </w:lvl>
  </w:abstractNum>
  <w:abstractNum w:abstractNumId="3" w15:restartNumberingAfterBreak="0">
    <w:multiLevelType w:val="hybridMultilevel"/>
    <w:lvl w:ilvl="0" w15:tentative="1">
      <w:start w:val="1"/>
      <w:numFmt w:val="decimal"/>
      <w:lvlText w:val="%1."/>
      <w:lvlJc w:val="left"/>
      <w:pPr>
        <w:ind w:left="520" w:hanging="280"/>
      </w:pPr>
    </w:lvl>
  </w:abstractNum>
  <w:abstractNum w:abstractNumId="4" w15:restartNumberingAfterBreak="0">
    <w:multiLevelType w:val="hybridMultilevel"/>
    <w:lvl w:ilvl="0" w15:tentative="1">
      <w:start w:val="1"/>
      <w:numFmt w:val="decimal"/>
      <w:lvlText w:val="Step %1 —"/>
      <w:lvlJc w:val="left"/>
      <w:pPr>
        <w:ind w:left="760" w:hanging="5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120"/>
    </w:pPr>
    <w:rPr>
      <w:rFonts w:ascii="Calibri" w:cs="Calibri" w:eastAsia="Calibri" w:hAnsi="Calibri"/>
      <w:b/>
      <w:bCs/>
      <w:color w:val="0D2B3E"/>
      <w:sz w:val="56"/>
      <w:szCs w:val="56"/>
    </w:rPr>
  </w:style>
  <w:style w:type="paragraph" w:styleId="Heading1">
    <w:name w:val="Heading 1"/>
    <w:basedOn w:val="Normal"/>
    <w:next w:val="Normal"/>
    <w:qFormat/>
    <w:pPr>
      <w:pBdr>
        <w:bottom w:val="single" w:color="D9C9A3" w:sz="6" w:space="6"/>
      </w:pBdr>
      <w:spacing w:after="140" w:before="300"/>
      <w:outlineLvl w:val="0"/>
    </w:pPr>
    <w:rPr>
      <w:rFonts w:ascii="Calibri" w:cs="Calibri" w:eastAsia="Calibri" w:hAnsi="Calibri"/>
      <w:b/>
      <w:bCs/>
      <w:color w:val="0F6B6B"/>
      <w:sz w:val="32"/>
      <w:szCs w:val="32"/>
    </w:rPr>
  </w:style>
  <w:style w:type="paragraph" w:styleId="Heading2">
    <w:name w:val="Heading 2"/>
    <w:basedOn w:val="Normal"/>
    <w:next w:val="Normal"/>
    <w:qFormat/>
    <w:pPr>
      <w:spacing w:after="100" w:before="220"/>
      <w:outlineLvl w:val="1"/>
    </w:pPr>
    <w:rPr>
      <w:rFonts w:ascii="Calibri" w:cs="Calibri" w:eastAsia="Calibri" w:hAnsi="Calibri"/>
      <w:b/>
      <w:bCs/>
      <w:color w:val="0D2B3E"/>
      <w:sz w:val="26"/>
      <w:szCs w:val="26"/>
    </w:rPr>
  </w:style>
  <w:style w:type="paragraph" w:styleId="Heading3">
    <w:name w:val="Heading 3"/>
    <w:basedOn w:val="Normal"/>
    <w:next w:val="Normal"/>
    <w:qFormat/>
    <w:pPr>
      <w:spacing w:after="60" w:before="160"/>
      <w:outlineLvl w:val="2"/>
    </w:pPr>
    <w:rPr>
      <w:rFonts w:ascii="Calibri" w:cs="Calibri" w:eastAsia="Calibri" w:hAnsi="Calibri"/>
      <w:b/>
      <w:bCs/>
      <w:color w:val="B57E1F"/>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y4ed_dy8o_yprugytarwc" Type="http://schemas.openxmlformats.org/officeDocument/2006/relationships/hyperlink" Target="https://www.fcc.gov/document/fcc-confirms-tcpa-applies-ai-technologies-generate-human-voices" TargetMode="External"/><Relationship Id="rIdkf3l-klahlq9ib_lvpmrj" Type="http://schemas.openxmlformats.org/officeDocument/2006/relationships/hyperlink" Target="https://activeprospect.com/blog/tcpa-consent/" TargetMode="External"/><Relationship Id="rId2i9nrcokna3uhcbowdk7r" Type="http://schemas.openxmlformats.org/officeDocument/2006/relationships/hyperlink" Target="https://www.bclplaw.com/en-US/events-insights-news/the-tcpas-new-opt-out-rules-take-effect-on-april-11-2025-what-does-this-mean-for-businesses.html"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2026-06-04T17:28:12.493Z</dcterms:created>
  <dcterms:modified xsi:type="dcterms:W3CDTF">2026-06-04T17:28:12.494Z</dcterms:modified>
</cp:coreProperties>
</file>

<file path=docProps/custom.xml><?xml version="1.0" encoding="utf-8"?>
<Properties xmlns="http://schemas.openxmlformats.org/officeDocument/2006/custom-properties" xmlns:vt="http://schemas.openxmlformats.org/officeDocument/2006/docPropsVTypes"/>
</file>