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E7D32"/>
          <w:sz w:val="28"/>
        </w:rPr>
        <w:t>LifeForest</w:t>
      </w:r>
    </w:p>
    <w:p>
      <w:pPr>
        <w:spacing w:before="880" w:after="160"/>
      </w:pPr>
      <w:r>
        <w:rPr>
          <w:rFonts w:ascii="Arial" w:hAnsi="Arial"/>
          <w:b/>
          <w:color w:val="1F2933"/>
          <w:sz w:val="60"/>
        </w:rPr>
        <w:t>Security Evidence</w:t>
      </w:r>
    </w:p>
    <w:p>
      <w:pPr>
        <w:spacing w:after="360"/>
      </w:pPr>
      <w:r>
        <w:rPr>
          <w:b w:val="0"/>
          <w:color w:val="5F6B75"/>
        </w:rPr>
        <w:t>Applied ISO/IEC 25010 security quality characteristic for the LifeForest full-stack application.</w:t>
      </w:r>
    </w:p>
    <w:tbl>
      <w:tblPr>
        <w:tblW w:type="auto" w:w="0"/>
        <w:jc w:val="left"/>
        <w:tblLayout w:type="fixed"/>
        <w:tblLook w:firstColumn="1" w:firstRow="1" w:lastColumn="0" w:lastRow="0" w:noHBand="0" w:noVBand="1" w:val="04A0"/>
      </w:tblPr>
      <w:tblGrid>
        <w:gridCol w:w="4968"/>
        <w:gridCol w:w="4968"/>
      </w:tblGrid>
      <w:tr>
        <w:tc>
          <w:tcPr>
            <w:tcW w:type="dxa" w:w="2304"/>
            <w:shd w:fill="E8F5E9"/>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rPr>
                <w:b/>
              </w:rPr>
              <w:t>Project</w:t>
            </w:r>
          </w:p>
        </w:tc>
        <w:tc>
          <w:tcPr>
            <w:tcW w:type="dxa" w:w="6480"/>
            <w:shd w:fill="F4F6F8"/>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t>LifeForest</w:t>
            </w:r>
          </w:p>
        </w:tc>
      </w:tr>
      <w:tr>
        <w:tc>
          <w:tcPr>
            <w:tcW w:type="dxa" w:w="2304"/>
            <w:shd w:fill="E8F5E9"/>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rPr>
                <w:b/>
              </w:rPr>
              <w:t>Stack</w:t>
            </w:r>
          </w:p>
        </w:tc>
        <w:tc>
          <w:tcPr>
            <w:tcW w:type="dxa" w:w="6480"/>
            <w:shd w:fill="F4F6F8"/>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t>Expo React Native frontend, Spring Boot API, PostgreSQL</w:t>
            </w:r>
          </w:p>
        </w:tc>
      </w:tr>
      <w:tr>
        <w:tc>
          <w:tcPr>
            <w:tcW w:type="dxa" w:w="2304"/>
            <w:shd w:fill="E8F5E9"/>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rPr>
                <w:b/>
              </w:rPr>
              <w:t>Date</w:t>
            </w:r>
          </w:p>
        </w:tc>
        <w:tc>
          <w:tcPr>
            <w:tcW w:type="dxa" w:w="6480"/>
            <w:shd w:fill="F4F6F8"/>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t>03 June 2026</w:t>
            </w:r>
          </w:p>
        </w:tc>
      </w:tr>
      <w:tr>
        <w:tc>
          <w:tcPr>
            <w:tcW w:type="dxa" w:w="2304"/>
            <w:shd w:fill="E8F5E9"/>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rPr>
                <w:b/>
              </w:rPr>
              <w:t>Purpose</w:t>
            </w:r>
          </w:p>
        </w:tc>
        <w:tc>
          <w:tcPr>
            <w:tcW w:type="dxa" w:w="6480"/>
            <w:shd w:fill="F4F6F8"/>
            <w:tcBorders>
              <w:top w:val="single" w:sz="0" w:space="0" w:color="FFFFFF"/>
              <w:left w:val="single" w:sz="0" w:space="0" w:color="FFFFFF"/>
              <w:bottom w:val="single" w:sz="0" w:space="0" w:color="FFFFFF"/>
              <w:right w:val="single" w:sz="0" w:space="0" w:color="FFFFFF"/>
            </w:tcBorders>
            <w:tcMar>
              <w:top w:w="90" w:type="dxa"/>
              <w:start w:w="120" w:type="dxa"/>
              <w:bottom w:w="90" w:type="dxa"/>
              <w:end w:w="120" w:type="dxa"/>
            </w:tcMar>
            <w:vAlign w:val="center"/>
          </w:tcPr>
          <w:p>
            <w:r>
              <w:t>Show where security was implemented, evaluated, and tested in the project.</w:t>
            </w:r>
          </w:p>
        </w:tc>
      </w:tr>
    </w:tbl>
    <w:tbl>
      <w:tblPr>
        <w:tblW w:type="auto" w:w="0"/>
        <w:jc w:val="left"/>
        <w:tblLayout w:type="fixed"/>
        <w:tblLook w:firstColumn="1" w:firstRow="1" w:lastColumn="0" w:lastRow="0" w:noHBand="0" w:noVBand="1" w:val="04A0"/>
      </w:tblPr>
      <w:tblGrid>
        <w:gridCol w:w="9936"/>
      </w:tblGrid>
      <w:tr>
        <w:tc>
          <w:tcPr>
            <w:tcW w:type="dxa" w:w="9936"/>
            <w:shd w:fill="EAF2F8"/>
            <w:tcBorders>
              <w:top w:val="single" w:sz="6" w:space="0" w:color="B7D6EA"/>
              <w:left w:val="single" w:sz="6" w:space="0" w:color="B7D6EA"/>
              <w:bottom w:val="single" w:sz="6" w:space="0" w:color="B7D6EA"/>
              <w:right w:val="single" w:sz="6" w:space="0" w:color="B7D6EA"/>
            </w:tcBorders>
            <w:tcMar>
              <w:top w:w="160" w:type="dxa"/>
              <w:start w:w="180" w:type="dxa"/>
              <w:bottom w:w="160" w:type="dxa"/>
              <w:end w:w="180" w:type="dxa"/>
            </w:tcMar>
          </w:tcPr>
          <w:p>
            <w:r>
              <w:rPr>
                <w:b/>
                <w:color w:val="1F2933"/>
              </w:rPr>
              <w:t xml:space="preserve">Security goal: </w:t>
            </w:r>
            <w:r>
              <w:rPr>
                <w:b w:val="0"/>
                <w:color w:val="1F2933"/>
              </w:rPr>
              <w:t>protect user accounts and productivity data by applying secure coding practices, validating input, hashing passwords, using JWT-based authentication, and checking dependencies with automated tools.</w:t>
            </w:r>
          </w:p>
        </w:tc>
      </w:tr>
    </w:tbl>
    <w:p>
      <w:pPr>
        <w:sectPr>
          <w:footerReference w:type="default" r:id="rId9"/>
          <w:pgSz w:w="12240" w:h="15840"/>
          <w:pgMar w:top="1080" w:right="1152" w:bottom="1080" w:left="1152" w:header="720" w:footer="720" w:gutter="0"/>
          <w:cols w:space="720"/>
          <w:docGrid w:linePitch="360"/>
        </w:sectPr>
      </w:pPr>
    </w:p>
    <w:p>
      <w:pPr>
        <w:pStyle w:val="Heading1"/>
      </w:pPr>
      <w:r>
        <w:t>1. What Security Means In LifeForest</w:t>
      </w:r>
    </w:p>
    <w:p>
      <w:r>
        <w:t>Security in LifeForest means protecting user accounts, routines, tasks, focus sessions, reflections, trees, analytics, and authentication data from misuse. It covers secure coding, input validation, authentication, dependency safety, and review against common OWASP web risks.</w:t>
      </w:r>
    </w:p>
    <w:p>
      <w:pPr>
        <w:pStyle w:val="ListBullet"/>
        <w:spacing w:after="60"/>
      </w:pPr>
      <w:r>
        <w:t>Credential protection: passwords are stored as hashes, not as plain text.</w:t>
      </w:r>
    </w:p>
    <w:p>
      <w:pPr>
        <w:pStyle w:val="ListBullet"/>
        <w:spacing w:after="60"/>
      </w:pPr>
      <w:r>
        <w:t>Input safety: request DTOs use validation annotations for email, required fields, and maximum sizes.</w:t>
      </w:r>
    </w:p>
    <w:p>
      <w:pPr>
        <w:pStyle w:val="ListBullet"/>
        <w:spacing w:after="60"/>
      </w:pPr>
      <w:r>
        <w:t>Authentication: login verifies credentials and issues signed JWT tokens with an expiration time.</w:t>
      </w:r>
    </w:p>
    <w:p>
      <w:pPr>
        <w:pStyle w:val="ListBullet"/>
        <w:spacing w:after="60"/>
      </w:pPr>
      <w:r>
        <w:t>Error handling: validation and domain errors are returned through a central exception handler.</w:t>
      </w:r>
    </w:p>
    <w:p>
      <w:pPr>
        <w:pStyle w:val="ListBullet"/>
        <w:spacing w:after="60"/>
      </w:pPr>
      <w:r>
        <w:t>Security testing: backend dependencies, frontend dependencies, and optional OWASP ZAP scans are documented and automated.</w:t>
      </w:r>
    </w:p>
    <w:p>
      <w:pPr>
        <w:pStyle w:val="Heading1"/>
      </w:pPr>
      <w:r>
        <w:t>2. Where I Applied It</w:t>
      </w:r>
    </w:p>
    <w:tbl>
      <w:tblPr>
        <w:tblW w:type="auto" w:w="0"/>
        <w:jc w:val="left"/>
        <w:tblLayout w:type="fixed"/>
        <w:tblLook w:firstColumn="1" w:firstRow="1" w:lastColumn="0" w:lastRow="0" w:noHBand="0" w:noVBand="1" w:val="04A0"/>
      </w:tblPr>
      <w:tblGrid>
        <w:gridCol w:w="3312"/>
        <w:gridCol w:w="3312"/>
        <w:gridCol w:w="3312"/>
      </w:tblGrid>
      <w:tr>
        <w:tc>
          <w:tcPr>
            <w:tcW w:type="dxa" w:w="2232"/>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Security area</w:t>
            </w:r>
          </w:p>
        </w:tc>
        <w:tc>
          <w:tcPr>
            <w:tcW w:type="dxa" w:w="3960"/>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Applied decision</w:t>
            </w:r>
          </w:p>
        </w:tc>
        <w:tc>
          <w:tcPr>
            <w:tcW w:type="dxa" w:w="3744"/>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Project evidence</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Password storage</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Spring Security BCrypt is configured as the PasswordEncoder, and registration stores encoded passwords.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SecurityConfig.java lines 24-25; UserService.java line 33.</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Login validation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Login normalizes email, verifies the password hash, and rejects invalid credentials.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AuthService.java lines 23-32.</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JWT sessions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JWT tokens are signed, include issue/expiration times, and have validation logic for expired or invalid tokens.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JwtService.java lines 21-40; application.yml lines 15-16.</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Input validation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DTOs use @NotBlank, @Email, and @Size to reject malformed or oversized input before business logic runs.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UserCreateRequestDto.java lines 8-17; LoginRequestDto.java line 8; task/routine/reflection DTOs also use @Size.</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Central error responses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Validation errors and domain errors are handled in one RestControllerAdvice instead of leaking raw exceptions.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GlobalExceptionHandler.java lines 36-49.</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Dependency security</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Backend OWASP Dependency-Check and frontend npm audit are available locally and in CI.</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security-check.ps1 lines 26-46; ci.yml lines 69-70 and 132.</w:t>
            </w:r>
          </w:p>
        </w:tc>
      </w:tr>
    </w:tbl>
    <w:p>
      <w:pPr>
        <w:pStyle w:val="Heading1"/>
      </w:pPr>
      <w:r>
        <w:t>3. OWASP Top 10 Evaluation</w:t>
      </w:r>
    </w:p>
    <w:p>
      <w:r>
        <w:t>I used the OWASP Top 10 as a review checklist for LifeForest. The project contains a dedicated assessment file that records what to check, which evidence or command supports each check, and which issues still need attention.</w:t>
      </w:r>
    </w:p>
    <w:tbl>
      <w:tblPr>
        <w:tblW w:type="auto" w:w="0"/>
        <w:jc w:val="left"/>
        <w:tblLayout w:type="fixed"/>
        <w:tblLook w:firstColumn="1" w:firstRow="1" w:lastColumn="0" w:lastRow="0" w:noHBand="0" w:noVBand="1" w:val="04A0"/>
      </w:tblPr>
      <w:tblGrid>
        <w:gridCol w:w="3312"/>
        <w:gridCol w:w="3312"/>
        <w:gridCol w:w="3312"/>
      </w:tblGrid>
      <w:tr>
        <w:tc>
          <w:tcPr>
            <w:tcW w:type="dxa" w:w="2592"/>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OWASP risk</w:t>
            </w:r>
          </w:p>
        </w:tc>
        <w:tc>
          <w:tcPr>
            <w:tcW w:type="dxa" w:w="5472"/>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LifeForest evaluation</w:t>
            </w:r>
          </w:p>
        </w:tc>
        <w:tc>
          <w:tcPr>
            <w:tcW w:type="dxa" w:w="1872"/>
            <w:shd w:fill="EAF2F8"/>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Status</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A01 Broken Access Control</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checklist identifies this as a hotspot because SecurityConfig currently permits all requests.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Needs fix</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A02 Cryptographic Failures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Passwords are hashed and JWT uses an environment-based secret, but the dev fallback secret and SQL logging are noted risks.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Partly applied</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A03 Injection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The app uses DTO validation and Spring Data JPA repositories instead of building raw SQL from user input.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Applied</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A05 Security Misconfiguration</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CSRF is disabled and permit-all rules are documented as security misconfiguration risks to address.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Needs fix</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A06 Vulnerable Components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Dependency-Check and npm audit are scripted locally and run in CI.</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Applied</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A07 Authentication Failures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Bad credentials are rejected, passwords are verified with BCrypt, and JWT expiration is implemented.</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Partly applied</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A10 SSRF</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No backend feature currently fetches arbitrary user-provided URLs.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Low current risk</w:t>
            </w:r>
          </w:p>
        </w:tc>
      </w:tr>
    </w:tbl>
    <w:p>
      <w:pPr>
        <w:pStyle w:val="Heading1"/>
      </w:pPr>
      <w:r>
        <w:t>4. Security Testing Evidence</w:t>
      </w:r>
    </w:p>
    <w:tbl>
      <w:tblPr>
        <w:tblW w:type="auto" w:w="0"/>
        <w:jc w:val="left"/>
        <w:tblLayout w:type="fixed"/>
        <w:tblLook w:firstColumn="1" w:firstRow="1" w:lastColumn="0" w:lastRow="0" w:noHBand="0" w:noVBand="1" w:val="04A0"/>
      </w:tblPr>
      <w:tblGrid>
        <w:gridCol w:w="3312"/>
        <w:gridCol w:w="3312"/>
        <w:gridCol w:w="3312"/>
      </w:tblGrid>
      <w:tr>
        <w:tc>
          <w:tcPr>
            <w:tcW w:type="dxa" w:w="2448"/>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Tool or test</w:t>
            </w:r>
          </w:p>
        </w:tc>
        <w:tc>
          <w:tcPr>
            <w:tcW w:type="dxa" w:w="4320"/>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How it is used</w:t>
            </w:r>
          </w:p>
        </w:tc>
        <w:tc>
          <w:tcPr>
            <w:tcW w:type="dxa" w:w="3168"/>
            <w:shd w:fill="E8F5E9"/>
            <w:tcBorders>
              <w:top w:val="single" w:sz="6" w:space="0" w:color="CFD8DC"/>
              <w:left w:val="single" w:sz="6" w:space="0" w:color="CFD8DC"/>
              <w:bottom w:val="single" w:sz="6" w:space="0" w:color="CFD8DC"/>
              <w:right w:val="single" w:sz="6" w:space="0" w:color="CFD8DC"/>
            </w:tcBorders>
            <w:tcMar>
              <w:top w:w="100" w:type="dxa"/>
              <w:start w:w="120" w:type="dxa"/>
              <w:bottom w:w="100" w:type="dxa"/>
              <w:end w:w="120" w:type="dxa"/>
            </w:tcMar>
          </w:tcPr>
          <w:p>
            <w:r>
              <w:rPr>
                <w:b/>
                <w:color w:val="1F2933"/>
              </w:rPr>
              <w:t>Evidence</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OWASP Dependency-Check</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Scans backend Java dependencies for known vulnerabilities and fails on high CVSS risk.</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build.gradle lines 57-59; ci.yml lines 69-75.</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npm audit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Scans frontend packages and fails for high-severity dependency issues.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security-check.ps1 lines 41-46; ci.yml line 132.</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OWASP ZAP baseline</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Optional dynamic scan against the running backend target.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security-check.ps1 lines 56-67; docs/owasp-top-10-assessment.md lines 15-23.</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Service/controller tests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Support expected API behavior and can be extended for access-control and authentication misuse cases.</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Existing backend test packages under backend/src/test/java.</w:t>
            </w:r>
          </w:p>
        </w:tc>
      </w:tr>
      <w:tr>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Manual OWASP checklist</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Documents the review method and current hotspots for each OWASP category.</w:t>
            </w:r>
          </w:p>
        </w:tc>
        <w:tc>
          <w:tcPr>
            <w:tcW w:type="dxa" w:w="3312"/>
            <w:tcBorders>
              <w:top w:val="single" w:sz="6" w:space="0" w:color="CFD8DC"/>
              <w:left w:val="single" w:sz="6" w:space="0" w:color="CFD8DC"/>
              <w:bottom w:val="single" w:sz="6" w:space="0" w:color="CFD8DC"/>
              <w:right w:val="single" w:sz="6" w:space="0" w:color="CFD8DC"/>
            </w:tcBorders>
            <w:tcMar>
              <w:top w:w="90" w:type="dxa"/>
              <w:start w:w="120" w:type="dxa"/>
              <w:bottom w:w="90" w:type="dxa"/>
              <w:end w:w="120" w:type="dxa"/>
            </w:tcMar>
            <w:vAlign w:val="center"/>
          </w:tcPr>
          <w:p>
            <w:r>
              <w:t>docs/owasp-top-10-assessment.md lines 30-43.</w:t>
            </w:r>
          </w:p>
        </w:tc>
      </w:tr>
    </w:tbl>
    <w:p>
      <w:pPr>
        <w:pStyle w:val="Heading1"/>
      </w:pPr>
      <w:r>
        <w:t>5. Current Security Findings</w:t>
      </w:r>
    </w:p>
    <w:tbl>
      <w:tblPr>
        <w:tblW w:type="auto" w:w="0"/>
        <w:jc w:val="left"/>
        <w:tblLayout w:type="fixed"/>
        <w:tblLook w:firstColumn="1" w:firstRow="1" w:lastColumn="0" w:lastRow="0" w:noHBand="0" w:noVBand="1" w:val="04A0"/>
      </w:tblPr>
      <w:tblGrid>
        <w:gridCol w:w="9936"/>
      </w:tblGrid>
      <w:tr>
        <w:tc>
          <w:tcPr>
            <w:tcW w:type="dxa" w:w="9936"/>
            <w:shd w:fill="FDECEC"/>
            <w:tcBorders>
              <w:top w:val="single" w:sz="6" w:space="0" w:color="F1B5B5"/>
              <w:left w:val="single" w:sz="6" w:space="0" w:color="F1B5B5"/>
              <w:bottom w:val="single" w:sz="6" w:space="0" w:color="F1B5B5"/>
              <w:right w:val="single" w:sz="6" w:space="0" w:color="F1B5B5"/>
            </w:tcBorders>
            <w:tcMar>
              <w:top w:w="150" w:type="dxa"/>
              <w:start w:w="180" w:type="dxa"/>
              <w:bottom w:w="150" w:type="dxa"/>
              <w:end w:w="180" w:type="dxa"/>
            </w:tcMar>
          </w:tcPr>
          <w:p>
            <w:r>
              <w:rPr>
                <w:b/>
                <w:color w:val="9B1C1C"/>
              </w:rPr>
              <w:t xml:space="preserve">Important honest finding: </w:t>
            </w:r>
            <w:r>
              <w:rPr>
                <w:b w:val="0"/>
                <w:color w:val="1F2933"/>
              </w:rPr>
              <w:t>the project currently documents SecurityConfig.anyRequest().permitAll() as a hotspot. This means the evidence should be presented as security work that was applied and evaluated, with access-control hardening still planned.</w:t>
            </w:r>
          </w:p>
        </w:tc>
      </w:tr>
    </w:tbl>
    <w:p>
      <w:pPr>
        <w:pStyle w:val="ListBullet"/>
        <w:spacing w:after="60"/>
      </w:pPr>
      <w:r>
        <w:t>Replace broad permit-all rules with authenticated endpoint rules and a JWT authentication filter.</w:t>
      </w:r>
    </w:p>
    <w:p>
      <w:pPr>
        <w:pStyle w:val="ListBullet"/>
        <w:spacing w:after="60"/>
      </w:pPr>
      <w:r>
        <w:t>Keep only public endpoints such as register/login open.</w:t>
      </w:r>
    </w:p>
    <w:p>
      <w:pPr>
        <w:pStyle w:val="ListBullet"/>
        <w:spacing w:after="60"/>
      </w:pPr>
      <w:r>
        <w:t>Disable SQL logging and remove fallback secrets for production environments.</w:t>
      </w:r>
    </w:p>
    <w:p>
      <w:pPr>
        <w:pStyle w:val="ListBullet"/>
        <w:spacing w:after="60"/>
      </w:pPr>
      <w:r>
        <w:t>Add tests for missing, expired, tampered, and cross-user JWT access.</w:t>
      </w:r>
    </w:p>
    <w:p>
      <w:pPr>
        <w:pStyle w:val="ListBullet"/>
        <w:spacing w:after="60"/>
      </w:pPr>
      <w:r>
        <w:t>Run ZAP against the deployed backend before final delivery.</w:t>
      </w:r>
    </w:p>
    <w:p>
      <w:pPr>
        <w:pStyle w:val="Heading1"/>
      </w:pPr>
      <w:r>
        <w:t>6. Generative AI Security</w:t>
      </w:r>
    </w:p>
    <w:p>
      <w:r>
        <w:t>LifeForest currently does not appear to integrate an LLM or generative AI feature. Because of that, OWASP Top 10 for LLM Apps is not directly applicable to the current feature set. If GenAI is added later, the project should evaluate prompt injection, sensitive information disclosure, insecure output handling, excessive agency, and model supply-chain risks before release.</w:t>
      </w:r>
    </w:p>
    <w:p>
      <w:pPr>
        <w:pStyle w:val="Heading1"/>
      </w:pPr>
      <w:r>
        <w:t>Conclusion</w:t>
      </w:r>
    </w:p>
    <w:p>
      <w:r>
        <w:t>Security was applied in LifeForest through password hashing, JWT token creation and validation, DTO validation, centralized error handling, dependency scanning, CI checks, and an OWASP Top 10 assessment. The project also documents remaining security risks clearly, especially the current broad access-control configuration, which makes the evidence realistic and actionable.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B75"/>
        <w:sz w:val="16"/>
      </w:rPr>
      <w:t>LifeForest security evidence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eastAsia="Arial"/>
      <w:b/>
      <w:bCs/>
      <w:color w:val="2E7D32"/>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eastAsia="Arial"/>
      <w:b/>
      <w:bCs/>
      <w:color w:val="1F2933"/>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5F6B7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