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10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 xml:space="preserve">Read a text line from the console, split it by space, parse the obtained items as integers and convert them to </w:t>
      </w:r>
      <w:proofErr w:type="gramStart"/>
      <w:r>
        <w:t>list</w:t>
      </w:r>
      <w:proofErr w:type="gramEnd"/>
      <w:r>
        <w:t xml:space="preserve">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</w:t>
      </w:r>
      <w:r w:rsidR="007E044F">
        <w:t>ch of the obtained tokens from r</w:t>
      </w:r>
      <w:bookmarkStart w:id="0" w:name="_GoBack"/>
      <w:bookmarkEnd w:id="0"/>
      <w:r>
        <w:t>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</w:t>
      </w:r>
      <w:proofErr w:type="gramStart"/>
      <w:r>
        <w:t xml:space="preserve">an array </w:t>
      </w:r>
      <w:r w:rsidRPr="00C52F08">
        <w:rPr>
          <w:rStyle w:val="CodeChar"/>
        </w:rPr>
        <w:t>counts[</w:t>
      </w:r>
      <w:proofErr w:type="gramEnd"/>
      <w:r w:rsidRPr="00C52F08">
        <w:rPr>
          <w:rStyle w:val="CodeChar"/>
        </w:rPr>
        <w:t>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1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B3" w:rsidRDefault="007724B3" w:rsidP="008068A2">
      <w:pPr>
        <w:spacing w:after="0" w:line="240" w:lineRule="auto"/>
      </w:pPr>
      <w:r>
        <w:separator/>
      </w:r>
    </w:p>
  </w:endnote>
  <w:endnote w:type="continuationSeparator" w:id="0">
    <w:p w:rsidR="007724B3" w:rsidRDefault="00772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4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4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04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04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B3" w:rsidRDefault="007724B3" w:rsidP="008068A2">
      <w:pPr>
        <w:spacing w:after="0" w:line="240" w:lineRule="auto"/>
      </w:pPr>
      <w:r>
        <w:separator/>
      </w:r>
    </w:p>
  </w:footnote>
  <w:footnote w:type="continuationSeparator" w:id="0">
    <w:p w:rsidR="007724B3" w:rsidRDefault="00772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724B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44F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tnetperls.com/diction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97/List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5B5C-2244-4FB0-AB75-44017B79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12</cp:revision>
  <cp:lastPrinted>2015-10-26T20:35:00Z</cp:lastPrinted>
  <dcterms:created xsi:type="dcterms:W3CDTF">2016-09-26T08:18:00Z</dcterms:created>
  <dcterms:modified xsi:type="dcterms:W3CDTF">2017-05-11T09:22:00Z</dcterms:modified>
  <cp:category>programming, education, software engineering, software development</cp:category>
</cp:coreProperties>
</file>