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4"/>
          <w:szCs w:val="44"/>
        </w:rPr>
        <w:t xml:space="preserve">NeoCloud Sector Report</w:t>
      </w:r>
    </w:p>
    <w:p>
      <w:pPr>
        <w:spacing w:after="40"/>
      </w:pPr>
      <w:r>
        <w:rPr>
          <w:color w:val="555555"/>
          <w:sz w:val="28"/>
          <w:szCs w:val="28"/>
        </w:rPr>
        <w:t xml:space="preserve">Fair Value Calculator Analysis</w:t>
      </w:r>
    </w:p>
    <w:p>
      <w:pPr>
        <w:spacing w:after="360"/>
      </w:pPr>
      <w:r>
        <w:rPr>
          <w:i/>
          <w:iCs/>
          <w:color w:val="777777"/>
          <w:sz w:val="20"/>
          <w:szCs w:val="20"/>
        </w:rPr>
        <w:t xml:space="preserve">September 28, 2026</w:t>
      </w:r>
    </w:p>
    <w:p>
      <w:pPr>
        <w:pStyle w:val="Heading1"/>
        <w:spacing w:after="160" w:before="320"/>
      </w:pPr>
      <w:r>
        <w:t xml:space="preserve">Overview</w:t>
      </w:r>
    </w:p>
    <w:p>
      <w:pPr>
        <w:spacing w:after="200"/>
        <w:jc w:val="both"/>
      </w:pPr>
      <w:r>
        <w:t xml:space="preserve">This report covers eight publicly-traded companies at the intersection of bitcoin mining and AI/HPC infrastructure - CoreWeave, Nebius, IREN, Core Scientific, Hut 8, TeraWulf, Cipher Mining, and CleanSpark - tracked in the NeoCloud Comparison dashboard. All eight monetize large-scale data-center power capacity, but through different business models and at very different stages of converting that capacity from bitcoin mining into AI/HPC hosting. This report summarizes how that conversion story translates into economic returns, then walks through what the dashboard's Fair Value Calculator - a $/MW capacity-based valuation framework bridged to an implied equity value - currently shows for each name.</w:t>
      </w:r>
    </w:p>
    <w:p>
      <w:pPr>
        <w:pStyle w:val="Heading1"/>
        <w:spacing w:after="160" w:before="320"/>
      </w:pPr>
      <w:r>
        <w:t xml:space="preserve">How a Neocloud Company Generates Return</w:t>
      </w:r>
    </w:p>
    <w:p>
      <w:pPr>
        <w:spacing w:after="200"/>
        <w:jc w:val="both"/>
      </w:pPr>
      <w:r>
        <w:t xml:space="preserve">The business model a given megawatt of power capacity is deployed into is the single biggest driver of what that capacity is worth. At one end are pure AI/HPC cloud companies - CoreWeave and Nebius - which lease their data-center capacity as GPU compute to AI labs and hyperscalers. Revenue is contracted, often multi-year, and backed by counterparties with real credit quality; the economics resemble a data-center landlord or specialty leasing business more than a technology company. Capex is heavy up front - land, power interconnects, buildings, and the GPUs themselves, which depreciate quickly - funded substantially with debt and equity raised against those contracts. Return is driven by the spread between the cost to build and finance a site and the rate customers pay to use it. Because AI-lab demand for compute currently outstrips supply, this capacity commands a premium: sell-side frameworks such as JPMorgan's 2026 re-based model price contracted critical-IT/AI capacity at roughly $8 to $19 million per megawatt.</w:t>
      </w:r>
    </w:p>
    <w:p>
      <w:pPr>
        <w:spacing w:after="200"/>
        <w:jc w:val="both"/>
      </w:pPr>
      <w:r>
        <w:t xml:space="preserve">At the other end are companies that still generate meaningful revenue by owning and operating their own bitcoin-mining hardware - Cipher Mining and CleanSpark are the closest to pure-play here. This is a fundamentally different, commodity-economics business: revenue is the market value of the bitcoin mined, which moves with BTC price and network difficulty, both outside the company's control. The company's edge is minimizing its own cost structure - electricity price, ASIC efficiency, uptime - rather than locking in a contracted rate. With no long-term contracted revenue and full exposure to crypto-price volatility, this capacity is priced far lower by the same analyst frameworks - roughly $1 to $2 million per megawatt, an order of magnitude below AI/HPC capacity.</w:t>
      </w:r>
    </w:p>
    <w:p>
      <w:pPr>
        <w:spacing w:after="200"/>
        <w:jc w:val="both"/>
      </w:pPr>
      <w:r>
        <w:t xml:space="preserve">A third, in-between model is hosting other parties' mining or AI hardware for a fee. Core Scientific, for example, hosts both CoreWeave's GPUs and roughly 400 megawatts of third-party-owned bitcoin ASICs. This is a service or landlord business like AI hosting, but for a lower-quality, more cyclical customer base - bitcoin miners rather than AI hyperscalers - so it earns a hosting fee rather than commodity mining revenue, at a level well below what AI/HPC colocation commands. No published analyst framework prices this tier specifically; it is valued in this report off each company's own disclosed hosted-mining revenue, times a multiple, rather than a $/MW rate, since no market benchmark for it exists.</w:t>
      </w:r>
    </w:p>
    <w:p>
      <w:pPr>
        <w:spacing w:after="200"/>
        <w:jc w:val="both"/>
      </w:pPr>
      <w:r>
        <w:t xml:space="preserve">This is why the sector narrative of the last two years - legacy bitcoin miners converting mining sites into AI/HPC hosting capacity - is really a story about moving capacity from the roughly $1 to $2 million/MW tier into the roughly $8 to $19 million/MW tier. The central valuation question for any of these companies is less “how much power capacity do they have” and more “how much of that capacity is already contracted AI/HPC revenue, versus owned mining, versus a hosting fee, versus still just a plan.”</w:t>
      </w:r>
    </w:p>
    <w:p>
      <w:pPr>
        <w:pStyle w:val="Heading1"/>
        <w:spacing w:after="160" w:before="320"/>
      </w:pPr>
      <w:r>
        <w:t xml:space="preserve">Fair Value Calculator: Reading the Comparison</w:t>
      </w:r>
    </w:p>
    <w:p>
      <w:pPr>
        <w:spacing w:after="200"/>
        <w:jc w:val="both"/>
      </w:pPr>
      <w:r>
        <w:t xml:space="preserve">The table below applies the dashboard's Fair Value Calculator at its default settings - $13M/MW for AI/HPC capacity and $1.5M/MW for owned bitcoin-mining capacity (the midpoints of JPMorgan's published ranges), and a 4.0x revenue multiple for hosted bitcoin mining (an unbenchmarked placeholder, since no market comp for that category exists) - then bridges the resulting Implied Enterprise Value to an Implied Equity Value (+ Cash − Total Debt) before comparing it to live Market Cap. Market cap, cash, and debt are live-sourced figures as of September 28, 2026; see the closing note on sourcing and limitations.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400"/>
        <w:gridCol w:w="1400"/>
        <w:gridCol w:w="1400"/>
      </w:tblGrid>
      <w:tr>
        <w:trPr>
          <w:tblHeader/>
        </w:trPr>
        <w:tc>
          <w:tcPr>
            <w:tcW w:type="dxa" w:w="2000"/>
            <w:shd w:fill="1F4E5F" w:val="clear"/>
            <w:tcMar>
              <w:top w:type="dxa" w:w="80"/>
              <w:left w:type="dxa" w:w="100"/>
              <w:bottom w:type="dxa" w:w="80"/>
              <w:right w:type="dxa" w:w="100"/>
            </w:tcMar>
          </w:tcPr>
          <w:p>
            <w:pPr>
              <w:jc w:val="left"/>
            </w:pPr>
            <w:r>
              <w:rPr>
                <w:b/>
                <w:bCs/>
                <w:color w:val="FFFFFF"/>
                <w:sz w:val="18"/>
                <w:szCs w:val="18"/>
              </w:rPr>
              <w:t xml:space="preserve">Company</w:t>
            </w:r>
          </w:p>
        </w:tc>
        <w:tc>
          <w:tcPr>
            <w:tcW w:type="dxa" w:w="1400"/>
            <w:shd w:fill="1F4E5F" w:val="clear"/>
            <w:tcMar>
              <w:top w:type="dxa" w:w="80"/>
              <w:left w:type="dxa" w:w="100"/>
              <w:bottom w:type="dxa" w:w="80"/>
              <w:right w:type="dxa" w:w="100"/>
            </w:tcMar>
          </w:tcPr>
          <w:p>
            <w:pPr>
              <w:jc w:val="right"/>
            </w:pPr>
            <w:r>
              <w:rPr>
                <w:b/>
                <w:bCs/>
                <w:color w:val="FFFFFF"/>
                <w:sz w:val="18"/>
                <w:szCs w:val="18"/>
              </w:rPr>
              <w:t xml:space="preserve">Implied EV</w:t>
            </w:r>
          </w:p>
        </w:tc>
        <w:tc>
          <w:tcPr>
            <w:tcW w:type="dxa" w:w="1200"/>
            <w:shd w:fill="1F4E5F" w:val="clear"/>
            <w:tcMar>
              <w:top w:type="dxa" w:w="80"/>
              <w:left w:type="dxa" w:w="100"/>
              <w:bottom w:type="dxa" w:w="80"/>
              <w:right w:type="dxa" w:w="100"/>
            </w:tcMar>
          </w:tcPr>
          <w:p>
            <w:pPr>
              <w:jc w:val="right"/>
            </w:pPr>
            <w:r>
              <w:rPr>
                <w:b/>
                <w:bCs/>
                <w:color w:val="FFFFFF"/>
                <w:sz w:val="18"/>
                <w:szCs w:val="18"/>
              </w:rPr>
              <w:t xml:space="preserve">Cash</w:t>
            </w:r>
          </w:p>
        </w:tc>
        <w:tc>
          <w:tcPr>
            <w:tcW w:type="dxa" w:w="1200"/>
            <w:shd w:fill="1F4E5F" w:val="clear"/>
            <w:tcMar>
              <w:top w:type="dxa" w:w="80"/>
              <w:left w:type="dxa" w:w="100"/>
              <w:bottom w:type="dxa" w:w="80"/>
              <w:right w:type="dxa" w:w="100"/>
            </w:tcMar>
          </w:tcPr>
          <w:p>
            <w:pPr>
              <w:jc w:val="right"/>
            </w:pPr>
            <w:r>
              <w:rPr>
                <w:b/>
                <w:bCs/>
                <w:color w:val="FFFFFF"/>
                <w:sz w:val="18"/>
                <w:szCs w:val="18"/>
              </w:rPr>
              <w:t xml:space="preserve">Debt</w:t>
            </w:r>
          </w:p>
        </w:tc>
        <w:tc>
          <w:tcPr>
            <w:tcW w:type="dxa" w:w="1400"/>
            <w:shd w:fill="1F4E5F" w:val="clear"/>
            <w:tcMar>
              <w:top w:type="dxa" w:w="80"/>
              <w:left w:type="dxa" w:w="100"/>
              <w:bottom w:type="dxa" w:w="80"/>
              <w:right w:type="dxa" w:w="100"/>
            </w:tcMar>
          </w:tcPr>
          <w:p>
            <w:pPr>
              <w:jc w:val="right"/>
            </w:pPr>
            <w:r>
              <w:rPr>
                <w:b/>
                <w:bCs/>
                <w:color w:val="FFFFFF"/>
                <w:sz w:val="18"/>
                <w:szCs w:val="18"/>
              </w:rPr>
              <w:t xml:space="preserve">Implied Equity Val.</w:t>
            </w:r>
          </w:p>
        </w:tc>
        <w:tc>
          <w:tcPr>
            <w:tcW w:type="dxa" w:w="1400"/>
            <w:shd w:fill="1F4E5F" w:val="clear"/>
            <w:tcMar>
              <w:top w:type="dxa" w:w="80"/>
              <w:left w:type="dxa" w:w="100"/>
              <w:bottom w:type="dxa" w:w="80"/>
              <w:right w:type="dxa" w:w="100"/>
            </w:tcMar>
          </w:tcPr>
          <w:p>
            <w:pPr>
              <w:jc w:val="right"/>
            </w:pPr>
            <w:r>
              <w:rPr>
                <w:b/>
                <w:bCs/>
                <w:color w:val="FFFFFF"/>
                <w:sz w:val="18"/>
                <w:szCs w:val="18"/>
              </w:rPr>
              <w:t xml:space="preserve">Market Cap</w:t>
            </w:r>
          </w:p>
        </w:tc>
        <w:tc>
          <w:tcPr>
            <w:tcW w:type="dxa" w:w="1400"/>
            <w:shd w:fill="1F4E5F" w:val="clear"/>
            <w:tcMar>
              <w:top w:type="dxa" w:w="80"/>
              <w:left w:type="dxa" w:w="100"/>
              <w:bottom w:type="dxa" w:w="80"/>
              <w:right w:type="dxa" w:w="100"/>
            </w:tcMar>
          </w:tcPr>
          <w:p>
            <w:pPr>
              <w:jc w:val="right"/>
            </w:pPr>
            <w:r>
              <w:rPr>
                <w:b/>
                <w:bCs/>
                <w:color w:val="FFFFFF"/>
                <w:sz w:val="18"/>
                <w:szCs w:val="18"/>
              </w:rPr>
              <w:t xml:space="preserve">Implied Up/Down</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CoreWeave</w:t>
            </w:r>
          </w:p>
        </w:tc>
        <w:tc>
          <w:tcPr>
            <w:tcW w:type="dxa" w:w="1400"/>
            <w:tcMar>
              <w:top w:type="dxa" w:w="80"/>
              <w:left w:type="dxa" w:w="100"/>
              <w:bottom w:type="dxa" w:w="80"/>
              <w:right w:type="dxa" w:w="100"/>
            </w:tcMar>
          </w:tcPr>
          <w:p>
            <w:pPr>
              <w:jc w:val="right"/>
            </w:pPr>
            <w:r>
              <w:rPr>
                <w:b w:val="false"/>
                <w:bCs w:val="false"/>
                <w:color w:val="000000"/>
                <w:sz w:val="18"/>
                <w:szCs w:val="18"/>
              </w:rPr>
              <w:t xml:space="preserve">$48.1B</w:t>
            </w:r>
          </w:p>
        </w:tc>
        <w:tc>
          <w:tcPr>
            <w:tcW w:type="dxa" w:w="1200"/>
            <w:tcMar>
              <w:top w:type="dxa" w:w="80"/>
              <w:left w:type="dxa" w:w="100"/>
              <w:bottom w:type="dxa" w:w="80"/>
              <w:right w:type="dxa" w:w="100"/>
            </w:tcMar>
          </w:tcPr>
          <w:p>
            <w:pPr>
              <w:jc w:val="right"/>
            </w:pPr>
            <w:r>
              <w:rPr>
                <w:b w:val="false"/>
                <w:bCs w:val="false"/>
                <w:color w:val="000000"/>
                <w:sz w:val="18"/>
                <w:szCs w:val="18"/>
              </w:rPr>
              <w:t xml:space="preserve">$5.5B</w:t>
            </w:r>
          </w:p>
        </w:tc>
        <w:tc>
          <w:tcPr>
            <w:tcW w:type="dxa" w:w="1200"/>
            <w:tcMar>
              <w:top w:type="dxa" w:w="80"/>
              <w:left w:type="dxa" w:w="100"/>
              <w:bottom w:type="dxa" w:w="80"/>
              <w:right w:type="dxa" w:w="100"/>
            </w:tcMar>
          </w:tcPr>
          <w:p>
            <w:pPr>
              <w:jc w:val="right"/>
            </w:pPr>
            <w:r>
              <w:rPr>
                <w:b w:val="false"/>
                <w:bCs w:val="false"/>
                <w:color w:val="000000"/>
                <w:sz w:val="18"/>
                <w:szCs w:val="18"/>
              </w:rPr>
              <w:t xml:space="preserve">$35.1B</w:t>
            </w:r>
          </w:p>
        </w:tc>
        <w:tc>
          <w:tcPr>
            <w:tcW w:type="dxa" w:w="1400"/>
            <w:tcMar>
              <w:top w:type="dxa" w:w="80"/>
              <w:left w:type="dxa" w:w="100"/>
              <w:bottom w:type="dxa" w:w="80"/>
              <w:right w:type="dxa" w:w="100"/>
            </w:tcMar>
          </w:tcPr>
          <w:p>
            <w:pPr>
              <w:jc w:val="right"/>
            </w:pPr>
            <w:r>
              <w:rPr>
                <w:b w:val="false"/>
                <w:bCs w:val="false"/>
                <w:color w:val="000000"/>
                <w:sz w:val="18"/>
                <w:szCs w:val="18"/>
              </w:rPr>
              <w:t xml:space="preserve">$18.6B</w:t>
            </w:r>
          </w:p>
        </w:tc>
        <w:tc>
          <w:tcPr>
            <w:tcW w:type="dxa" w:w="1400"/>
            <w:tcMar>
              <w:top w:type="dxa" w:w="80"/>
              <w:left w:type="dxa" w:w="100"/>
              <w:bottom w:type="dxa" w:w="80"/>
              <w:right w:type="dxa" w:w="100"/>
            </w:tcMar>
          </w:tcPr>
          <w:p>
            <w:pPr>
              <w:jc w:val="right"/>
            </w:pPr>
            <w:r>
              <w:rPr>
                <w:b w:val="false"/>
                <w:bCs w:val="false"/>
                <w:color w:val="000000"/>
                <w:sz w:val="18"/>
                <w:szCs w:val="18"/>
              </w:rPr>
              <w:t xml:space="preserve">$48.3B</w:t>
            </w:r>
          </w:p>
        </w:tc>
        <w:tc>
          <w:tcPr>
            <w:tcW w:type="dxa" w:w="1400"/>
            <w:tcMar>
              <w:top w:type="dxa" w:w="80"/>
              <w:left w:type="dxa" w:w="100"/>
              <w:bottom w:type="dxa" w:w="80"/>
              <w:right w:type="dxa" w:w="100"/>
            </w:tcMar>
          </w:tcPr>
          <w:p>
            <w:pPr>
              <w:jc w:val="right"/>
            </w:pPr>
            <w:r>
              <w:rPr>
                <w:b w:val="false"/>
                <w:bCs w:val="false"/>
                <w:color w:val="000000"/>
                <w:sz w:val="18"/>
                <w:szCs w:val="18"/>
              </w:rPr>
              <w:t xml:space="preserve">-62%</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Nebius</w:t>
            </w:r>
          </w:p>
        </w:tc>
        <w:tc>
          <w:tcPr>
            <w:tcW w:type="dxa" w:w="1400"/>
            <w:tcMar>
              <w:top w:type="dxa" w:w="80"/>
              <w:left w:type="dxa" w:w="100"/>
              <w:bottom w:type="dxa" w:w="80"/>
              <w:right w:type="dxa" w:w="100"/>
            </w:tcMar>
          </w:tcPr>
          <w:p>
            <w:pPr>
              <w:jc w:val="right"/>
            </w:pPr>
            <w:r>
              <w:rPr>
                <w:b w:val="false"/>
                <w:bCs w:val="false"/>
                <w:color w:val="000000"/>
                <w:sz w:val="18"/>
                <w:szCs w:val="18"/>
              </w:rPr>
              <w:t xml:space="preserve">$65.0B</w:t>
            </w:r>
          </w:p>
        </w:tc>
        <w:tc>
          <w:tcPr>
            <w:tcW w:type="dxa" w:w="1200"/>
            <w:tcMar>
              <w:top w:type="dxa" w:w="80"/>
              <w:left w:type="dxa" w:w="100"/>
              <w:bottom w:type="dxa" w:w="80"/>
              <w:right w:type="dxa" w:w="100"/>
            </w:tcMar>
          </w:tcPr>
          <w:p>
            <w:pPr>
              <w:jc w:val="right"/>
            </w:pPr>
            <w:r>
              <w:rPr>
                <w:b w:val="false"/>
                <w:bCs w:val="false"/>
                <w:color w:val="000000"/>
                <w:sz w:val="18"/>
                <w:szCs w:val="18"/>
              </w:rPr>
              <w:t xml:space="preserve">$8.0B</w:t>
            </w:r>
          </w:p>
        </w:tc>
        <w:tc>
          <w:tcPr>
            <w:tcW w:type="dxa" w:w="1200"/>
            <w:tcMar>
              <w:top w:type="dxa" w:w="80"/>
              <w:left w:type="dxa" w:w="100"/>
              <w:bottom w:type="dxa" w:w="80"/>
              <w:right w:type="dxa" w:w="100"/>
            </w:tcMar>
          </w:tcPr>
          <w:p>
            <w:pPr>
              <w:jc w:val="right"/>
            </w:pPr>
            <w:r>
              <w:rPr>
                <w:b w:val="false"/>
                <w:bCs w:val="false"/>
                <w:color w:val="000000"/>
                <w:sz w:val="18"/>
                <w:szCs w:val="18"/>
              </w:rPr>
              <w:t xml:space="preserve">$8.5B</w:t>
            </w:r>
          </w:p>
        </w:tc>
        <w:tc>
          <w:tcPr>
            <w:tcW w:type="dxa" w:w="1400"/>
            <w:tcMar>
              <w:top w:type="dxa" w:w="80"/>
              <w:left w:type="dxa" w:w="100"/>
              <w:bottom w:type="dxa" w:w="80"/>
              <w:right w:type="dxa" w:w="100"/>
            </w:tcMar>
          </w:tcPr>
          <w:p>
            <w:pPr>
              <w:jc w:val="right"/>
            </w:pPr>
            <w:r>
              <w:rPr>
                <w:b w:val="false"/>
                <w:bCs w:val="false"/>
                <w:color w:val="000000"/>
                <w:sz w:val="18"/>
                <w:szCs w:val="18"/>
              </w:rPr>
              <w:t xml:space="preserve">$64.5B</w:t>
            </w:r>
          </w:p>
        </w:tc>
        <w:tc>
          <w:tcPr>
            <w:tcW w:type="dxa" w:w="1400"/>
            <w:tcMar>
              <w:top w:type="dxa" w:w="80"/>
              <w:left w:type="dxa" w:w="100"/>
              <w:bottom w:type="dxa" w:w="80"/>
              <w:right w:type="dxa" w:w="100"/>
            </w:tcMar>
          </w:tcPr>
          <w:p>
            <w:pPr>
              <w:jc w:val="right"/>
            </w:pPr>
            <w:r>
              <w:rPr>
                <w:b w:val="false"/>
                <w:bCs w:val="false"/>
                <w:color w:val="000000"/>
                <w:sz w:val="18"/>
                <w:szCs w:val="18"/>
              </w:rPr>
              <w:t xml:space="preserve">$65.0B</w:t>
            </w:r>
          </w:p>
        </w:tc>
        <w:tc>
          <w:tcPr>
            <w:tcW w:type="dxa" w:w="1400"/>
            <w:tcMar>
              <w:top w:type="dxa" w:w="80"/>
              <w:left w:type="dxa" w:w="100"/>
              <w:bottom w:type="dxa" w:w="80"/>
              <w:right w:type="dxa" w:w="100"/>
            </w:tcMar>
          </w:tcPr>
          <w:p>
            <w:pPr>
              <w:jc w:val="right"/>
            </w:pPr>
            <w:r>
              <w:rPr>
                <w:b w:val="false"/>
                <w:bCs w:val="false"/>
                <w:color w:val="000000"/>
                <w:sz w:val="18"/>
                <w:szCs w:val="18"/>
              </w:rPr>
              <w:t xml:space="preserve">-1%</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Core Scientific</w:t>
            </w:r>
          </w:p>
        </w:tc>
        <w:tc>
          <w:tcPr>
            <w:tcW w:type="dxa" w:w="1400"/>
            <w:tcMar>
              <w:top w:type="dxa" w:w="80"/>
              <w:left w:type="dxa" w:w="100"/>
              <w:bottom w:type="dxa" w:w="80"/>
              <w:right w:type="dxa" w:w="100"/>
            </w:tcMar>
          </w:tcPr>
          <w:p>
            <w:pPr>
              <w:jc w:val="right"/>
            </w:pPr>
            <w:r>
              <w:rPr>
                <w:b w:val="false"/>
                <w:bCs w:val="false"/>
                <w:color w:val="000000"/>
                <w:sz w:val="18"/>
                <w:szCs w:val="18"/>
              </w:rPr>
              <w:t xml:space="preserve">$11.8B</w:t>
            </w:r>
          </w:p>
        </w:tc>
        <w:tc>
          <w:tcPr>
            <w:tcW w:type="dxa" w:w="1200"/>
            <w:tcMar>
              <w:top w:type="dxa" w:w="80"/>
              <w:left w:type="dxa" w:w="100"/>
              <w:bottom w:type="dxa" w:w="80"/>
              <w:right w:type="dxa" w:w="100"/>
            </w:tcMar>
          </w:tcPr>
          <w:p>
            <w:pPr>
              <w:jc w:val="right"/>
            </w:pPr>
            <w:r>
              <w:rPr>
                <w:b w:val="false"/>
                <w:bCs w:val="false"/>
                <w:color w:val="000000"/>
                <w:sz w:val="18"/>
                <w:szCs w:val="18"/>
              </w:rPr>
              <w:t xml:space="preserve">$1.8B</w:t>
            </w:r>
          </w:p>
        </w:tc>
        <w:tc>
          <w:tcPr>
            <w:tcW w:type="dxa" w:w="1200"/>
            <w:tcMar>
              <w:top w:type="dxa" w:w="80"/>
              <w:left w:type="dxa" w:w="100"/>
              <w:bottom w:type="dxa" w:w="80"/>
              <w:right w:type="dxa" w:w="100"/>
            </w:tcMar>
          </w:tcPr>
          <w:p>
            <w:pPr>
              <w:jc w:val="right"/>
            </w:pPr>
            <w:r>
              <w:rPr>
                <w:b w:val="false"/>
                <w:bCs w:val="false"/>
                <w:color w:val="000000"/>
                <w:sz w:val="18"/>
                <w:szCs w:val="18"/>
              </w:rPr>
              <w:t xml:space="preserve">$4.3B</w:t>
            </w:r>
          </w:p>
        </w:tc>
        <w:tc>
          <w:tcPr>
            <w:tcW w:type="dxa" w:w="1400"/>
            <w:tcMar>
              <w:top w:type="dxa" w:w="80"/>
              <w:left w:type="dxa" w:w="100"/>
              <w:bottom w:type="dxa" w:w="80"/>
              <w:right w:type="dxa" w:w="100"/>
            </w:tcMar>
          </w:tcPr>
          <w:p>
            <w:pPr>
              <w:jc w:val="right"/>
            </w:pPr>
            <w:r>
              <w:rPr>
                <w:b w:val="false"/>
                <w:bCs w:val="false"/>
                <w:color w:val="000000"/>
                <w:sz w:val="18"/>
                <w:szCs w:val="18"/>
              </w:rPr>
              <w:t xml:space="preserve">$9.3B</w:t>
            </w:r>
          </w:p>
        </w:tc>
        <w:tc>
          <w:tcPr>
            <w:tcW w:type="dxa" w:w="1400"/>
            <w:tcMar>
              <w:top w:type="dxa" w:w="80"/>
              <w:left w:type="dxa" w:w="100"/>
              <w:bottom w:type="dxa" w:w="80"/>
              <w:right w:type="dxa" w:w="100"/>
            </w:tcMar>
          </w:tcPr>
          <w:p>
            <w:pPr>
              <w:jc w:val="right"/>
            </w:pPr>
            <w:r>
              <w:rPr>
                <w:b w:val="false"/>
                <w:bCs w:val="false"/>
                <w:color w:val="000000"/>
                <w:sz w:val="18"/>
                <w:szCs w:val="18"/>
              </w:rPr>
              <w:t xml:space="preserve">$5.6B</w:t>
            </w:r>
          </w:p>
        </w:tc>
        <w:tc>
          <w:tcPr>
            <w:tcW w:type="dxa" w:w="1400"/>
            <w:tcMar>
              <w:top w:type="dxa" w:w="80"/>
              <w:left w:type="dxa" w:w="100"/>
              <w:bottom w:type="dxa" w:w="80"/>
              <w:right w:type="dxa" w:w="100"/>
            </w:tcMar>
          </w:tcPr>
          <w:p>
            <w:pPr>
              <w:jc w:val="right"/>
            </w:pPr>
            <w:r>
              <w:rPr>
                <w:b w:val="false"/>
                <w:bCs w:val="false"/>
                <w:color w:val="000000"/>
                <w:sz w:val="18"/>
                <w:szCs w:val="18"/>
              </w:rPr>
              <w:t xml:space="preserve">+66%</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IREN</w:t>
            </w:r>
          </w:p>
        </w:tc>
        <w:tc>
          <w:tcPr>
            <w:tcW w:type="dxa" w:w="1400"/>
            <w:tcMar>
              <w:top w:type="dxa" w:w="80"/>
              <w:left w:type="dxa" w:w="100"/>
              <w:bottom w:type="dxa" w:w="80"/>
              <w:right w:type="dxa" w:w="100"/>
            </w:tcMar>
          </w:tcPr>
          <w:p>
            <w:pPr>
              <w:jc w:val="right"/>
            </w:pPr>
            <w:r>
              <w:rPr>
                <w:b w:val="false"/>
                <w:bCs w:val="false"/>
                <w:color w:val="000000"/>
                <w:sz w:val="18"/>
                <w:szCs w:val="18"/>
              </w:rPr>
              <w:t xml:space="preserve">$3.9B</w:t>
            </w:r>
          </w:p>
        </w:tc>
        <w:tc>
          <w:tcPr>
            <w:tcW w:type="dxa" w:w="1200"/>
            <w:tcMar>
              <w:top w:type="dxa" w:w="80"/>
              <w:left w:type="dxa" w:w="100"/>
              <w:bottom w:type="dxa" w:w="80"/>
              <w:right w:type="dxa" w:w="100"/>
            </w:tcMar>
          </w:tcPr>
          <w:p>
            <w:pPr>
              <w:jc w:val="right"/>
            </w:pPr>
            <w:r>
              <w:rPr>
                <w:b w:val="false"/>
                <w:bCs w:val="false"/>
                <w:color w:val="000000"/>
                <w:sz w:val="18"/>
                <w:szCs w:val="18"/>
              </w:rPr>
              <w:t xml:space="preserve">$5.9B</w:t>
            </w:r>
          </w:p>
        </w:tc>
        <w:tc>
          <w:tcPr>
            <w:tcW w:type="dxa" w:w="1200"/>
            <w:tcMar>
              <w:top w:type="dxa" w:w="80"/>
              <w:left w:type="dxa" w:w="100"/>
              <w:bottom w:type="dxa" w:w="80"/>
              <w:right w:type="dxa" w:w="100"/>
            </w:tcMar>
          </w:tcPr>
          <w:p>
            <w:pPr>
              <w:jc w:val="right"/>
            </w:pPr>
            <w:r>
              <w:rPr>
                <w:b w:val="false"/>
                <w:bCs w:val="false"/>
                <w:color w:val="000000"/>
                <w:sz w:val="18"/>
                <w:szCs w:val="18"/>
              </w:rPr>
              <w:t xml:space="preserve">$7.6B</w:t>
            </w:r>
          </w:p>
        </w:tc>
        <w:tc>
          <w:tcPr>
            <w:tcW w:type="dxa" w:w="1400"/>
            <w:tcMar>
              <w:top w:type="dxa" w:w="80"/>
              <w:left w:type="dxa" w:w="100"/>
              <w:bottom w:type="dxa" w:w="80"/>
              <w:right w:type="dxa" w:w="100"/>
            </w:tcMar>
          </w:tcPr>
          <w:p>
            <w:pPr>
              <w:jc w:val="right"/>
            </w:pPr>
            <w:r>
              <w:rPr>
                <w:b w:val="false"/>
                <w:bCs w:val="false"/>
                <w:color w:val="000000"/>
                <w:sz w:val="18"/>
                <w:szCs w:val="18"/>
              </w:rPr>
              <w:t xml:space="preserve">$2.2B</w:t>
            </w:r>
          </w:p>
        </w:tc>
        <w:tc>
          <w:tcPr>
            <w:tcW w:type="dxa" w:w="1400"/>
            <w:tcMar>
              <w:top w:type="dxa" w:w="80"/>
              <w:left w:type="dxa" w:w="100"/>
              <w:bottom w:type="dxa" w:w="80"/>
              <w:right w:type="dxa" w:w="100"/>
            </w:tcMar>
          </w:tcPr>
          <w:p>
            <w:pPr>
              <w:jc w:val="right"/>
            </w:pPr>
            <w:r>
              <w:rPr>
                <w:b w:val="false"/>
                <w:bCs w:val="false"/>
                <w:color w:val="000000"/>
                <w:sz w:val="18"/>
                <w:szCs w:val="18"/>
              </w:rPr>
              <w:t xml:space="preserve">$17.4B</w:t>
            </w:r>
          </w:p>
        </w:tc>
        <w:tc>
          <w:tcPr>
            <w:tcW w:type="dxa" w:w="1400"/>
            <w:tcMar>
              <w:top w:type="dxa" w:w="80"/>
              <w:left w:type="dxa" w:w="100"/>
              <w:bottom w:type="dxa" w:w="80"/>
              <w:right w:type="dxa" w:w="100"/>
            </w:tcMar>
          </w:tcPr>
          <w:p>
            <w:pPr>
              <w:jc w:val="right"/>
            </w:pPr>
            <w:r>
              <w:rPr>
                <w:b w:val="false"/>
                <w:bCs w:val="false"/>
                <w:color w:val="000000"/>
                <w:sz w:val="18"/>
                <w:szCs w:val="18"/>
              </w:rPr>
              <w:t xml:space="preserve">-87%</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Hut 8</w:t>
            </w:r>
          </w:p>
        </w:tc>
        <w:tc>
          <w:tcPr>
            <w:tcW w:type="dxa" w:w="1400"/>
            <w:tcMar>
              <w:top w:type="dxa" w:w="80"/>
              <w:left w:type="dxa" w:w="100"/>
              <w:bottom w:type="dxa" w:w="80"/>
              <w:right w:type="dxa" w:w="100"/>
            </w:tcMar>
          </w:tcPr>
          <w:p>
            <w:pPr>
              <w:jc w:val="right"/>
            </w:pPr>
            <w:r>
              <w:rPr>
                <w:b w:val="false"/>
                <w:bCs w:val="false"/>
                <w:color w:val="000000"/>
                <w:sz w:val="18"/>
                <w:szCs w:val="18"/>
              </w:rPr>
              <w:t xml:space="preserve">$12.3B</w:t>
            </w:r>
          </w:p>
        </w:tc>
        <w:tc>
          <w:tcPr>
            <w:tcW w:type="dxa" w:w="1200"/>
            <w:tcMar>
              <w:top w:type="dxa" w:w="80"/>
              <w:left w:type="dxa" w:w="100"/>
              <w:bottom w:type="dxa" w:w="80"/>
              <w:right w:type="dxa" w:w="100"/>
            </w:tcMar>
          </w:tcPr>
          <w:p>
            <w:pPr>
              <w:jc w:val="right"/>
            </w:pPr>
            <w:r>
              <w:rPr>
                <w:b w:val="false"/>
                <w:bCs w:val="false"/>
                <w:color w:val="000000"/>
                <w:sz w:val="18"/>
                <w:szCs w:val="18"/>
              </w:rPr>
              <w:t xml:space="preserve">$0.2B</w:t>
            </w:r>
          </w:p>
        </w:tc>
        <w:tc>
          <w:tcPr>
            <w:tcW w:type="dxa" w:w="1200"/>
            <w:tcMar>
              <w:top w:type="dxa" w:w="80"/>
              <w:left w:type="dxa" w:w="100"/>
              <w:bottom w:type="dxa" w:w="80"/>
              <w:right w:type="dxa" w:w="100"/>
            </w:tcMar>
          </w:tcPr>
          <w:p>
            <w:pPr>
              <w:jc w:val="right"/>
            </w:pPr>
            <w:r>
              <w:rPr>
                <w:b w:val="false"/>
                <w:bCs w:val="false"/>
                <w:color w:val="000000"/>
                <w:sz w:val="18"/>
                <w:szCs w:val="18"/>
              </w:rPr>
              <w:t xml:space="preserve">$7.7B</w:t>
            </w:r>
          </w:p>
        </w:tc>
        <w:tc>
          <w:tcPr>
            <w:tcW w:type="dxa" w:w="1400"/>
            <w:tcMar>
              <w:top w:type="dxa" w:w="80"/>
              <w:left w:type="dxa" w:w="100"/>
              <w:bottom w:type="dxa" w:w="80"/>
              <w:right w:type="dxa" w:w="100"/>
            </w:tcMar>
          </w:tcPr>
          <w:p>
            <w:pPr>
              <w:jc w:val="right"/>
            </w:pPr>
            <w:r>
              <w:rPr>
                <w:b w:val="false"/>
                <w:bCs w:val="false"/>
                <w:color w:val="000000"/>
                <w:sz w:val="18"/>
                <w:szCs w:val="18"/>
              </w:rPr>
              <w:t xml:space="preserve">$4.9B</w:t>
            </w:r>
          </w:p>
        </w:tc>
        <w:tc>
          <w:tcPr>
            <w:tcW w:type="dxa" w:w="1400"/>
            <w:tcMar>
              <w:top w:type="dxa" w:w="80"/>
              <w:left w:type="dxa" w:w="100"/>
              <w:bottom w:type="dxa" w:w="80"/>
              <w:right w:type="dxa" w:w="100"/>
            </w:tcMar>
          </w:tcPr>
          <w:p>
            <w:pPr>
              <w:jc w:val="right"/>
            </w:pPr>
            <w:r>
              <w:rPr>
                <w:b w:val="false"/>
                <w:bCs w:val="false"/>
                <w:color w:val="000000"/>
                <w:sz w:val="18"/>
                <w:szCs w:val="18"/>
              </w:rPr>
              <w:t xml:space="preserve">$11.2B</w:t>
            </w:r>
          </w:p>
        </w:tc>
        <w:tc>
          <w:tcPr>
            <w:tcW w:type="dxa" w:w="1400"/>
            <w:tcMar>
              <w:top w:type="dxa" w:w="80"/>
              <w:left w:type="dxa" w:w="100"/>
              <w:bottom w:type="dxa" w:w="80"/>
              <w:right w:type="dxa" w:w="100"/>
            </w:tcMar>
          </w:tcPr>
          <w:p>
            <w:pPr>
              <w:jc w:val="right"/>
            </w:pPr>
            <w:r>
              <w:rPr>
                <w:b w:val="false"/>
                <w:bCs w:val="false"/>
                <w:color w:val="000000"/>
                <w:sz w:val="18"/>
                <w:szCs w:val="18"/>
              </w:rPr>
              <w:t xml:space="preserve">-56%</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TeraWulf</w:t>
            </w:r>
          </w:p>
        </w:tc>
        <w:tc>
          <w:tcPr>
            <w:tcW w:type="dxa" w:w="1400"/>
            <w:tcMar>
              <w:top w:type="dxa" w:w="80"/>
              <w:left w:type="dxa" w:w="100"/>
              <w:bottom w:type="dxa" w:w="80"/>
              <w:right w:type="dxa" w:w="100"/>
            </w:tcMar>
          </w:tcPr>
          <w:p>
            <w:pPr>
              <w:jc w:val="right"/>
            </w:pPr>
            <w:r>
              <w:rPr>
                <w:b w:val="false"/>
                <w:bCs w:val="false"/>
                <w:color w:val="000000"/>
                <w:sz w:val="18"/>
                <w:szCs w:val="18"/>
              </w:rPr>
              <w:t xml:space="preserve">$10.9B</w:t>
            </w:r>
          </w:p>
        </w:tc>
        <w:tc>
          <w:tcPr>
            <w:tcW w:type="dxa" w:w="1200"/>
            <w:tcMar>
              <w:top w:type="dxa" w:w="80"/>
              <w:left w:type="dxa" w:w="100"/>
              <w:bottom w:type="dxa" w:w="80"/>
              <w:right w:type="dxa" w:w="100"/>
            </w:tcMar>
          </w:tcPr>
          <w:p>
            <w:pPr>
              <w:jc w:val="right"/>
            </w:pPr>
            <w:r>
              <w:rPr>
                <w:b w:val="false"/>
                <w:bCs w:val="false"/>
                <w:color w:val="000000"/>
                <w:sz w:val="18"/>
                <w:szCs w:val="18"/>
              </w:rPr>
              <w:t xml:space="preserve">$2.6B</w:t>
            </w:r>
          </w:p>
        </w:tc>
        <w:tc>
          <w:tcPr>
            <w:tcW w:type="dxa" w:w="1200"/>
            <w:tcMar>
              <w:top w:type="dxa" w:w="80"/>
              <w:left w:type="dxa" w:w="100"/>
              <w:bottom w:type="dxa" w:w="80"/>
              <w:right w:type="dxa" w:w="100"/>
            </w:tcMar>
          </w:tcPr>
          <w:p>
            <w:pPr>
              <w:jc w:val="right"/>
            </w:pPr>
            <w:r>
              <w:rPr>
                <w:b w:val="false"/>
                <w:bCs w:val="false"/>
                <w:color w:val="000000"/>
                <w:sz w:val="18"/>
                <w:szCs w:val="18"/>
              </w:rPr>
              <w:t xml:space="preserve">$5.2B</w:t>
            </w:r>
          </w:p>
        </w:tc>
        <w:tc>
          <w:tcPr>
            <w:tcW w:type="dxa" w:w="1400"/>
            <w:tcMar>
              <w:top w:type="dxa" w:w="80"/>
              <w:left w:type="dxa" w:w="100"/>
              <w:bottom w:type="dxa" w:w="80"/>
              <w:right w:type="dxa" w:w="100"/>
            </w:tcMar>
          </w:tcPr>
          <w:p>
            <w:pPr>
              <w:jc w:val="right"/>
            </w:pPr>
            <w:r>
              <w:rPr>
                <w:b w:val="false"/>
                <w:bCs w:val="false"/>
                <w:color w:val="000000"/>
                <w:sz w:val="18"/>
                <w:szCs w:val="18"/>
              </w:rPr>
              <w:t xml:space="preserve">$8.3B</w:t>
            </w:r>
          </w:p>
        </w:tc>
        <w:tc>
          <w:tcPr>
            <w:tcW w:type="dxa" w:w="1400"/>
            <w:tcMar>
              <w:top w:type="dxa" w:w="80"/>
              <w:left w:type="dxa" w:w="100"/>
              <w:bottom w:type="dxa" w:w="80"/>
              <w:right w:type="dxa" w:w="100"/>
            </w:tcMar>
          </w:tcPr>
          <w:p>
            <w:pPr>
              <w:jc w:val="right"/>
            </w:pPr>
            <w:r>
              <w:rPr>
                <w:b w:val="false"/>
                <w:bCs w:val="false"/>
                <w:color w:val="000000"/>
                <w:sz w:val="18"/>
                <w:szCs w:val="18"/>
              </w:rPr>
              <w:t xml:space="preserve">$7.7B</w:t>
            </w:r>
          </w:p>
        </w:tc>
        <w:tc>
          <w:tcPr>
            <w:tcW w:type="dxa" w:w="1400"/>
            <w:tcMar>
              <w:top w:type="dxa" w:w="80"/>
              <w:left w:type="dxa" w:w="100"/>
              <w:bottom w:type="dxa" w:w="80"/>
              <w:right w:type="dxa" w:w="100"/>
            </w:tcMar>
          </w:tcPr>
          <w:p>
            <w:pPr>
              <w:jc w:val="right"/>
            </w:pPr>
            <w:r>
              <w:rPr>
                <w:b w:val="false"/>
                <w:bCs w:val="false"/>
                <w:color w:val="000000"/>
                <w:sz w:val="18"/>
                <w:szCs w:val="18"/>
              </w:rPr>
              <w:t xml:space="preserve">+7%</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Cipher Mining</w:t>
            </w:r>
          </w:p>
        </w:tc>
        <w:tc>
          <w:tcPr>
            <w:tcW w:type="dxa" w:w="1400"/>
            <w:tcMar>
              <w:top w:type="dxa" w:w="80"/>
              <w:left w:type="dxa" w:w="100"/>
              <w:bottom w:type="dxa" w:w="80"/>
              <w:right w:type="dxa" w:w="100"/>
            </w:tcMar>
          </w:tcPr>
          <w:p>
            <w:pPr>
              <w:jc w:val="right"/>
            </w:pPr>
            <w:r>
              <w:rPr>
                <w:b w:val="false"/>
                <w:bCs w:val="false"/>
                <w:color w:val="000000"/>
                <w:sz w:val="18"/>
                <w:szCs w:val="18"/>
              </w:rPr>
              <w:t xml:space="preserve">$3.8B</w:t>
            </w:r>
          </w:p>
        </w:tc>
        <w:tc>
          <w:tcPr>
            <w:tcW w:type="dxa" w:w="1200"/>
            <w:tcMar>
              <w:top w:type="dxa" w:w="80"/>
              <w:left w:type="dxa" w:w="100"/>
              <w:bottom w:type="dxa" w:w="80"/>
              <w:right w:type="dxa" w:w="100"/>
            </w:tcMar>
          </w:tcPr>
          <w:p>
            <w:pPr>
              <w:jc w:val="right"/>
            </w:pPr>
            <w:r>
              <w:rPr>
                <w:b w:val="false"/>
                <w:bCs w:val="false"/>
                <w:color w:val="000000"/>
                <w:sz w:val="18"/>
                <w:szCs w:val="18"/>
              </w:rPr>
              <w:t xml:space="preserve">$0.8B</w:t>
            </w:r>
          </w:p>
        </w:tc>
        <w:tc>
          <w:tcPr>
            <w:tcW w:type="dxa" w:w="1200"/>
            <w:tcMar>
              <w:top w:type="dxa" w:w="80"/>
              <w:left w:type="dxa" w:w="100"/>
              <w:bottom w:type="dxa" w:w="80"/>
              <w:right w:type="dxa" w:w="100"/>
            </w:tcMar>
          </w:tcPr>
          <w:p>
            <w:pPr>
              <w:jc w:val="right"/>
            </w:pPr>
            <w:r>
              <w:rPr>
                <w:b w:val="false"/>
                <w:bCs w:val="false"/>
                <w:color w:val="000000"/>
                <w:sz w:val="18"/>
                <w:szCs w:val="18"/>
              </w:rPr>
              <w:t xml:space="preserve">$5.6B</w:t>
            </w:r>
          </w:p>
        </w:tc>
        <w:tc>
          <w:tcPr>
            <w:tcW w:type="dxa" w:w="1400"/>
            <w:tcMar>
              <w:top w:type="dxa" w:w="80"/>
              <w:left w:type="dxa" w:w="100"/>
              <w:bottom w:type="dxa" w:w="80"/>
              <w:right w:type="dxa" w:w="100"/>
            </w:tcMar>
          </w:tcPr>
          <w:p>
            <w:pPr>
              <w:jc w:val="right"/>
            </w:pPr>
            <w:r>
              <w:rPr>
                <w:b w:val="false"/>
                <w:bCs w:val="false"/>
                <w:color w:val="000000"/>
                <w:sz w:val="18"/>
                <w:szCs w:val="18"/>
              </w:rPr>
              <w:t xml:space="preserve">$-1.0B</w:t>
            </w:r>
          </w:p>
        </w:tc>
        <w:tc>
          <w:tcPr>
            <w:tcW w:type="dxa" w:w="1400"/>
            <w:tcMar>
              <w:top w:type="dxa" w:w="80"/>
              <w:left w:type="dxa" w:w="100"/>
              <w:bottom w:type="dxa" w:w="80"/>
              <w:right w:type="dxa" w:w="100"/>
            </w:tcMar>
          </w:tcPr>
          <w:p>
            <w:pPr>
              <w:jc w:val="right"/>
            </w:pPr>
            <w:r>
              <w:rPr>
                <w:b w:val="false"/>
                <w:bCs w:val="false"/>
                <w:color w:val="000000"/>
                <w:sz w:val="18"/>
                <w:szCs w:val="18"/>
              </w:rPr>
              <w:t xml:space="preserve">$7.5B</w:t>
            </w:r>
          </w:p>
        </w:tc>
        <w:tc>
          <w:tcPr>
            <w:tcW w:type="dxa" w:w="1400"/>
            <w:tcMar>
              <w:top w:type="dxa" w:w="80"/>
              <w:left w:type="dxa" w:w="100"/>
              <w:bottom w:type="dxa" w:w="80"/>
              <w:right w:type="dxa" w:w="100"/>
            </w:tcMar>
          </w:tcPr>
          <w:p>
            <w:pPr>
              <w:jc w:val="right"/>
            </w:pPr>
            <w:r>
              <w:rPr>
                <w:b w:val="false"/>
                <w:bCs w:val="false"/>
                <w:color w:val="000000"/>
                <w:sz w:val="18"/>
                <w:szCs w:val="18"/>
              </w:rPr>
              <w:t xml:space="preserve">-113%</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CleanSpark</w:t>
            </w:r>
          </w:p>
        </w:tc>
        <w:tc>
          <w:tcPr>
            <w:tcW w:type="dxa" w:w="1400"/>
            <w:tcMar>
              <w:top w:type="dxa" w:w="80"/>
              <w:left w:type="dxa" w:w="100"/>
              <w:bottom w:type="dxa" w:w="80"/>
              <w:right w:type="dxa" w:w="100"/>
            </w:tcMar>
          </w:tcPr>
          <w:p>
            <w:pPr>
              <w:jc w:val="right"/>
            </w:pPr>
            <w:r>
              <w:rPr>
                <w:b w:val="false"/>
                <w:bCs w:val="false"/>
                <w:color w:val="000000"/>
                <w:sz w:val="18"/>
                <w:szCs w:val="18"/>
              </w:rPr>
              <w:t xml:space="preserve">$3.5B</w:t>
            </w:r>
          </w:p>
        </w:tc>
        <w:tc>
          <w:tcPr>
            <w:tcW w:type="dxa" w:w="1200"/>
            <w:tcMar>
              <w:top w:type="dxa" w:w="80"/>
              <w:left w:type="dxa" w:w="100"/>
              <w:bottom w:type="dxa" w:w="80"/>
              <w:right w:type="dxa" w:w="100"/>
            </w:tcMar>
          </w:tcPr>
          <w:p>
            <w:pPr>
              <w:jc w:val="right"/>
            </w:pPr>
            <w:r>
              <w:rPr>
                <w:b w:val="false"/>
                <w:bCs w:val="false"/>
                <w:color w:val="000000"/>
                <w:sz w:val="18"/>
                <w:szCs w:val="18"/>
              </w:rPr>
              <w:t xml:space="preserve">$0.2B</w:t>
            </w:r>
          </w:p>
        </w:tc>
        <w:tc>
          <w:tcPr>
            <w:tcW w:type="dxa" w:w="1200"/>
            <w:tcMar>
              <w:top w:type="dxa" w:w="80"/>
              <w:left w:type="dxa" w:w="100"/>
              <w:bottom w:type="dxa" w:w="80"/>
              <w:right w:type="dxa" w:w="100"/>
            </w:tcMar>
          </w:tcPr>
          <w:p>
            <w:pPr>
              <w:jc w:val="right"/>
            </w:pPr>
            <w:r>
              <w:rPr>
                <w:b w:val="false"/>
                <w:bCs w:val="false"/>
                <w:color w:val="000000"/>
                <w:sz w:val="18"/>
                <w:szCs w:val="18"/>
              </w:rPr>
              <w:t xml:space="preserve">$1.8B</w:t>
            </w:r>
          </w:p>
        </w:tc>
        <w:tc>
          <w:tcPr>
            <w:tcW w:type="dxa" w:w="1400"/>
            <w:tcMar>
              <w:top w:type="dxa" w:w="80"/>
              <w:left w:type="dxa" w:w="100"/>
              <w:bottom w:type="dxa" w:w="80"/>
              <w:right w:type="dxa" w:w="100"/>
            </w:tcMar>
          </w:tcPr>
          <w:p>
            <w:pPr>
              <w:jc w:val="right"/>
            </w:pPr>
            <w:r>
              <w:rPr>
                <w:b w:val="false"/>
                <w:bCs w:val="false"/>
                <w:color w:val="000000"/>
                <w:sz w:val="18"/>
                <w:szCs w:val="18"/>
              </w:rPr>
              <w:t xml:space="preserve">$1.9B</w:t>
            </w:r>
          </w:p>
        </w:tc>
        <w:tc>
          <w:tcPr>
            <w:tcW w:type="dxa" w:w="1400"/>
            <w:tcMar>
              <w:top w:type="dxa" w:w="80"/>
              <w:left w:type="dxa" w:w="100"/>
              <w:bottom w:type="dxa" w:w="80"/>
              <w:right w:type="dxa" w:w="100"/>
            </w:tcMar>
          </w:tcPr>
          <w:p>
            <w:pPr>
              <w:jc w:val="right"/>
            </w:pPr>
            <w:r>
              <w:rPr>
                <w:b w:val="false"/>
                <w:bCs w:val="false"/>
                <w:color w:val="000000"/>
                <w:sz w:val="18"/>
                <w:szCs w:val="18"/>
              </w:rPr>
              <w:t xml:space="preserve">$3.6B</w:t>
            </w:r>
          </w:p>
        </w:tc>
        <w:tc>
          <w:tcPr>
            <w:tcW w:type="dxa" w:w="1400"/>
            <w:tcMar>
              <w:top w:type="dxa" w:w="80"/>
              <w:left w:type="dxa" w:w="100"/>
              <w:bottom w:type="dxa" w:w="80"/>
              <w:right w:type="dxa" w:w="100"/>
            </w:tcMar>
          </w:tcPr>
          <w:p>
            <w:pPr>
              <w:jc w:val="right"/>
            </w:pPr>
            <w:r>
              <w:rPr>
                <w:b w:val="false"/>
                <w:bCs w:val="false"/>
                <w:color w:val="000000"/>
                <w:sz w:val="18"/>
                <w:szCs w:val="18"/>
              </w:rPr>
              <w:t xml:space="preserve">-47%</w:t>
            </w:r>
          </w:p>
        </w:tc>
      </w:tr>
    </w:tbl>
    <w:p>
      <w:pPr>
        <w:spacing w:after="240"/>
      </w:pPr>
      <w:r>
        <w:rPr>
          <w:i/>
          <w:iCs/>
          <w:color w:val="555555"/>
          <w:sz w:val="18"/>
          <w:szCs w:val="18"/>
        </w:rPr>
        <w:t xml:space="preserve">Figures in USD billions. “Implied Up/Down” = (Implied Equity Value ÷ Market Cap − 1). Positive = calculator implies upside versus current market price; negative = implied downside. Not a recommendation - see Limitations below.</w:t>
      </w:r>
    </w:p>
    <w:p>
      <w:pPr>
        <w:pStyle w:val="Heading2"/>
        <w:spacing w:after="120" w:before="240"/>
      </w:pPr>
      <w:r>
        <w:t xml:space="preserve">CoreWeave and Nebius: the pure AI/HPC plays</w:t>
      </w:r>
    </w:p>
    <w:p>
      <w:pPr>
        <w:spacing w:after="200"/>
        <w:jc w:val="both"/>
      </w:pPr>
      <w:r>
        <w:t xml:space="preserve">Both companies' entire footprint is priced in the AI/HPC bucket, and both carry large implied enterprise values given their scale (roughly 3,700MW and 5,000MW respectively at default rates). The two diverge sharply once net debt is applied. Nebius's implied equity value comes out almost exactly in line with its market cap (−1%) - its ~$8.5B of debt is closely matched by ~$8.0B of cash, so leverage barely moves the number. CoreWeave shows a large implied downside (−62%) despite commanding the same premium AI/HPC rate, because its capital structure is far more levered - about $35B of debt against $5.5B of cash. This is the clearest illustration in the table of why the net-debt bridge matters: the same underlying capacity value can look very different once financing is accounted for.</w:t>
      </w:r>
    </w:p>
    <w:p>
      <w:pPr>
        <w:pStyle w:val="Heading2"/>
        <w:spacing w:after="120" w:before="240"/>
      </w:pPr>
      <w:r>
        <w:t xml:space="preserve">Core Scientific: the biggest swing since the AMD/CoreWeave expansion</w:t>
      </w:r>
    </w:p>
    <w:p>
      <w:pPr>
        <w:spacing w:after="200"/>
        <w:jc w:val="both"/>
      </w:pPr>
      <w:r>
        <w:t xml:space="preserve">Core Scientific shows the largest implied upside in the table (+66%), driven mainly by the recent expansion of its AI/HPC-designated capacity to ~900MW (the original CoreWeave colocation lease plus a newer AMD hosting deal). Its ~400MW of hosted bitcoin mining contributes only a small amount under the revenue-multiple method, since that method deliberately doesn't extrapolate a large capacity-based value onto a business that is really a modest, fee-based service line. Two caveats are worth flagging here: the 900MW AI/HPC figure is a whole-portfolio press-coverage estimate rather than the same billing-stage data tracked elsewhere in the dashboard, and Core Scientific's own ~$21.5M/quarter of owned self-mining revenue has no matching MW figure at all, so this result should be read as directional rather than precise.</w:t>
      </w:r>
    </w:p>
    <w:p>
      <w:pPr>
        <w:pStyle w:val="Heading2"/>
        <w:spacing w:after="120" w:before="240"/>
      </w:pPr>
      <w:r>
        <w:t xml:space="preserve">IREN: a case study in the calculator's own blind spot</w:t>
      </w:r>
    </w:p>
    <w:p>
      <w:pPr>
        <w:spacing w:after="200"/>
        <w:jc w:val="both"/>
      </w:pPr>
      <w:r>
        <w:t xml:space="preserve">IREN shows the largest implied downside in the table (−87%), but this is very likely an artifact of the data, not a real signal. The 300MW used for its AI/HPC bucket is IREN's own stated 2026 delivery TARGET, not a reflection of its current, fast-scaling AI Cloud Services business, which already generated $70.5M in a single recent quarter and has grown from under 4% to over 51% of IREN's revenue mix in five quarters. Because the calculator prices MW, not revenue, for the AI/HPC bucket, it can't yet credit IREN for a business that is scaling faster than its disclosed contracted-capacity figure. This is a useful reminder that every row in this table inherits the specific limitations of its underlying MW data - see the dashboard's own caveats for the full list.</w:t>
      </w:r>
    </w:p>
    <w:p>
      <w:pPr>
        <w:pStyle w:val="Heading2"/>
        <w:spacing w:after="120" w:before="240"/>
      </w:pPr>
      <w:r>
        <w:t xml:space="preserve">Hut 8: capacity that can't be cleanly split</w:t>
      </w:r>
    </w:p>
    <w:p>
      <w:pPr>
        <w:spacing w:after="200"/>
        <w:jc w:val="both"/>
      </w:pPr>
      <w:r>
        <w:t xml:space="preserve">Hut 8 shows a substantial implied downside (−56%), but its own segment reporting doesn't cleanly separate bitcoin mining from AI/GPU cloud revenue within its “Compute” segment, so the 949MW used here is a company-wide contracted-IT-capacity figure, not a verified AI-only number. Hut 8's own materials attribute its Compute segment's growth “primarily” to ASIC bitcoin mining, which - if taken at face value - would suggest less of its capacity deserves the premium AI/HPC rate than the calculator currently assumes, which would only widen this gap further.</w:t>
      </w:r>
    </w:p>
    <w:p>
      <w:pPr>
        <w:pStyle w:val="Heading2"/>
        <w:spacing w:after="120" w:before="240"/>
      </w:pPr>
      <w:r>
        <w:t xml:space="preserve">TeraWulf: the closest thing to a sanity check</w:t>
      </w:r>
    </w:p>
    <w:p>
      <w:pPr>
        <w:spacing w:after="200"/>
        <w:jc w:val="both"/>
      </w:pPr>
      <w:r>
        <w:t xml:space="preserve">TeraWulf's implied equity value comes out only 7% above its market cap - the smallest gap of any name in the table, aside from Nebius. Its AI/HPC MW figure (Lake Mariner Fluidstack lease plus the Justified Data Campus Anthropic lease) is a real current-plus-contracted figure rather than a target or an estimate, and its balance sheet (moderate debt, meaningful cash) doesn't distort the result much either way. Of the eight names, this is the one where the calculator's assumptions and the market's own pricing are currently telling a similar story.</w:t>
      </w:r>
    </w:p>
    <w:p>
      <w:pPr>
        <w:pStyle w:val="Heading2"/>
        <w:spacing w:after="120" w:before="240"/>
      </w:pPr>
      <w:r>
        <w:t xml:space="preserve">Cipher Mining: where leverage overwhelms the capacity value</w:t>
      </w:r>
    </w:p>
    <w:p>
      <w:pPr>
        <w:spacing w:after="200"/>
        <w:jc w:val="both"/>
      </w:pPr>
      <w:r>
        <w:t xml:space="preserve">Cipher Mining is the standout negative case: its Implied Equity Value is actually NEGATIVE (about −$1.0B) at default assumptions, because its roughly $5.6B of debt exceeds the sum of its implied capacity value (~$3.8B) and cash (~$0.8B). Two readings are worth holding side by side rather than picking one. First, the dashboard's own MW figure for Cipher's AI/HPC bucket (244MW, the Barber Lake Fluidstack/Google site) does not yet include its large AWS hosting agreement, so this may understate Cipher's real contracted AI capacity - a data gap worth closing before trusting this result. Second, even accounting for that gap, Cipher carries meaningfully more debt relative to disclosed capacity than the other names here, so some of the market's premium over the calculator's implied value may reflect optimism about capacity not yet contracted or delivered, rather than a modeling error.</w:t>
      </w:r>
    </w:p>
    <w:p>
      <w:pPr>
        <w:pStyle w:val="Heading2"/>
        <w:spacing w:after="120" w:before="240"/>
      </w:pPr>
      <w:r>
        <w:t xml:space="preserve">CleanSpark: still priced mostly as a miner</w:t>
      </w:r>
    </w:p>
    <w:p>
      <w:pPr>
        <w:spacing w:after="200"/>
        <w:jc w:val="both"/>
      </w:pPr>
      <w:r>
        <w:t xml:space="preserve">CleanSpark shows a meaningful implied downside (−47%). The bulk of its capacity (808MW) sits in the owned bitcoin-mining bucket, priced at the low $1.5M/MW default rate, while only its explicit 175MW Sandersville lease is credited at the AI/HPC rate. If the market is assigning CleanSpark real option value on converting more of that 808MW toward AI hosting over time - plausible, given the sector-wide pattern - the calculator, which only prices capacity as it's used TODAY, would not yet capture that.</w:t>
      </w:r>
    </w:p>
    <w:p>
      <w:pPr>
        <w:pStyle w:val="Heading1"/>
        <w:spacing w:after="160" w:before="320"/>
      </w:pPr>
      <w:r>
        <w:t xml:space="preserve">Limitations</w:t>
      </w:r>
    </w:p>
    <w:p>
      <w:pPr>
        <w:pStyle w:val="ListParagraph"/>
        <w:numPr>
          <w:ilvl w:val="0"/>
          <w:numId w:val="1"/>
        </w:numPr>
        <w:spacing w:after="100"/>
      </w:pPr>
      <w:r>
        <w:t xml:space="preserve">This is a simplified, two-plus-one-bucket reconstruction built from press coverage of JPMorgan's framework and this dashboard's own manually-compiled MW and revenue figures - not JPMorgan's proprietary per-site analysis, and not investment advice.</w:t>
      </w:r>
    </w:p>
    <w:p>
      <w:pPr>
        <w:pStyle w:val="ListParagraph"/>
        <w:numPr>
          <w:ilvl w:val="0"/>
          <w:numId w:val="1"/>
        </w:numPr>
        <w:spacing w:after="100"/>
      </w:pPr>
      <w:r>
        <w:t xml:space="preserve">MW figures are a dated snapshot (each company as of its own most recent disclosure) using only current + contracted-future capacity, deliberately excluding speculative pipeline/diligence-stage capacity.</w:t>
      </w:r>
    </w:p>
    <w:p>
      <w:pPr>
        <w:pStyle w:val="ListParagraph"/>
        <w:numPr>
          <w:ilvl w:val="0"/>
          <w:numId w:val="1"/>
        </w:numPr>
        <w:spacing w:after="100"/>
      </w:pPr>
      <w:r>
        <w:t xml:space="preserve">Several companies' owned-mining MW is not disclosed anywhere and is treated as $0, which understates their implied value; flagged per-name above where material.</w:t>
      </w:r>
    </w:p>
    <w:p>
      <w:pPr>
        <w:pStyle w:val="ListParagraph"/>
        <w:numPr>
          <w:ilvl w:val="0"/>
          <w:numId w:val="1"/>
        </w:numPr>
        <w:spacing w:after="100"/>
      </w:pPr>
      <w:r>
        <w:t xml:space="preserve">The hosted-mining revenue multiple (4.0x here) has no market benchmark behind it - it exists to show the shape of the calculation, not as a defensible rate.</w:t>
      </w:r>
    </w:p>
    <w:p>
      <w:pPr>
        <w:pStyle w:val="ListParagraph"/>
        <w:numPr>
          <w:ilvl w:val="0"/>
          <w:numId w:val="1"/>
        </w:numPr>
        <w:spacing w:after="100"/>
      </w:pPr>
      <w:r>
        <w:t xml:space="preserve">A single blended rate is applied per bucket for every company; real sell-side frameworks apply company- and site-specific rates based on capacity quality and counterparty credit, which this cannot replicate.</w:t>
      </w:r>
    </w:p>
    <w:p>
      <w:pPr>
        <w:pStyle w:val="ListParagraph"/>
        <w:numPr>
          <w:ilvl w:val="0"/>
          <w:numId w:val="1"/>
        </w:numPr>
        <w:spacing w:after="100"/>
      </w:pPr>
      <w:r>
        <w:t xml:space="preserve">Cash and debt are each company's latest quarterly SEC-reported figures, not live, so a recent raise, buyback, or debt paydown may not yet be reflected; market cap is live and updates daily by contrast.</w:t>
      </w:r>
    </w:p>
    <w:p>
      <w:pPr>
        <w:pStyle w:val="ListParagraph"/>
        <w:numPr>
          <w:ilvl w:val="0"/>
          <w:numId w:val="1"/>
        </w:numPr>
        <w:spacing w:after="100"/>
      </w:pPr>
      <w:r>
        <w:t xml:space="preserve">Market cap, cash, and debt figures in this report were gathered September 28, 2026 from a mix of company filings and financial-data sites (stockanalysis.com, companiesmarketcap.com); a small number were cross-checked directly against the underlying SEC filing, and all should be treated as a point-in-time snapshot rather than continuously live data.</w:t>
      </w:r>
    </w:p>
    <w:p>
      <w:pPr>
        <w:spacing w:after="200"/>
        <w:jc w:val="both"/>
      </w:pPr>
      <w:r>
        <w:t xml:space="preserve">Cross-reference this analysis with the dashboard's Valuation Snapshot, Remaining Performance Obligation, and Forward EBITDA sections before drawing any conclusion from it - this is one lens among several, not a replacement for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694D01A135C344B91DE9C12F01ECB1" ma:contentTypeVersion="10" ma:contentTypeDescription="Create a new document." ma:contentTypeScope="" ma:versionID="b7fd748c8605bf4c6397edaf4ee17bca">
  <xsd:schema xmlns:xsd="http://www.w3.org/2001/XMLSchema" xmlns:xs="http://www.w3.org/2001/XMLSchema" xmlns:p="http://schemas.microsoft.com/office/2006/metadata/properties" xmlns:ns2="cf432aeb-f713-4829-af49-3ed43bbfdfa9" xmlns:ns3="12b4f28d-39d8-447b-9368-0f5ff54ea26e" targetNamespace="http://schemas.microsoft.com/office/2006/metadata/properties" ma:root="true" ma:fieldsID="0a1a45bf1366536b5b07d473dfb854ae" ns2:_="" ns3:_="">
    <xsd:import namespace="cf432aeb-f713-4829-af49-3ed43bbfdfa9"/>
    <xsd:import namespace="12b4f28d-39d8-447b-9368-0f5ff54ea2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432aeb-f713-4829-af49-3ed43bbfd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277180-0a10-4658-8a29-f457371f70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b4f28d-39d8-447b-9368-0f5ff54ea2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f2c6412-43a9-472c-8e90-ac4970eb5a6a}" ma:internalName="TaxCatchAll" ma:showField="CatchAllData" ma:web="12b4f28d-39d8-447b-9368-0f5ff54ea2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f432aeb-f713-4829-af49-3ed43bbfdfa9">
      <Terms xmlns="http://schemas.microsoft.com/office/infopath/2007/PartnerControls"/>
    </lcf76f155ced4ddcb4097134ff3c332f>
    <TaxCatchAll xmlns="12b4f28d-39d8-447b-9368-0f5ff54ea26e" xsi:nil="true"/>
  </documentManagement>
</p:properties>
</file>

<file path=customXml/itemProps1.xml><?xml version="1.0" encoding="utf-8"?>
<ds:datastoreItem xmlns:ds="http://schemas.openxmlformats.org/officeDocument/2006/customXml" ds:itemID="{0D393425-E707-4ABB-90A7-8B8639DC5F30}"/>
</file>

<file path=customXml/itemProps2.xml><?xml version="1.0" encoding="utf-8"?>
<ds:datastoreItem xmlns:ds="http://schemas.openxmlformats.org/officeDocument/2006/customXml" ds:itemID="{7CC51DAF-7219-4D31-A928-5F040099A70F}"/>
</file>

<file path=customXml/itemProps3.xml><?xml version="1.0" encoding="utf-8"?>
<ds:datastoreItem xmlns:ds="http://schemas.openxmlformats.org/officeDocument/2006/customXml" ds:itemID="{91C7D8C4-8A71-4F71-91EB-B1C78533FB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2026-09-28T13:24:06Z</dcterms:created>
  <dcterms:modified xsi:type="dcterms:W3CDTF">2026-09-28T13:24:06Z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0x01010003694D01A135C344B91DE9C12F01ECB1</vt:lpwstr>
  </property>
</Properties>
</file>