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600" w:lineRule="exact"/>
        <w:jc w:val="center"/>
      </w:pPr>
      <w:r>
        <w:rPr>
          <w:rFonts w:ascii="Times New Roman" w:hAnsi="Times New Roman" w:eastAsia="方正小标宋_GBK"/>
          <w:sz w:val="44"/>
        </w:rPr>
        <w:t>微调视觉模型判别材料拉伸断裂行为</w:t>
      </w:r>
    </w:p>
    <w:p>
      <w:pPr>
        <w:spacing w:before="0" w:after="0" w:line="600" w:lineRule="exact"/>
        <w:jc w:val="center"/>
      </w:pPr>
      <w:r>
        <w:rPr>
          <w:rFonts w:ascii="Times New Roman" w:hAnsi="Times New Roman" w:eastAsia="方正楷体_GBK"/>
          <w:sz w:val="32"/>
        </w:rPr>
        <w:t>mVllm项目说明</w:t>
      </w:r>
    </w:p>
    <w:p>
      <w:pPr>
        <w:spacing w:before="0" w:after="0" w:line="600" w:lineRule="exact"/>
        <w:jc w:val="center"/>
      </w:pPr>
      <w:r>
        <w:rPr>
          <w:rFonts w:ascii="Times New Roman" w:hAnsi="Times New Roman" w:eastAsia="方正仿宋_GBK"/>
          <w:sz w:val="28"/>
        </w:rPr>
        <w:t>2026年6月9日</w:t>
      </w:r>
    </w:p>
    <w:p>
      <w:pPr>
        <w:pStyle w:val="Heading1"/>
        <w:spacing w:line="600" w:lineRule="exact" w:before="80" w:after="80"/>
        <w:jc w:val="left"/>
      </w:pPr>
      <w:r>
        <w:rPr>
          <w:rFonts w:ascii="Times New Roman" w:hAnsi="Times New Roman" w:eastAsia="方正黑体_GBK"/>
          <w:b/>
          <w:sz w:val="32"/>
        </w:rPr>
        <w:t>一、项目定位</w:t>
      </w:r>
    </w:p>
    <w:p>
      <w:pPr>
        <w:spacing w:before="0" w:after="0" w:line="600" w:lineRule="exact"/>
        <w:ind w:firstLine="420"/>
        <w:jc w:val="both"/>
      </w:pPr>
      <w:r>
        <w:rPr>
          <w:rFonts w:ascii="Times New Roman" w:hAnsi="Times New Roman" w:eastAsia="方正仿宋_GBK"/>
          <w:sz w:val="28"/>
        </w:rPr>
        <w:t>mVllm面向材料拉伸实验视频，基于开源视频多模态大模型进行LoRA/QLoRA微调，形成能够识别样条断裂时刻并判断断裂模式的专用视觉模型。项目优先服务实验室与工业端的自动化质检场景，减少人工回看视频和人工判定异常断裂的成本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核心功能一：在10-300s拉伸视频中定位样条断裂时刻，输出秒级结果，并在条件允许时逼近帧级精度。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核心功能二：根据断裂时刻前后的视频证据判断断裂模式，输出结构化文本，便于后续统计、报警和追溯。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应用目标：对标距段外断裂、齐根断裂、爆炸性破坏等异常模式进行实时或准实时识别，并为后续冲击测试等场景复用开发范式。</w:t>
      </w:r>
    </w:p>
    <w:p>
      <w:pPr>
        <w:pStyle w:val="Heading1"/>
        <w:spacing w:line="600" w:lineRule="exact" w:before="80" w:after="80"/>
        <w:jc w:val="left"/>
      </w:pPr>
      <w:r>
        <w:rPr>
          <w:rFonts w:ascii="Times New Roman" w:hAnsi="Times New Roman" w:eastAsia="方正黑体_GBK"/>
          <w:b/>
          <w:sz w:val="32"/>
        </w:rPr>
        <w:t>二、任务定义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模型类型：视频多模态大模型/视觉语言模型，不按传统“视觉分类模型”定义。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输入：720p、30fps拉伸视频；项目训练配置中视频帧采样受video_maxlen等参数约束。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输出：合法JSON，例如{"time":8.45,"type":"brittle fracture"}；time使用秒作为单位，type使用统一标签体系。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数据：当前快速验证数据为110条标注视频，采用stratified 3-fold cross validation；后续可扩展到1,000-3,000条视频。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材料覆盖：金属、高分子、复材等材料类型；重点关注断裂模式、异常断裂位置和视频可见性差异。</w:t>
      </w:r>
    </w:p>
    <w:p>
      <w:pPr>
        <w:pStyle w:val="Heading1"/>
        <w:spacing w:line="600" w:lineRule="exact" w:before="80" w:after="80"/>
        <w:jc w:val="left"/>
      </w:pPr>
      <w:r>
        <w:rPr>
          <w:rFonts w:ascii="Times New Roman" w:hAnsi="Times New Roman" w:eastAsia="方正黑体_GBK"/>
          <w:b/>
          <w:sz w:val="32"/>
        </w:rPr>
        <w:t>三、候选基座模型</w:t>
      </w:r>
    </w:p>
    <w:p>
      <w:pPr>
        <w:spacing w:before="0" w:after="0" w:line="600" w:lineRule="exact"/>
        <w:ind w:firstLine="420"/>
        <w:jc w:val="both"/>
      </w:pPr>
      <w:r>
        <w:rPr>
          <w:rFonts w:ascii="Times New Roman" w:hAnsi="Times New Roman" w:eastAsia="方正仿宋_GBK"/>
          <w:sz w:val="28"/>
        </w:rPr>
        <w:t>后续微调以MiniCPM-V 4.6作为优先跑通流程的主模型，并保留同规模多模态模型作为横向基准。</w:t>
      </w:r>
    </w:p>
    <w:tbl>
      <w:tblPr>
        <w:tblW w:type="dxa" w:w="8844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3350"/>
        <w:gridCol w:w="2894"/>
      </w:tblGrid>
      <w:tr>
        <w:tc>
          <w:tcPr>
            <w:tcW w:type="dxa" w:w="26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single" w:sz="12" w:space="0" w:color="000000"/>
              <w:bottom w:val="single" w:sz="8" w:space="0" w:color="808080"/>
              <w:left w:val="nil"/>
              <w:right w:val="nil"/>
            </w:tcBorders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方正仿宋_GBK"/>
                <w:b/>
                <w:sz w:val="20"/>
              </w:rPr>
              <w:t>模型（角色）</w:t>
            </w:r>
          </w:p>
        </w:tc>
        <w:tc>
          <w:tcPr>
            <w:tcW w:type="dxa" w:w="3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single" w:sz="12" w:space="0" w:color="000000"/>
              <w:bottom w:val="single" w:sz="8" w:space="0" w:color="808080"/>
              <w:left w:val="nil"/>
              <w:right w:val="nil"/>
            </w:tcBorders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方正仿宋_GBK"/>
                <w:b/>
                <w:sz w:val="20"/>
              </w:rPr>
              <w:t>选择理由</w:t>
            </w:r>
          </w:p>
        </w:tc>
        <w:tc>
          <w:tcPr>
            <w:tcW w:type="dxa" w:w="28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single" w:sz="12" w:space="0" w:color="000000"/>
              <w:bottom w:val="single" w:sz="8" w:space="0" w:color="808080"/>
              <w:left w:val="nil"/>
              <w:right w:val="nil"/>
            </w:tcBorders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方正仿宋_GBK"/>
                <w:b/>
                <w:sz w:val="20"/>
              </w:rPr>
              <w:t>使用建议</w:t>
            </w:r>
          </w:p>
        </w:tc>
      </w:tr>
      <w:tr>
        <w:tc>
          <w:tcPr>
            <w:tcW w:type="dxa" w:w="26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MiniCPM-V 4.6主基座</w:t>
            </w:r>
          </w:p>
        </w:tc>
        <w:tc>
          <w:tcPr>
            <w:tcW w:type="dxa" w:w="3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端侧部署和视频理解能力与项目约束匹配，已替代MiniCPM-V 4.5。</w:t>
            </w:r>
          </w:p>
        </w:tc>
        <w:tc>
          <w:tcPr>
            <w:tcW w:type="dxa" w:w="28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优先跑通数据、训练、推理和评测全流程。</w:t>
            </w:r>
          </w:p>
        </w:tc>
      </w:tr>
      <w:tr>
        <w:tc>
          <w:tcPr>
            <w:tcW w:type="dxa" w:w="26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Qwen3-VL-8B-Instruct强基准</w:t>
            </w:r>
          </w:p>
        </w:tc>
        <w:tc>
          <w:tcPr>
            <w:tcW w:type="dxa" w:w="3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8B级公开权重，指令跟随和结构化输出能力强。</w:t>
            </w:r>
          </w:p>
        </w:tc>
        <w:tc>
          <w:tcPr>
            <w:tcW w:type="dxa" w:w="28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评估JSON稳定性、通用视频理解与微调收益。</w:t>
            </w:r>
          </w:p>
        </w:tc>
      </w:tr>
      <w:tr>
        <w:tc>
          <w:tcPr>
            <w:tcW w:type="dxa" w:w="26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InternVL3.5-8B强基准</w:t>
            </w:r>
          </w:p>
        </w:tc>
        <w:tc>
          <w:tcPr>
            <w:tcW w:type="dxa" w:w="3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8B档多模态主线模型，推理效率和通用能力较均衡。</w:t>
            </w:r>
          </w:p>
        </w:tc>
        <w:tc>
          <w:tcPr>
            <w:tcW w:type="dxa" w:w="28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用于同规模性能、延迟和显存占用对比。</w:t>
            </w:r>
          </w:p>
        </w:tc>
      </w:tr>
      <w:tr>
        <w:tc>
          <w:tcPr>
            <w:tcW w:type="dxa" w:w="26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GLM-4.6V-Flash推理型对照</w:t>
            </w:r>
          </w:p>
        </w:tc>
        <w:tc>
          <w:tcPr>
            <w:tcW w:type="dxa" w:w="3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支持视频、图像、文本理解，Flash版本更贴近本地部署与成本约束。</w:t>
            </w:r>
          </w:p>
        </w:tc>
        <w:tc>
          <w:tcPr>
            <w:tcW w:type="dxa" w:w="28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重点观察解释性、复杂断裂模式和异常案例表现。</w:t>
            </w:r>
          </w:p>
        </w:tc>
      </w:tr>
      <w:tr>
        <w:tc>
          <w:tcPr>
            <w:tcW w:type="dxa" w:w="26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MiMo-VL-7B-RL-2508探索性基准</w:t>
            </w:r>
          </w:p>
        </w:tc>
        <w:tc>
          <w:tcPr>
            <w:tcW w:type="dxa" w:w="33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7B级视觉语言模型，强调后训练强化学习和推理能力。</w:t>
            </w:r>
          </w:p>
        </w:tc>
        <w:tc>
          <w:tcPr>
            <w:tcW w:type="dxa" w:w="28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方正仿宋_GBK"/>
                <w:b w:val="0"/>
                <w:sz w:val="19"/>
              </w:rPr>
              <w:t>作为补充对照，单独评估训练生态与复现成本。</w:t>
            </w:r>
          </w:p>
        </w:tc>
      </w:tr>
    </w:tbl>
    <w:p>
      <w:pPr>
        <w:spacing w:line="80" w:lineRule="exact" w:after="0"/>
      </w:pPr>
    </w:p>
    <w:p>
      <w:pPr>
        <w:pStyle w:val="Heading1"/>
        <w:spacing w:line="600" w:lineRule="exact" w:before="80" w:after="80"/>
        <w:jc w:val="left"/>
      </w:pPr>
      <w:r>
        <w:rPr>
          <w:rFonts w:ascii="Times New Roman" w:hAnsi="Times New Roman" w:eastAsia="方正黑体_GBK"/>
          <w:b/>
          <w:sz w:val="32"/>
        </w:rPr>
        <w:t>四、基线与评测</w:t>
      </w:r>
    </w:p>
    <w:p>
      <w:pPr>
        <w:spacing w:before="0" w:after="0" w:line="600" w:lineRule="exact"/>
        <w:ind w:firstLine="420"/>
        <w:jc w:val="both"/>
      </w:pPr>
      <w:r>
        <w:rPr>
          <w:rFonts w:ascii="Times New Roman" w:hAnsi="Times New Roman" w:eastAsia="方正仿宋_GBK"/>
          <w:sz w:val="28"/>
        </w:rPr>
        <w:t>项目评测不只比较多模态大模型，还应加入轻量非VLM基线。固定场景下，帧差、光流、ROI轮廓变化或轻量视频分类模型可能已经具备较强效果，必须用它们衡量大模型微调的真实收益。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事件时刻基线：基于帧差、光流或ROI轮廓变化定位断裂时刻。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模式判别基线：在断裂前后短窗口上训练VideoMAE、TimeSformer或轻量CNN/Transformer。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断裂时刻指标：MAE、P50/P90绝对误差，必要时补充帧级误差。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断裂模式指标：accuracy、macro-F1、混淆矩阵，并单独观察齐根断裂、脆性断裂、韧性断裂等重点类别。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部署指标：单视频延迟、显存占用、token/帧采样成本、JSON合法率和失败重试率。</w:t>
      </w:r>
    </w:p>
    <w:p>
      <w:pPr>
        <w:pStyle w:val="Heading1"/>
        <w:spacing w:line="600" w:lineRule="exact" w:before="80" w:after="80"/>
        <w:jc w:val="left"/>
      </w:pPr>
      <w:r>
        <w:rPr>
          <w:rFonts w:ascii="Times New Roman" w:hAnsi="Times New Roman" w:eastAsia="方正黑体_GBK"/>
          <w:b/>
          <w:sz w:val="32"/>
        </w:rPr>
        <w:t>五、训练与部署约束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主线配置：model_name_or_path=../MiniCPM-V-4.6，template=minicpm_v_4_6，flash_attn=fa2，video_maxlen=36，cutoff_len=8192，media_dir=../data。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微调方式：LoRA rank=16，alpha=32，dropout=0.1，并结合QLoRA 4-bit；batch=1，gradient_accumulation=16，gradient_checkpointing=true。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优化参数：paged_adamw_8bit，lr=1.5e-5，cosine scheduler，epochs=8，warmup_ratio=0.05，bf16=true，seed=42。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数据注册：pipeline输出data/04_merged/{fold}_{train,val}.json，并在dataset_info.json中注册tensile_video_3k{0,1,2}_{train,val}。</w:t>
      </w:r>
    </w:p>
    <w:p>
      <w:pPr>
        <w:pStyle w:val="ListBullet"/>
        <w:spacing w:before="0" w:after="0" w:line="600" w:lineRule="exact"/>
        <w:ind w:left="539" w:hanging="238"/>
        <w:jc w:val="left"/>
      </w:pPr>
      <w:r>
        <w:rPr>
          <w:rFonts w:ascii="Times New Roman" w:hAnsi="Times New Roman" w:eastAsia="方正仿宋_GBK"/>
          <w:sz w:val="28"/>
        </w:rPr>
        <w:t>运行环境：Python3.11，sentencepiece必装；单卡LoRA不需要DeepSpeed。</w:t>
      </w:r>
    </w:p>
    <w:p>
      <w:pPr>
        <w:pStyle w:val="Heading1"/>
        <w:spacing w:line="600" w:lineRule="exact" w:before="80" w:after="80"/>
        <w:jc w:val="left"/>
      </w:pPr>
      <w:r>
        <w:rPr>
          <w:rFonts w:ascii="Times New Roman" w:hAnsi="Times New Roman" w:eastAsia="方正黑体_GBK"/>
          <w:b/>
          <w:sz w:val="32"/>
        </w:rPr>
        <w:t>六、模型信息核对依据</w:t>
      </w:r>
    </w:p>
    <w:p>
      <w:pPr>
        <w:spacing w:before="0" w:after="0" w:line="600" w:lineRule="exact"/>
        <w:ind w:firstLine="420"/>
        <w:jc w:val="left"/>
      </w:pPr>
      <w:r>
        <w:rPr>
          <w:rFonts w:ascii="Times New Roman" w:hAnsi="Times New Roman" w:eastAsia="方正仿宋_GBK"/>
          <w:sz w:val="28"/>
        </w:rPr>
        <w:t>模型清单依据OpenBMB MiniCPM-V / MiniCPM-V 4.6、Qwen3-VL官方模型集合、InternVL3.5官方发布页、Z.ai GLM-4.6V文档与GLM-4.6V-Flash模型页、XiaomiMiMo MiMo-VL-7B-RL-2508模型页核对。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98" w:right="1474" w:bottom="1984" w:left="1587" w:header="850" w:footer="13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r>
      <w:rPr>
        <w:rFonts w:ascii="Times New Roman" w:hAnsi="Times New Roman" w:eastAsia="方正仿宋_GBK"/>
        <w:sz w:val="20"/>
      </w:rPr>
      <w:t>mVllm项目说明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600" w:lineRule="exact"/>
      <w:ind w:firstLine="560"/>
      <w:jc w:val="both"/>
    </w:pPr>
    <w:rPr>
      <w:rFonts w:ascii="Times New Roman" w:hAnsi="Times New Roman" w:eastAsia="方正仿宋_GBK" w:cs="Times New Roman"/>
      <w:b w:val="0"/>
      <w:i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300" w:line="600" w:lineRule="exact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方正黑体_GBK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300" w:line="600" w:lineRule="exact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方正黑体_GBK" w:cs="Times New Roman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600" w:lineRule="exact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方正楷体_GBK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600" w:lineRule="exact"/>
      <w:ind w:left="0" w:firstLine="0"/>
      <w:contextualSpacing/>
    </w:pPr>
    <w:rPr>
      <w:rFonts w:ascii="Times New Roman" w:hAnsi="Times New Roman" w:eastAsia="方正仿宋_GBK" w:cs="Times New Roman"/>
      <w:b w:val="0"/>
      <w:i w:val="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600" w:lineRule="exact"/>
      <w:ind w:left="0" w:firstLine="0"/>
      <w:contextualSpacing/>
    </w:pPr>
    <w:rPr>
      <w:rFonts w:ascii="Times New Roman" w:hAnsi="Times New Roman" w:eastAsia="方正仿宋_GBK" w:cs="Times New Roman"/>
      <w:b w:val="0"/>
      <w:i w:val="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600" w:lineRule="exact" w:before="0" w:after="0"/>
      <w:jc w:val="left"/>
    </w:pPr>
    <w:rPr>
      <w:rFonts w:ascii="Times New Roman" w:hAnsi="Times New Roman" w:eastAsia="宋体" w:cs="Times New Roman"/>
      <w:b w:val="0"/>
      <w:bCs/>
      <w:i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600" w:lineRule="exact"/>
      <w:ind w:left="198" w:right="198"/>
    </w:pPr>
    <w:rPr>
      <w:rFonts w:ascii="Consolas" w:hAnsi="Consolas" w:eastAsia="宋体" w:cs="Consolas"/>
      <w:b w:val="0"/>
      <w:i w:val="0"/>
      <w:sz w:val="20"/>
    </w:rPr>
  </w:style>
  <w:style w:type="paragraph" w:customStyle="1" w:styleId="QuoteBlock">
    <w:name w:val="Quote Block"/>
    <w:pPr>
      <w:spacing w:before="0" w:after="0" w:line="600" w:lineRule="exact"/>
      <w:ind w:left="255"/>
    </w:pPr>
    <w:rPr>
      <w:rFonts w:ascii="Times New Roman" w:hAnsi="Times New Roman" w:eastAsia="方正仿宋_GBK" w:cs="Times New Roman"/>
      <w:b w:val="0"/>
      <w:i/>
      <w:sz w:val="32"/>
    </w:rPr>
  </w:style>
  <w:style w:type="paragraph" w:customStyle="1" w:styleId="Conclusion">
    <w:name w:val="Conclusion"/>
    <w:pPr>
      <w:spacing w:before="0" w:after="0" w:line="600" w:lineRule="exact"/>
      <w:ind w:firstLine="560"/>
    </w:pPr>
    <w:rPr>
      <w:rFonts w:ascii="Times New Roman" w:hAnsi="Times New Roman" w:eastAsia="方正黑体_GBK" w:cs="Times New Roman"/>
      <w:b/>
      <w:i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