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E93" w:rsidRPr="000F2CCD" w:rsidRDefault="00893667" w:rsidP="00C445F8">
      <w:pPr>
        <w:pStyle w:val="Style9"/>
        <w:widowControl/>
        <w:tabs>
          <w:tab w:val="center" w:pos="4252"/>
          <w:tab w:val="left" w:pos="5316"/>
        </w:tabs>
        <w:spacing w:before="60" w:line="240" w:lineRule="auto"/>
        <w:ind w:firstLine="0"/>
        <w:jc w:val="center"/>
        <w:rPr>
          <w:rStyle w:val="FontStyle45"/>
          <w:rFonts w:ascii="Arial" w:hAnsi="Arial" w:cs="Arial"/>
          <w:bCs/>
          <w:sz w:val="28"/>
          <w:szCs w:val="28"/>
        </w:rPr>
      </w:pPr>
      <w:r w:rsidRPr="000F2CCD">
        <w:rPr>
          <w:rStyle w:val="FontStyle45"/>
          <w:rFonts w:ascii="Arial" w:hAnsi="Arial" w:cs="Arial"/>
          <w:bCs/>
          <w:iCs/>
          <w:sz w:val="28"/>
          <w:szCs w:val="28"/>
        </w:rPr>
        <w:t>CONSUMATORUL RAŢIONAL</w:t>
      </w:r>
    </w:p>
    <w:p w:rsidR="00AD1C3B" w:rsidRPr="000F2CCD" w:rsidRDefault="00AD1C3B" w:rsidP="00C445F8">
      <w:pPr>
        <w:pStyle w:val="Style9"/>
        <w:widowControl/>
        <w:spacing w:before="60" w:line="240" w:lineRule="auto"/>
        <w:ind w:firstLine="0"/>
        <w:jc w:val="center"/>
        <w:rPr>
          <w:rStyle w:val="FontStyle45"/>
          <w:rFonts w:ascii="Arial" w:hAnsi="Arial" w:cs="Arial"/>
          <w:bCs/>
          <w:sz w:val="24"/>
          <w:szCs w:val="24"/>
        </w:rPr>
      </w:pPr>
    </w:p>
    <w:p w:rsidR="001A237A" w:rsidRPr="000F2CCD" w:rsidRDefault="001A237A"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Toţi suntem consumatori. Unui adolescent, elev de liceu, îi place să se hrănească mai degrabă cu “burgeri” sau pizza, preferă o Cola, frecventează şcoala, este interesat de cărţi, reviste, CD-uri, computer şi internet, “iese” în excursii, discoteci, la cinema, ia calciu şi vitamine, face sport etc. “Burgerii”, pizza, cola, şcoala, revistele…</w:t>
      </w:r>
      <w:r w:rsidR="00B43A65" w:rsidRPr="000F2CCD">
        <w:rPr>
          <w:rStyle w:val="FontStyle49"/>
          <w:rFonts w:ascii="Arial" w:hAnsi="Arial" w:cs="Arial"/>
          <w:b w:val="0"/>
          <w:sz w:val="24"/>
          <w:szCs w:val="24"/>
        </w:rPr>
        <w:t xml:space="preserve"> </w:t>
      </w:r>
      <w:r w:rsidRPr="000F2CCD">
        <w:rPr>
          <w:rStyle w:val="FontStyle49"/>
          <w:rFonts w:ascii="Arial" w:hAnsi="Arial" w:cs="Arial"/>
          <w:b w:val="0"/>
          <w:sz w:val="24"/>
          <w:szCs w:val="24"/>
        </w:rPr>
        <w:t>sunt bunuri şi servicii care satisfac nevoi diverse, specifice vârstei, preferinţelor, nivelului de cultură şi civilizaţie al unei persoane.</w:t>
      </w:r>
    </w:p>
    <w:p w:rsidR="001A237A" w:rsidRPr="000F2CCD" w:rsidRDefault="001A237A"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Consumatorul “REGE”. În economia de piaţă, formula “consumatorul este rege” nu reprezintă o afirmaţie lipsită de conţinut, ci este expresia sintetică a realităţii, conform căreia producţia se subordonează consumului. Astfel, există specialişti în marketing care vin în întâmpinarea dorinţelor consumatorului, analizând, chiar prognozând preferinţele acestuia, cu scopul de a concepe produsul potrivit la momentul potrivit.</w:t>
      </w:r>
    </w:p>
    <w:p w:rsidR="001A237A" w:rsidRPr="000F2CCD" w:rsidRDefault="001A237A"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“Prima condiţie a reuşitei în afaceri este să apreciezi corect nevoile consumatorului. Orice eroare în acest sens îl costă scump pe producător.” (M.Didier.)</w:t>
      </w:r>
    </w:p>
    <w:p w:rsidR="002D4840" w:rsidRPr="000F2CCD" w:rsidRDefault="002D4840"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În secolul nostru s-a produs un adevărat salt în consum. Statisticile arată că noi consumăm de trei ori mai mult decât părinţii noştri. Faptul este vizibil dacă ne uităm în jurul nostru, la bunurile pe care le folosim (de exemplu, dotarea cu aparatură casnică).</w:t>
      </w:r>
    </w:p>
    <w:p w:rsidR="002D4840" w:rsidRPr="000F2CCD" w:rsidRDefault="002D4840"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Studiile specialiştilor pun în evidenţă existenţa unei ierarhii a nevoilor. Aceasta face ca în situaţiile caracterizate printr-un nivel de trai scăzut, să fie satisfăcute nevoile urgente, iar o dată cu creşterea nivelului de trai, să crească şi cheltuielile pentru bunuri şi servicii care nu sunt indispensabile (recreere, timp liber, concedii, călătorii etc.).</w:t>
      </w:r>
    </w:p>
    <w:p w:rsidR="00BF16C3" w:rsidRPr="000F2CCD" w:rsidRDefault="00D94F8B" w:rsidP="00C445F8">
      <w:pPr>
        <w:pStyle w:val="Style9"/>
        <w:widowControl/>
        <w:spacing w:before="60" w:line="240" w:lineRule="auto"/>
        <w:ind w:firstLine="0"/>
        <w:rPr>
          <w:rStyle w:val="FontStyle49"/>
          <w:rFonts w:ascii="Arial" w:hAnsi="Arial" w:cs="Arial"/>
          <w:b w:val="0"/>
          <w:sz w:val="24"/>
          <w:szCs w:val="24"/>
        </w:rPr>
      </w:pPr>
      <w:r>
        <w:rPr>
          <w:rFonts w:ascii="Arial" w:hAnsi="Arial" w:cs="Arial"/>
          <w:bCs/>
          <w:noProof/>
          <w:lang w:eastAsia="zh-CN"/>
        </w:rPr>
        <w:drawing>
          <wp:inline distT="0" distB="0" distL="0" distR="0">
            <wp:extent cx="2952750" cy="2952750"/>
            <wp:effectExtent l="19050" t="0" r="0" b="0"/>
            <wp:docPr id="1" name="Picture 1" descr="com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_i"/>
                    <pic:cNvPicPr>
                      <a:picLocks noChangeAspect="1" noChangeArrowheads="1"/>
                    </pic:cNvPicPr>
                  </pic:nvPicPr>
                  <pic:blipFill>
                    <a:blip r:embed="rId7"/>
                    <a:srcRect/>
                    <a:stretch>
                      <a:fillRect/>
                    </a:stretch>
                  </pic:blipFill>
                  <pic:spPr bwMode="auto">
                    <a:xfrm>
                      <a:off x="0" y="0"/>
                      <a:ext cx="2952750" cy="2952750"/>
                    </a:xfrm>
                    <a:prstGeom prst="rect">
                      <a:avLst/>
                    </a:prstGeom>
                    <a:noFill/>
                    <a:ln w="9525">
                      <a:noFill/>
                      <a:miter lim="800000"/>
                      <a:headEnd/>
                      <a:tailEnd/>
                    </a:ln>
                  </pic:spPr>
                </pic:pic>
              </a:graphicData>
            </a:graphic>
          </wp:inline>
        </w:drawing>
      </w:r>
    </w:p>
    <w:p w:rsidR="002D4840" w:rsidRPr="000F2CCD" w:rsidRDefault="002D4840"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Astfel, în societăţile bogate, structura consumului scoate în evidenţă creşterea ponderii serviciilor, după cum se poate observa în graficele/tabelele următoare […].</w:t>
      </w:r>
    </w:p>
    <w:p w:rsidR="002724FB" w:rsidRPr="000F2CCD" w:rsidRDefault="002D4840"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Problema consumului şi a consumatorului presupune cunoaşterea bunurilor. Din punct de vedere economic, prin bunuri înţelegem tot ceea ce poate satisface o anumită nevoie de trai.</w:t>
      </w:r>
      <w:r w:rsidR="002724FB" w:rsidRPr="000F2CCD">
        <w:rPr>
          <w:rStyle w:val="FontStyle49"/>
          <w:rFonts w:ascii="Arial" w:hAnsi="Arial" w:cs="Arial"/>
          <w:b w:val="0"/>
          <w:sz w:val="24"/>
          <w:szCs w:val="24"/>
        </w:rPr>
        <w:t xml:space="preserve"> […]</w:t>
      </w:r>
    </w:p>
    <w:p w:rsidR="002D4840" w:rsidRPr="000F2CCD" w:rsidRDefault="002724FB"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lastRenderedPageBreak/>
        <w:t>Bunurile economice, în speci</w:t>
      </w:r>
      <w:r w:rsidR="00265968">
        <w:rPr>
          <w:rStyle w:val="FontStyle49"/>
          <w:rFonts w:ascii="Arial" w:hAnsi="Arial" w:cs="Arial"/>
          <w:b w:val="0"/>
          <w:sz w:val="24"/>
          <w:szCs w:val="24"/>
        </w:rPr>
        <w:t>al cele marfare, au capacitatea</w:t>
      </w:r>
      <w:r w:rsidRPr="000F2CCD">
        <w:rPr>
          <w:rStyle w:val="FontStyle49"/>
          <w:rFonts w:ascii="Arial" w:hAnsi="Arial" w:cs="Arial"/>
          <w:b w:val="0"/>
          <w:sz w:val="24"/>
          <w:szCs w:val="24"/>
        </w:rPr>
        <w:t xml:space="preserve"> de a satisface nevoile consumatorilor datorită caracteristicilor şi utilită</w:t>
      </w:r>
      <w:r w:rsidR="00B43A65" w:rsidRPr="000F2CCD">
        <w:rPr>
          <w:rStyle w:val="FontStyle49"/>
          <w:rFonts w:ascii="Arial" w:hAnsi="Arial" w:cs="Arial"/>
          <w:b w:val="0"/>
          <w:sz w:val="24"/>
          <w:szCs w:val="24"/>
        </w:rPr>
        <w:t>ţ</w:t>
      </w:r>
      <w:r w:rsidRPr="000F2CCD">
        <w:rPr>
          <w:rStyle w:val="FontStyle49"/>
          <w:rFonts w:ascii="Arial" w:hAnsi="Arial" w:cs="Arial"/>
          <w:b w:val="0"/>
          <w:sz w:val="24"/>
          <w:szCs w:val="24"/>
        </w:rPr>
        <w:t>ii lor.</w:t>
      </w:r>
    </w:p>
    <w:p w:rsidR="002724FB" w:rsidRPr="000F2CCD" w:rsidRDefault="002724FB"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Utilitatea reflectă legătura care există între caracteristicile proprii ale bunurilor şi nevoile, preferinţele consumatorilor, în următoarele condiţii: a) însuşirea bunurilor şi serviciilor să răspundă unor nevoi; b) capacitatea consumatorului de a folosi caracteristice bunurilor.</w:t>
      </w:r>
      <w:r w:rsidR="00265968">
        <w:rPr>
          <w:rStyle w:val="FontStyle49"/>
          <w:rFonts w:ascii="Arial" w:hAnsi="Arial" w:cs="Arial"/>
          <w:b w:val="0"/>
          <w:sz w:val="24"/>
          <w:szCs w:val="24"/>
        </w:rPr>
        <w:t>[…]</w:t>
      </w:r>
    </w:p>
    <w:p w:rsidR="002724FB" w:rsidRPr="000F2CCD" w:rsidRDefault="002724FB" w:rsidP="00C445F8">
      <w:pPr>
        <w:pStyle w:val="Style9"/>
        <w:widowControl/>
        <w:spacing w:before="60" w:line="240" w:lineRule="auto"/>
        <w:ind w:firstLine="851"/>
        <w:rPr>
          <w:rStyle w:val="FontStyle49"/>
          <w:rFonts w:ascii="Arial" w:hAnsi="Arial" w:cs="Arial"/>
          <w:b w:val="0"/>
          <w:sz w:val="24"/>
          <w:szCs w:val="24"/>
        </w:rPr>
      </w:pPr>
      <w:r w:rsidRPr="000F2CCD">
        <w:rPr>
          <w:rStyle w:val="FontStyle49"/>
          <w:rFonts w:ascii="Arial" w:hAnsi="Arial" w:cs="Arial"/>
          <w:b w:val="0"/>
          <w:sz w:val="24"/>
          <w:szCs w:val="24"/>
        </w:rPr>
        <w:t>Utilitatea economică constă în satisfacţia generată de consumul unei cantităţi determinate dintr-un bun (ansamblu de bunuri). […]</w:t>
      </w:r>
    </w:p>
    <w:p w:rsidR="00162DB5" w:rsidRPr="000F2CCD" w:rsidRDefault="002724FB" w:rsidP="00C445F8">
      <w:pPr>
        <w:pStyle w:val="Style9"/>
        <w:widowControl/>
        <w:spacing w:before="60" w:line="240" w:lineRule="auto"/>
        <w:ind w:firstLine="0"/>
        <w:rPr>
          <w:rStyle w:val="FontStyle45"/>
          <w:rFonts w:ascii="Arial" w:hAnsi="Arial" w:cs="Arial"/>
          <w:sz w:val="24"/>
          <w:szCs w:val="24"/>
        </w:rPr>
      </w:pPr>
      <w:r w:rsidRPr="000F2CCD">
        <w:rPr>
          <w:rStyle w:val="FontStyle45"/>
          <w:rFonts w:ascii="Arial" w:hAnsi="Arial" w:cs="Arial"/>
          <w:sz w:val="24"/>
          <w:szCs w:val="24"/>
        </w:rPr>
        <w:tab/>
        <w:t>Clasificarea bunurilor:</w:t>
      </w:r>
    </w:p>
    <w:p w:rsidR="002724FB" w:rsidRPr="000F2CCD" w:rsidRDefault="002724FB" w:rsidP="00C445F8">
      <w:pPr>
        <w:pStyle w:val="Style9"/>
        <w:widowControl/>
        <w:numPr>
          <w:ilvl w:val="0"/>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După forma de existenţă:</w:t>
      </w:r>
    </w:p>
    <w:p w:rsidR="002724FB" w:rsidRPr="000F2CCD" w:rsidRDefault="002724FB"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propriu-zise (cu formă materială, corporală);</w:t>
      </w:r>
    </w:p>
    <w:p w:rsidR="002724FB" w:rsidRPr="000F2CCD" w:rsidRDefault="002724FB"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servicii (sunt nemateriale: lecţiile predate, tratamentele medicale);</w:t>
      </w:r>
    </w:p>
    <w:p w:rsidR="00C10EB2" w:rsidRPr="000F2CCD" w:rsidRDefault="002724FB"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informaţii (licenţe, brevete, programe pe calculator)</w:t>
      </w:r>
      <w:r w:rsidR="00B43A65" w:rsidRPr="000F2CCD">
        <w:rPr>
          <w:rStyle w:val="FontStyle45"/>
          <w:rFonts w:ascii="Arial" w:hAnsi="Arial" w:cs="Arial"/>
          <w:sz w:val="24"/>
          <w:szCs w:val="24"/>
        </w:rPr>
        <w:t>;</w:t>
      </w:r>
    </w:p>
    <w:p w:rsidR="008E5812" w:rsidRPr="000F2CCD" w:rsidRDefault="00C10EB2" w:rsidP="00C445F8">
      <w:pPr>
        <w:pStyle w:val="Style9"/>
        <w:widowControl/>
        <w:numPr>
          <w:ilvl w:val="0"/>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După modul de relaţionare</w:t>
      </w:r>
      <w:r w:rsidR="00C4188D" w:rsidRPr="000F2CCD">
        <w:rPr>
          <w:rStyle w:val="FontStyle45"/>
          <w:rFonts w:ascii="Arial" w:hAnsi="Arial" w:cs="Arial"/>
          <w:sz w:val="24"/>
          <w:szCs w:val="24"/>
        </w:rPr>
        <w:t xml:space="preserve"> (a,b)</w:t>
      </w:r>
      <w:r w:rsidR="00EF52E3" w:rsidRPr="000F2CCD">
        <w:rPr>
          <w:rStyle w:val="FontStyle45"/>
          <w:rFonts w:ascii="Arial" w:hAnsi="Arial" w:cs="Arial"/>
          <w:sz w:val="24"/>
          <w:szCs w:val="24"/>
        </w:rPr>
        <w:t xml:space="preserve"> şi modul în care circulă</w:t>
      </w:r>
      <w:r w:rsidR="00C4188D" w:rsidRPr="000F2CCD">
        <w:rPr>
          <w:rStyle w:val="FontStyle45"/>
          <w:rFonts w:ascii="Arial" w:hAnsi="Arial" w:cs="Arial"/>
          <w:sz w:val="24"/>
          <w:szCs w:val="24"/>
        </w:rPr>
        <w:t xml:space="preserve"> (c,d)</w:t>
      </w:r>
      <w:r w:rsidRPr="000F2CCD">
        <w:rPr>
          <w:rStyle w:val="FontStyle45"/>
          <w:rFonts w:ascii="Arial" w:hAnsi="Arial" w:cs="Arial"/>
          <w:sz w:val="24"/>
          <w:szCs w:val="24"/>
        </w:rPr>
        <w:t>:</w:t>
      </w:r>
    </w:p>
    <w:p w:rsidR="00C10EB2" w:rsidRPr="000F2CCD" w:rsidRDefault="00C10EB2"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complementare, care trebuie utilizate împreună (automobilul şi benzina);</w:t>
      </w:r>
    </w:p>
    <w:p w:rsidR="00C10EB2" w:rsidRPr="000F2CCD" w:rsidRDefault="00C10EB2"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substituibile, între care trebuie ales pentru a satisface o nevoie (la jogging utilizăm</w:t>
      </w:r>
      <w:r w:rsidR="00B43A65" w:rsidRPr="000F2CCD">
        <w:rPr>
          <w:rStyle w:val="FontStyle45"/>
          <w:rFonts w:ascii="Arial" w:hAnsi="Arial" w:cs="Arial"/>
          <w:sz w:val="24"/>
          <w:szCs w:val="24"/>
        </w:rPr>
        <w:t xml:space="preserve"> pantofi tip adidas sau tenişi);</w:t>
      </w:r>
    </w:p>
    <w:p w:rsidR="00C10EB2" w:rsidRPr="000F2CCD" w:rsidRDefault="00C10EB2"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marfare, care sunt oferite pe piaţă, de regulă, la un preţ care acoperă costul de producţie şi asigură un profit;</w:t>
      </w:r>
    </w:p>
    <w:p w:rsidR="00C10EB2" w:rsidRPr="000F2CCD" w:rsidRDefault="00C10EB2"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nemarfare, care sunt oferite în afara pieţei de către instituţiile publice sau private (învăţământ, sănătate, cultură, televiziune).</w:t>
      </w:r>
    </w:p>
    <w:p w:rsidR="00C10EB2" w:rsidRPr="000F2CCD" w:rsidRDefault="00C10EB2" w:rsidP="00C445F8">
      <w:pPr>
        <w:pStyle w:val="Style9"/>
        <w:widowControl/>
        <w:numPr>
          <w:ilvl w:val="0"/>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După modul de acces şi provenienţă</w:t>
      </w:r>
      <w:r w:rsidR="00C4188D" w:rsidRPr="000F2CCD">
        <w:rPr>
          <w:rStyle w:val="FontStyle45"/>
          <w:rFonts w:ascii="Arial" w:hAnsi="Arial" w:cs="Arial"/>
          <w:sz w:val="24"/>
          <w:szCs w:val="24"/>
        </w:rPr>
        <w:t xml:space="preserve"> (a,b) şi după scopul consumului (c,d)</w:t>
      </w:r>
      <w:r w:rsidRPr="000F2CCD">
        <w:rPr>
          <w:rStyle w:val="FontStyle45"/>
          <w:rFonts w:ascii="Arial" w:hAnsi="Arial" w:cs="Arial"/>
          <w:sz w:val="24"/>
          <w:szCs w:val="24"/>
        </w:rPr>
        <w:t>:</w:t>
      </w:r>
    </w:p>
    <w:p w:rsidR="00C10EB2" w:rsidRPr="000F2CCD" w:rsidRDefault="00C10EB2"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libere, preluate direct din natură şi la care accesul este liber (de exemplu, apa mă</w:t>
      </w:r>
      <w:r w:rsidR="0076225A" w:rsidRPr="000F2CCD">
        <w:rPr>
          <w:rStyle w:val="FontStyle45"/>
          <w:rFonts w:ascii="Arial" w:hAnsi="Arial" w:cs="Arial"/>
          <w:sz w:val="24"/>
          <w:szCs w:val="24"/>
        </w:rPr>
        <w:t>rilor şi</w:t>
      </w:r>
      <w:r w:rsidRPr="000F2CCD">
        <w:rPr>
          <w:rStyle w:val="FontStyle45"/>
          <w:rFonts w:ascii="Arial" w:hAnsi="Arial" w:cs="Arial"/>
          <w:sz w:val="24"/>
          <w:szCs w:val="24"/>
        </w:rPr>
        <w:t xml:space="preserve"> a oceanului, aerul etc.);</w:t>
      </w:r>
    </w:p>
    <w:p w:rsidR="00C4188D" w:rsidRPr="000F2CCD" w:rsidRDefault="00C10EB2"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economice, rezultate din activitatea umană, accesul fiind condiţionat de plata unei contravalori</w:t>
      </w:r>
      <w:r w:rsidR="00F450E7" w:rsidRPr="000F2CCD">
        <w:rPr>
          <w:rStyle w:val="FontStyle45"/>
          <w:rFonts w:ascii="Arial" w:hAnsi="Arial" w:cs="Arial"/>
          <w:sz w:val="24"/>
          <w:szCs w:val="24"/>
        </w:rPr>
        <w:t>[…]</w:t>
      </w:r>
      <w:r w:rsidR="00B43A65" w:rsidRPr="000F2CCD">
        <w:rPr>
          <w:rStyle w:val="FontStyle45"/>
          <w:rFonts w:ascii="Arial" w:hAnsi="Arial" w:cs="Arial"/>
          <w:sz w:val="24"/>
          <w:szCs w:val="24"/>
        </w:rPr>
        <w:t>;</w:t>
      </w:r>
    </w:p>
    <w:p w:rsidR="00C4188D" w:rsidRPr="000F2CCD" w:rsidRDefault="00C4188D"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finale;</w:t>
      </w:r>
    </w:p>
    <w:p w:rsidR="00C10EB2" w:rsidRPr="000F2CCD" w:rsidRDefault="00C4188D" w:rsidP="00C445F8">
      <w:pPr>
        <w:pStyle w:val="Style9"/>
        <w:widowControl/>
        <w:numPr>
          <w:ilvl w:val="1"/>
          <w:numId w:val="26"/>
        </w:numPr>
        <w:spacing w:before="60" w:line="240" w:lineRule="auto"/>
        <w:rPr>
          <w:rStyle w:val="FontStyle45"/>
          <w:rFonts w:ascii="Arial" w:hAnsi="Arial" w:cs="Arial"/>
          <w:sz w:val="24"/>
          <w:szCs w:val="24"/>
        </w:rPr>
      </w:pPr>
      <w:r w:rsidRPr="000F2CCD">
        <w:rPr>
          <w:rStyle w:val="FontStyle45"/>
          <w:rFonts w:ascii="Arial" w:hAnsi="Arial" w:cs="Arial"/>
          <w:sz w:val="24"/>
          <w:szCs w:val="24"/>
        </w:rPr>
        <w:t>bunuri intermediare</w:t>
      </w:r>
      <w:r w:rsidR="00C10EB2" w:rsidRPr="000F2CCD">
        <w:rPr>
          <w:rStyle w:val="FontStyle45"/>
          <w:rFonts w:ascii="Arial" w:hAnsi="Arial" w:cs="Arial"/>
          <w:sz w:val="24"/>
          <w:szCs w:val="24"/>
        </w:rPr>
        <w:t>.</w:t>
      </w:r>
    </w:p>
    <w:p w:rsidR="000D44A6" w:rsidRPr="000F2CCD" w:rsidRDefault="000D44A6" w:rsidP="00C445F8">
      <w:pPr>
        <w:spacing w:before="60"/>
        <w:rPr>
          <w:rFonts w:ascii="Arial" w:hAnsi="Arial" w:cs="Arial"/>
        </w:rPr>
      </w:pPr>
    </w:p>
    <w:tbl>
      <w:tblPr>
        <w:tblStyle w:val="TableGrid"/>
        <w:tblW w:w="5000" w:type="pct"/>
        <w:tblLook w:val="01E0"/>
      </w:tblPr>
      <w:tblGrid>
        <w:gridCol w:w="3127"/>
        <w:gridCol w:w="2346"/>
        <w:gridCol w:w="1624"/>
        <w:gridCol w:w="1624"/>
      </w:tblGrid>
      <w:tr w:rsidR="001853D6" w:rsidRPr="00893667">
        <w:tc>
          <w:tcPr>
            <w:tcW w:w="1792" w:type="pct"/>
          </w:tcPr>
          <w:p w:rsidR="001853D6" w:rsidRPr="00893667" w:rsidRDefault="001853D6" w:rsidP="00FD7687">
            <w:pPr>
              <w:pStyle w:val="Footer"/>
              <w:spacing w:before="60"/>
              <w:jc w:val="both"/>
              <w:rPr>
                <w:rFonts w:ascii="Arial" w:hAnsi="Arial" w:cs="Arial"/>
                <w:sz w:val="28"/>
                <w:szCs w:val="28"/>
              </w:rPr>
            </w:pPr>
            <w:r w:rsidRPr="00893667">
              <w:rPr>
                <w:rFonts w:ascii="Arial" w:hAnsi="Arial" w:cs="Arial"/>
                <w:sz w:val="28"/>
                <w:szCs w:val="28"/>
              </w:rPr>
              <w:t>Bunuri</w:t>
            </w:r>
          </w:p>
        </w:tc>
        <w:tc>
          <w:tcPr>
            <w:tcW w:w="1345" w:type="pct"/>
          </w:tcPr>
          <w:p w:rsidR="001853D6" w:rsidRPr="00893667" w:rsidRDefault="001853D6" w:rsidP="00FD7687">
            <w:pPr>
              <w:pStyle w:val="Footer"/>
              <w:spacing w:before="60"/>
              <w:jc w:val="both"/>
              <w:rPr>
                <w:rFonts w:ascii="Arial" w:hAnsi="Arial" w:cs="Arial"/>
                <w:sz w:val="28"/>
                <w:szCs w:val="28"/>
              </w:rPr>
            </w:pPr>
            <w:r w:rsidRPr="00893667">
              <w:rPr>
                <w:rFonts w:ascii="Arial" w:hAnsi="Arial" w:cs="Arial"/>
                <w:sz w:val="28"/>
                <w:szCs w:val="28"/>
              </w:rPr>
              <w:t>Anul 1963</w:t>
            </w:r>
          </w:p>
        </w:tc>
        <w:tc>
          <w:tcPr>
            <w:tcW w:w="931" w:type="pct"/>
          </w:tcPr>
          <w:p w:rsidR="001853D6" w:rsidRPr="00893667" w:rsidRDefault="001853D6" w:rsidP="00FD7687">
            <w:pPr>
              <w:pStyle w:val="Footer"/>
              <w:spacing w:before="60"/>
              <w:jc w:val="both"/>
              <w:rPr>
                <w:rFonts w:ascii="Arial" w:hAnsi="Arial" w:cs="Arial"/>
                <w:sz w:val="28"/>
                <w:szCs w:val="28"/>
              </w:rPr>
            </w:pPr>
            <w:r w:rsidRPr="00893667">
              <w:rPr>
                <w:rFonts w:ascii="Arial" w:hAnsi="Arial" w:cs="Arial"/>
                <w:sz w:val="28"/>
                <w:szCs w:val="28"/>
              </w:rPr>
              <w:t>Anul 1990</w:t>
            </w:r>
          </w:p>
        </w:tc>
        <w:tc>
          <w:tcPr>
            <w:tcW w:w="931" w:type="pct"/>
          </w:tcPr>
          <w:p w:rsidR="001853D6" w:rsidRPr="00893667" w:rsidRDefault="001853D6" w:rsidP="00FD7687">
            <w:pPr>
              <w:pStyle w:val="Footer"/>
              <w:spacing w:before="60"/>
              <w:jc w:val="both"/>
              <w:rPr>
                <w:rFonts w:ascii="Arial" w:hAnsi="Arial" w:cs="Arial"/>
                <w:sz w:val="28"/>
                <w:szCs w:val="28"/>
              </w:rPr>
            </w:pPr>
            <w:r w:rsidRPr="00893667">
              <w:rPr>
                <w:rFonts w:ascii="Arial" w:hAnsi="Arial" w:cs="Arial"/>
                <w:sz w:val="28"/>
                <w:szCs w:val="28"/>
              </w:rPr>
              <w:t>Anul 2003</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Alimente</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30</w:t>
            </w:r>
            <w:r w:rsidR="00780D0F" w:rsidRPr="000F2CCD">
              <w:rPr>
                <w:rFonts w:ascii="Arial" w:hAnsi="Arial" w:cs="Arial"/>
              </w:rPr>
              <w:t>,</w:t>
            </w:r>
            <w:r w:rsidRPr="000F2CCD">
              <w:rPr>
                <w:rFonts w:ascii="Arial" w:hAnsi="Arial" w:cs="Arial"/>
              </w:rPr>
              <w:t>5</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19</w:t>
            </w:r>
            <w:r w:rsidR="00780D0F" w:rsidRPr="000F2CCD">
              <w:rPr>
                <w:rFonts w:ascii="Arial" w:hAnsi="Arial" w:cs="Arial"/>
              </w:rPr>
              <w:t>,5</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16</w:t>
            </w:r>
            <w:r w:rsidR="00780D0F" w:rsidRPr="000F2CCD">
              <w:rPr>
                <w:rFonts w:ascii="Arial" w:hAnsi="Arial" w:cs="Arial"/>
              </w:rPr>
              <w:t>,</w:t>
            </w:r>
            <w:r w:rsidRPr="000F2CCD">
              <w:rPr>
                <w:rFonts w:ascii="Arial" w:hAnsi="Arial" w:cs="Arial"/>
              </w:rPr>
              <w:t>4</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Îmbrăcăminte</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9</w:t>
            </w:r>
            <w:r w:rsidR="00780D0F" w:rsidRPr="000F2CCD">
              <w:rPr>
                <w:rFonts w:ascii="Arial" w:hAnsi="Arial" w:cs="Arial"/>
              </w:rPr>
              <w:t>,</w:t>
            </w:r>
            <w:r w:rsidRPr="000F2CCD">
              <w:rPr>
                <w:rFonts w:ascii="Arial" w:hAnsi="Arial" w:cs="Arial"/>
              </w:rPr>
              <w:t>5</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6</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5</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Locuinţă</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12</w:t>
            </w:r>
            <w:r w:rsidR="00780D0F" w:rsidRPr="000F2CCD">
              <w:rPr>
                <w:rFonts w:ascii="Arial" w:hAnsi="Arial" w:cs="Arial"/>
              </w:rPr>
              <w:t>,</w:t>
            </w:r>
            <w:r w:rsidRPr="000F2CCD">
              <w:rPr>
                <w:rFonts w:ascii="Arial" w:hAnsi="Arial" w:cs="Arial"/>
              </w:rPr>
              <w:t>9</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16</w:t>
            </w:r>
            <w:r w:rsidR="00780D0F" w:rsidRPr="000F2CCD">
              <w:rPr>
                <w:rFonts w:ascii="Arial" w:hAnsi="Arial" w:cs="Arial"/>
              </w:rPr>
              <w:t>,</w:t>
            </w:r>
            <w:r w:rsidRPr="000F2CCD">
              <w:rPr>
                <w:rFonts w:ascii="Arial" w:hAnsi="Arial" w:cs="Arial"/>
              </w:rPr>
              <w:t>7</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17</w:t>
            </w:r>
            <w:r w:rsidR="00780D0F" w:rsidRPr="000F2CCD">
              <w:rPr>
                <w:rFonts w:ascii="Arial" w:hAnsi="Arial" w:cs="Arial"/>
              </w:rPr>
              <w:t>,</w:t>
            </w:r>
            <w:r w:rsidRPr="000F2CCD">
              <w:rPr>
                <w:rFonts w:ascii="Arial" w:hAnsi="Arial" w:cs="Arial"/>
              </w:rPr>
              <w:t>3</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Echipament casnic</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10</w:t>
            </w:r>
            <w:r w:rsidR="00780D0F" w:rsidRPr="000F2CCD">
              <w:rPr>
                <w:rFonts w:ascii="Arial" w:hAnsi="Arial" w:cs="Arial"/>
              </w:rPr>
              <w:t>,</w:t>
            </w:r>
            <w:r w:rsidRPr="000F2CCD">
              <w:rPr>
                <w:rFonts w:ascii="Arial" w:hAnsi="Arial" w:cs="Arial"/>
              </w:rPr>
              <w:t>3</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9</w:t>
            </w:r>
            <w:r w:rsidR="00780D0F" w:rsidRPr="000F2CCD">
              <w:rPr>
                <w:rFonts w:ascii="Arial" w:hAnsi="Arial" w:cs="Arial"/>
              </w:rPr>
              <w:t>,</w:t>
            </w:r>
            <w:r w:rsidRPr="000F2CCD">
              <w:rPr>
                <w:rFonts w:ascii="Arial" w:hAnsi="Arial" w:cs="Arial"/>
              </w:rPr>
              <w:t>1</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9</w:t>
            </w:r>
            <w:r w:rsidR="00780D0F" w:rsidRPr="000F2CCD">
              <w:rPr>
                <w:rFonts w:ascii="Arial" w:hAnsi="Arial" w:cs="Arial"/>
              </w:rPr>
              <w:t>,</w:t>
            </w:r>
            <w:r w:rsidRPr="000F2CCD">
              <w:rPr>
                <w:rFonts w:ascii="Arial" w:hAnsi="Arial" w:cs="Arial"/>
              </w:rPr>
              <w:t>2</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Sănătate</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7</w:t>
            </w:r>
            <w:r w:rsidR="00780D0F" w:rsidRPr="000F2CCD">
              <w:rPr>
                <w:rFonts w:ascii="Arial" w:hAnsi="Arial" w:cs="Arial"/>
              </w:rPr>
              <w:t>,</w:t>
            </w:r>
            <w:r w:rsidRPr="000F2CCD">
              <w:rPr>
                <w:rFonts w:ascii="Arial" w:hAnsi="Arial" w:cs="Arial"/>
              </w:rPr>
              <w:t>9</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16</w:t>
            </w:r>
            <w:r w:rsidR="00780D0F" w:rsidRPr="000F2CCD">
              <w:rPr>
                <w:rFonts w:ascii="Arial" w:hAnsi="Arial" w:cs="Arial"/>
              </w:rPr>
              <w:t>,</w:t>
            </w:r>
            <w:r w:rsidRPr="000F2CCD">
              <w:rPr>
                <w:rFonts w:ascii="Arial" w:hAnsi="Arial" w:cs="Arial"/>
              </w:rPr>
              <w:t>7</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19</w:t>
            </w:r>
            <w:r w:rsidR="00780D0F" w:rsidRPr="000F2CCD">
              <w:rPr>
                <w:rFonts w:ascii="Arial" w:hAnsi="Arial" w:cs="Arial"/>
              </w:rPr>
              <w:t>,</w:t>
            </w:r>
            <w:r w:rsidRPr="000F2CCD">
              <w:rPr>
                <w:rFonts w:ascii="Arial" w:hAnsi="Arial" w:cs="Arial"/>
              </w:rPr>
              <w:t>3</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Transporturi</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10</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13</w:t>
            </w:r>
            <w:r w:rsidR="00780D0F" w:rsidRPr="000F2CCD">
              <w:rPr>
                <w:rFonts w:ascii="Arial" w:hAnsi="Arial" w:cs="Arial"/>
              </w:rPr>
              <w:t>,</w:t>
            </w:r>
            <w:r w:rsidRPr="000F2CCD">
              <w:rPr>
                <w:rFonts w:ascii="Arial" w:hAnsi="Arial" w:cs="Arial"/>
              </w:rPr>
              <w:t>7</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13</w:t>
            </w:r>
            <w:r w:rsidR="00780D0F" w:rsidRPr="000F2CCD">
              <w:rPr>
                <w:rFonts w:ascii="Arial" w:hAnsi="Arial" w:cs="Arial"/>
              </w:rPr>
              <w:t>,</w:t>
            </w:r>
            <w:r w:rsidRPr="000F2CCD">
              <w:rPr>
                <w:rFonts w:ascii="Arial" w:hAnsi="Arial" w:cs="Arial"/>
              </w:rPr>
              <w:t>8</w:t>
            </w:r>
          </w:p>
        </w:tc>
      </w:tr>
      <w:tr w:rsidR="001853D6" w:rsidRPr="000F2CCD">
        <w:tc>
          <w:tcPr>
            <w:tcW w:w="1792" w:type="pct"/>
          </w:tcPr>
          <w:p w:rsidR="001853D6" w:rsidRPr="000F2CCD" w:rsidRDefault="001853D6" w:rsidP="00FD7687">
            <w:pPr>
              <w:pStyle w:val="Footer"/>
              <w:spacing w:before="60"/>
              <w:jc w:val="both"/>
              <w:rPr>
                <w:rFonts w:ascii="Arial" w:hAnsi="Arial" w:cs="Arial"/>
              </w:rPr>
            </w:pPr>
            <w:r w:rsidRPr="000F2CCD">
              <w:rPr>
                <w:rFonts w:ascii="Arial" w:hAnsi="Arial" w:cs="Arial"/>
              </w:rPr>
              <w:t>Timp liber, cultură, diverse</w:t>
            </w:r>
          </w:p>
        </w:tc>
        <w:tc>
          <w:tcPr>
            <w:tcW w:w="1345" w:type="pct"/>
          </w:tcPr>
          <w:p w:rsidR="001853D6" w:rsidRPr="000F2CCD" w:rsidRDefault="001853D6" w:rsidP="00FD7687">
            <w:pPr>
              <w:pStyle w:val="Footer"/>
              <w:spacing w:before="60"/>
              <w:jc w:val="both"/>
              <w:rPr>
                <w:rFonts w:ascii="Arial" w:hAnsi="Arial" w:cs="Arial"/>
              </w:rPr>
            </w:pPr>
            <w:r w:rsidRPr="000F2CCD">
              <w:rPr>
                <w:rFonts w:ascii="Arial" w:hAnsi="Arial" w:cs="Arial"/>
              </w:rPr>
              <w:t>18</w:t>
            </w:r>
            <w:r w:rsidR="00780D0F" w:rsidRPr="000F2CCD">
              <w:rPr>
                <w:rFonts w:ascii="Arial" w:hAnsi="Arial" w:cs="Arial"/>
              </w:rPr>
              <w:t>,</w:t>
            </w:r>
            <w:r w:rsidRPr="000F2CCD">
              <w:rPr>
                <w:rFonts w:ascii="Arial" w:hAnsi="Arial" w:cs="Arial"/>
              </w:rPr>
              <w:t>9</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18</w:t>
            </w:r>
            <w:r w:rsidR="00780D0F" w:rsidRPr="000F2CCD">
              <w:rPr>
                <w:rFonts w:ascii="Arial" w:hAnsi="Arial" w:cs="Arial"/>
              </w:rPr>
              <w:t>,</w:t>
            </w:r>
            <w:r w:rsidRPr="000F2CCD">
              <w:rPr>
                <w:rFonts w:ascii="Arial" w:hAnsi="Arial" w:cs="Arial"/>
              </w:rPr>
              <w:t>6</w:t>
            </w:r>
          </w:p>
        </w:tc>
        <w:tc>
          <w:tcPr>
            <w:tcW w:w="931" w:type="pct"/>
          </w:tcPr>
          <w:p w:rsidR="001853D6" w:rsidRPr="000F2CCD" w:rsidRDefault="001853D6" w:rsidP="00FD7687">
            <w:pPr>
              <w:pStyle w:val="Footer"/>
              <w:spacing w:before="60"/>
              <w:jc w:val="both"/>
              <w:rPr>
                <w:rFonts w:ascii="Arial" w:hAnsi="Arial" w:cs="Arial"/>
              </w:rPr>
            </w:pPr>
            <w:r w:rsidRPr="000F2CCD">
              <w:rPr>
                <w:rFonts w:ascii="Arial" w:hAnsi="Arial" w:cs="Arial"/>
              </w:rPr>
              <w:t>19</w:t>
            </w:r>
          </w:p>
        </w:tc>
      </w:tr>
    </w:tbl>
    <w:p w:rsidR="00E72129" w:rsidRPr="000F2CCD" w:rsidRDefault="00E72129" w:rsidP="00C445F8">
      <w:pPr>
        <w:pStyle w:val="Footer"/>
        <w:spacing w:before="60"/>
        <w:rPr>
          <w:rFonts w:ascii="Arial" w:hAnsi="Arial" w:cs="Arial"/>
        </w:rPr>
      </w:pPr>
    </w:p>
    <w:p w:rsidR="00C04786" w:rsidRPr="000F2CCD" w:rsidRDefault="00E72129" w:rsidP="00C445F8">
      <w:pPr>
        <w:pStyle w:val="Footer"/>
        <w:spacing w:before="60"/>
        <w:jc w:val="both"/>
        <w:rPr>
          <w:rStyle w:val="FontStyle49"/>
          <w:rFonts w:ascii="Arial" w:hAnsi="Arial" w:cs="Arial"/>
          <w:b w:val="0"/>
          <w:sz w:val="24"/>
          <w:szCs w:val="24"/>
        </w:rPr>
      </w:pPr>
      <w:r w:rsidRPr="000F2CCD">
        <w:rPr>
          <w:rFonts w:ascii="Arial" w:hAnsi="Arial" w:cs="Arial"/>
        </w:rPr>
        <w:t>(Adaptat după</w:t>
      </w:r>
      <w:r w:rsidR="00E93D4D" w:rsidRPr="000F2CCD">
        <w:rPr>
          <w:rFonts w:ascii="Arial" w:hAnsi="Arial" w:cs="Arial"/>
        </w:rPr>
        <w:t xml:space="preserve"> </w:t>
      </w:r>
      <w:r w:rsidR="00893667" w:rsidRPr="00893667">
        <w:rPr>
          <w:rFonts w:ascii="Arial" w:hAnsi="Arial" w:cs="Arial"/>
          <w:i/>
        </w:rPr>
        <w:t>M</w:t>
      </w:r>
      <w:r w:rsidR="00E93D4D" w:rsidRPr="00893667">
        <w:rPr>
          <w:rFonts w:ascii="Arial" w:hAnsi="Arial" w:cs="Arial"/>
          <w:i/>
        </w:rPr>
        <w:t>a</w:t>
      </w:r>
      <w:r w:rsidRPr="00893667">
        <w:rPr>
          <w:rFonts w:ascii="Arial" w:hAnsi="Arial" w:cs="Arial"/>
          <w:i/>
        </w:rPr>
        <w:t>nual</w:t>
      </w:r>
      <w:r w:rsidR="0095076F">
        <w:rPr>
          <w:rFonts w:ascii="Arial" w:hAnsi="Arial" w:cs="Arial"/>
          <w:i/>
        </w:rPr>
        <w:t>ul de E</w:t>
      </w:r>
      <w:r w:rsidR="00893667" w:rsidRPr="00893667">
        <w:rPr>
          <w:rFonts w:ascii="Arial" w:hAnsi="Arial" w:cs="Arial"/>
          <w:i/>
        </w:rPr>
        <w:t>conomie,</w:t>
      </w:r>
      <w:r w:rsidR="001853D6" w:rsidRPr="00893667">
        <w:rPr>
          <w:rFonts w:ascii="Arial" w:hAnsi="Arial" w:cs="Arial"/>
          <w:i/>
        </w:rPr>
        <w:t xml:space="preserve"> clasele a X-a şi a XI-a</w:t>
      </w:r>
      <w:r w:rsidRPr="000F2CCD">
        <w:rPr>
          <w:rFonts w:ascii="Arial" w:hAnsi="Arial" w:cs="Arial"/>
        </w:rPr>
        <w:t xml:space="preserve">, </w:t>
      </w:r>
      <w:r w:rsidR="001853D6" w:rsidRPr="000F2CCD">
        <w:rPr>
          <w:rFonts w:ascii="Arial" w:hAnsi="Arial" w:cs="Arial"/>
        </w:rPr>
        <w:t>coordonator Dorel Ailenei</w:t>
      </w:r>
      <w:r w:rsidRPr="000F2CCD">
        <w:rPr>
          <w:rFonts w:ascii="Arial" w:hAnsi="Arial" w:cs="Arial"/>
        </w:rPr>
        <w:t>)</w:t>
      </w:r>
      <w:r w:rsidR="009E0196" w:rsidRPr="000F2CCD">
        <w:rPr>
          <w:rFonts w:ascii="Arial" w:hAnsi="Arial" w:cs="Arial"/>
        </w:rPr>
        <w:t xml:space="preserve"> </w:t>
      </w:r>
    </w:p>
    <w:p w:rsidR="00FC392A" w:rsidRPr="000F2CCD" w:rsidRDefault="00FC392A" w:rsidP="00C445F8">
      <w:pPr>
        <w:spacing w:before="60"/>
        <w:rPr>
          <w:rStyle w:val="FontStyle49"/>
          <w:rFonts w:ascii="Arial" w:hAnsi="Arial" w:cs="Arial"/>
          <w:b w:val="0"/>
          <w:sz w:val="24"/>
          <w:szCs w:val="24"/>
        </w:rPr>
      </w:pPr>
    </w:p>
    <w:sectPr w:rsidR="00FC392A" w:rsidRPr="000F2CCD" w:rsidSect="0016256E">
      <w:headerReference w:type="default" r:id="rId8"/>
      <w:footerReference w:type="default" r:id="rId9"/>
      <w:pgSz w:w="11907" w:h="16840" w:code="9"/>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42F" w:rsidRDefault="0062242F" w:rsidP="00421842">
      <w:pPr>
        <w:pStyle w:val="Style9"/>
      </w:pPr>
      <w:r>
        <w:separator/>
      </w:r>
    </w:p>
  </w:endnote>
  <w:endnote w:type="continuationSeparator" w:id="1">
    <w:p w:rsidR="0062242F" w:rsidRDefault="0062242F" w:rsidP="00421842">
      <w:pPr>
        <w:pStyle w:val="Style9"/>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42" w:rsidRPr="00DE78F0" w:rsidRDefault="00E72129" w:rsidP="00E72129">
    <w:pPr>
      <w:pStyle w:val="Footer"/>
      <w:rPr>
        <w:rFonts w:ascii="Arial" w:hAnsi="Arial" w:cs="Arial"/>
        <w:sz w:val="20"/>
        <w:szCs w:val="20"/>
      </w:rPr>
    </w:pPr>
    <w:r w:rsidRPr="00DE78F0">
      <w:rPr>
        <w:rFonts w:ascii="Arial" w:hAnsi="Arial" w:cs="Arial"/>
        <w:sz w:val="20"/>
        <w:szCs w:val="20"/>
      </w:rPr>
      <w:t>Procesare de texte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42F" w:rsidRDefault="0062242F" w:rsidP="00421842">
      <w:pPr>
        <w:pStyle w:val="Style9"/>
      </w:pPr>
      <w:r>
        <w:separator/>
      </w:r>
    </w:p>
  </w:footnote>
  <w:footnote w:type="continuationSeparator" w:id="1">
    <w:p w:rsidR="0062242F" w:rsidRDefault="0062242F" w:rsidP="00421842">
      <w:pPr>
        <w:pStyle w:val="Style9"/>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42" w:rsidRPr="00991080" w:rsidRDefault="00421842">
    <w:pPr>
      <w:pStyle w:val="Header"/>
      <w:rPr>
        <w:rFonts w:ascii="Arial" w:hAnsi="Arial" w:cs="Arial"/>
        <w:sz w:val="20"/>
        <w:szCs w:val="20"/>
      </w:rPr>
    </w:pPr>
    <w:r w:rsidRPr="00991080">
      <w:rPr>
        <w:rFonts w:ascii="Arial" w:hAnsi="Arial" w:cs="Arial"/>
        <w:sz w:val="20"/>
        <w:szCs w:val="20"/>
      </w:rPr>
      <w:t>Examenul de bacalaureat 2010</w:t>
    </w:r>
  </w:p>
  <w:p w:rsidR="00421842" w:rsidRPr="00991080" w:rsidRDefault="00421842">
    <w:pPr>
      <w:pStyle w:val="Header"/>
      <w:rPr>
        <w:rFonts w:ascii="Arial" w:hAnsi="Arial" w:cs="Arial"/>
        <w:sz w:val="20"/>
        <w:szCs w:val="20"/>
      </w:rPr>
    </w:pPr>
    <w:r w:rsidRPr="00991080">
      <w:rPr>
        <w:rFonts w:ascii="Arial" w:hAnsi="Arial" w:cs="Arial"/>
        <w:sz w:val="20"/>
        <w:szCs w:val="20"/>
      </w:rPr>
      <w:t>Proba de evaluare a competenţelor digitale</w:t>
    </w:r>
    <w:r w:rsidR="00162E88" w:rsidRPr="00991080">
      <w:rPr>
        <w:rFonts w:ascii="Arial" w:hAnsi="Arial" w:cs="Arial"/>
        <w:sz w:val="20"/>
        <w:szCs w:val="20"/>
      </w:rPr>
      <w:t xml:space="preserve"> – document de lucru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1F4609C"/>
    <w:lvl w:ilvl="0">
      <w:numFmt w:val="bullet"/>
      <w:lvlText w:val="*"/>
      <w:lvlJc w:val="left"/>
    </w:lvl>
  </w:abstractNum>
  <w:abstractNum w:abstractNumId="1">
    <w:nsid w:val="135D19C1"/>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139D240B"/>
    <w:multiLevelType w:val="hybridMultilevel"/>
    <w:tmpl w:val="AC4A2DB6"/>
    <w:lvl w:ilvl="0" w:tplc="3C52991E">
      <w:start w:val="1"/>
      <w:numFmt w:val="lowerLetter"/>
      <w:lvlText w:val="%1)"/>
      <w:lvlJc w:val="left"/>
      <w:pPr>
        <w:tabs>
          <w:tab w:val="num" w:pos="720"/>
        </w:tabs>
        <w:ind w:left="72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3">
    <w:nsid w:val="1496673D"/>
    <w:multiLevelType w:val="multilevel"/>
    <w:tmpl w:val="2AB6EA2A"/>
    <w:lvl w:ilvl="0">
      <w:start w:val="1"/>
      <w:numFmt w:val="decimal"/>
      <w:pStyle w:val="Heading1"/>
      <w:lvlText w:val="%1."/>
      <w:lvlJc w:val="left"/>
      <w:pPr>
        <w:tabs>
          <w:tab w:val="num" w:pos="360"/>
        </w:tabs>
        <w:ind w:left="0" w:firstLine="0"/>
      </w:pPr>
      <w:rPr>
        <w:rFonts w:hint="default"/>
        <w:b w:val="0"/>
        <w:i/>
      </w:rPr>
    </w:lvl>
    <w:lvl w:ilvl="1">
      <w:start w:val="1"/>
      <w:numFmt w:val="low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1800"/>
        </w:tabs>
        <w:ind w:left="144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4CC077E"/>
    <w:multiLevelType w:val="hybridMultilevel"/>
    <w:tmpl w:val="EC3AF856"/>
    <w:lvl w:ilvl="0" w:tplc="0418000F">
      <w:start w:val="1"/>
      <w:numFmt w:val="decimal"/>
      <w:lvlText w:val="%1."/>
      <w:lvlJc w:val="left"/>
      <w:pPr>
        <w:tabs>
          <w:tab w:val="num" w:pos="720"/>
        </w:tabs>
        <w:ind w:left="720" w:hanging="360"/>
      </w:pPr>
      <w:rPr>
        <w:rFonts w:hint="default"/>
      </w:rPr>
    </w:lvl>
    <w:lvl w:ilvl="1" w:tplc="9488C960">
      <w:start w:val="1"/>
      <w:numFmt w:val="lowerLetter"/>
      <w:lvlText w:val="%2)"/>
      <w:lvlJc w:val="left"/>
      <w:pPr>
        <w:tabs>
          <w:tab w:val="num" w:pos="1440"/>
        </w:tabs>
        <w:ind w:left="1440" w:hanging="360"/>
      </w:pPr>
      <w:rPr>
        <w:rFonts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5">
    <w:nsid w:val="2A070AF4"/>
    <w:multiLevelType w:val="singleLevel"/>
    <w:tmpl w:val="CE80A13C"/>
    <w:lvl w:ilvl="0">
      <w:start w:val="1"/>
      <w:numFmt w:val="decimal"/>
      <w:lvlText w:val="6.%1"/>
      <w:legacy w:legacy="1" w:legacySpace="0" w:legacyIndent="480"/>
      <w:lvlJc w:val="left"/>
      <w:rPr>
        <w:rFonts w:ascii="Times New Roman" w:hAnsi="Times New Roman" w:cs="Times New Roman" w:hint="default"/>
      </w:rPr>
    </w:lvl>
  </w:abstractNum>
  <w:abstractNum w:abstractNumId="6">
    <w:nsid w:val="2BC01E8E"/>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3686718A"/>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3A017EE8"/>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42934E9B"/>
    <w:multiLevelType w:val="hybridMultilevel"/>
    <w:tmpl w:val="B29A368E"/>
    <w:lvl w:ilvl="0" w:tplc="9154DC9E">
      <w:start w:val="1"/>
      <w:numFmt w:val="lowerLetter"/>
      <w:lvlText w:val="%1)"/>
      <w:lvlJc w:val="left"/>
      <w:pPr>
        <w:tabs>
          <w:tab w:val="num" w:pos="2160"/>
        </w:tabs>
        <w:ind w:left="2160" w:hanging="360"/>
      </w:pPr>
      <w:rPr>
        <w:rFonts w:hint="default"/>
        <w:b/>
        <w:i w:val="0"/>
        <w:sz w:val="22"/>
        <w:szCs w:val="22"/>
      </w:rPr>
    </w:lvl>
    <w:lvl w:ilvl="1" w:tplc="04180019" w:tentative="1">
      <w:start w:val="1"/>
      <w:numFmt w:val="lowerLetter"/>
      <w:lvlText w:val="%2."/>
      <w:lvlJc w:val="left"/>
      <w:pPr>
        <w:tabs>
          <w:tab w:val="num" w:pos="2880"/>
        </w:tabs>
        <w:ind w:left="2880" w:hanging="360"/>
      </w:pPr>
    </w:lvl>
    <w:lvl w:ilvl="2" w:tplc="0418001B" w:tentative="1">
      <w:start w:val="1"/>
      <w:numFmt w:val="lowerRoman"/>
      <w:lvlText w:val="%3."/>
      <w:lvlJc w:val="right"/>
      <w:pPr>
        <w:tabs>
          <w:tab w:val="num" w:pos="3600"/>
        </w:tabs>
        <w:ind w:left="3600" w:hanging="180"/>
      </w:pPr>
    </w:lvl>
    <w:lvl w:ilvl="3" w:tplc="0418000F" w:tentative="1">
      <w:start w:val="1"/>
      <w:numFmt w:val="decimal"/>
      <w:lvlText w:val="%4."/>
      <w:lvlJc w:val="left"/>
      <w:pPr>
        <w:tabs>
          <w:tab w:val="num" w:pos="4320"/>
        </w:tabs>
        <w:ind w:left="4320" w:hanging="360"/>
      </w:pPr>
    </w:lvl>
    <w:lvl w:ilvl="4" w:tplc="04180019" w:tentative="1">
      <w:start w:val="1"/>
      <w:numFmt w:val="lowerLetter"/>
      <w:lvlText w:val="%5."/>
      <w:lvlJc w:val="left"/>
      <w:pPr>
        <w:tabs>
          <w:tab w:val="num" w:pos="5040"/>
        </w:tabs>
        <w:ind w:left="5040" w:hanging="360"/>
      </w:pPr>
    </w:lvl>
    <w:lvl w:ilvl="5" w:tplc="0418001B" w:tentative="1">
      <w:start w:val="1"/>
      <w:numFmt w:val="lowerRoman"/>
      <w:lvlText w:val="%6."/>
      <w:lvlJc w:val="right"/>
      <w:pPr>
        <w:tabs>
          <w:tab w:val="num" w:pos="5760"/>
        </w:tabs>
        <w:ind w:left="5760" w:hanging="180"/>
      </w:pPr>
    </w:lvl>
    <w:lvl w:ilvl="6" w:tplc="0418000F" w:tentative="1">
      <w:start w:val="1"/>
      <w:numFmt w:val="decimal"/>
      <w:lvlText w:val="%7."/>
      <w:lvlJc w:val="left"/>
      <w:pPr>
        <w:tabs>
          <w:tab w:val="num" w:pos="6480"/>
        </w:tabs>
        <w:ind w:left="6480" w:hanging="360"/>
      </w:pPr>
    </w:lvl>
    <w:lvl w:ilvl="7" w:tplc="04180019" w:tentative="1">
      <w:start w:val="1"/>
      <w:numFmt w:val="lowerLetter"/>
      <w:lvlText w:val="%8."/>
      <w:lvlJc w:val="left"/>
      <w:pPr>
        <w:tabs>
          <w:tab w:val="num" w:pos="7200"/>
        </w:tabs>
        <w:ind w:left="7200" w:hanging="360"/>
      </w:pPr>
    </w:lvl>
    <w:lvl w:ilvl="8" w:tplc="0418001B" w:tentative="1">
      <w:start w:val="1"/>
      <w:numFmt w:val="lowerRoman"/>
      <w:lvlText w:val="%9."/>
      <w:lvlJc w:val="right"/>
      <w:pPr>
        <w:tabs>
          <w:tab w:val="num" w:pos="7920"/>
        </w:tabs>
        <w:ind w:left="7920" w:hanging="180"/>
      </w:pPr>
    </w:lvl>
  </w:abstractNum>
  <w:abstractNum w:abstractNumId="10">
    <w:nsid w:val="48C021C5"/>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nsid w:val="665E799B"/>
    <w:multiLevelType w:val="singleLevel"/>
    <w:tmpl w:val="F3583EFE"/>
    <w:lvl w:ilvl="0">
      <w:start w:val="1"/>
      <w:numFmt w:val="decimal"/>
      <w:lvlText w:val="%1."/>
      <w:legacy w:legacy="1" w:legacySpace="0" w:legacyIndent="192"/>
      <w:lvlJc w:val="left"/>
      <w:rPr>
        <w:rFonts w:ascii="Times New Roman" w:hAnsi="Times New Roman" w:cs="Times New Roman" w:hint="default"/>
      </w:rPr>
    </w:lvl>
  </w:abstractNum>
  <w:abstractNum w:abstractNumId="12">
    <w:nsid w:val="68111DBC"/>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6C041178"/>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79A50C08"/>
    <w:multiLevelType w:val="hybridMultilevel"/>
    <w:tmpl w:val="EA2AF8DE"/>
    <w:lvl w:ilvl="0" w:tplc="DD468814">
      <w:numFmt w:val="bullet"/>
      <w:lvlText w:val="-"/>
      <w:lvlJc w:val="left"/>
      <w:pPr>
        <w:tabs>
          <w:tab w:val="num" w:pos="1211"/>
        </w:tabs>
        <w:ind w:left="1211" w:hanging="360"/>
      </w:pPr>
      <w:rPr>
        <w:rFonts w:ascii="Arial" w:eastAsia="Times New Roman" w:hAnsi="Arial" w:cs="Arial" w:hint="default"/>
      </w:rPr>
    </w:lvl>
    <w:lvl w:ilvl="1" w:tplc="04180003" w:tentative="1">
      <w:start w:val="1"/>
      <w:numFmt w:val="bullet"/>
      <w:lvlText w:val="o"/>
      <w:lvlJc w:val="left"/>
      <w:pPr>
        <w:tabs>
          <w:tab w:val="num" w:pos="1931"/>
        </w:tabs>
        <w:ind w:left="1931" w:hanging="360"/>
      </w:pPr>
      <w:rPr>
        <w:rFonts w:ascii="Courier New" w:hAnsi="Courier New" w:cs="Courier New" w:hint="default"/>
      </w:rPr>
    </w:lvl>
    <w:lvl w:ilvl="2" w:tplc="04180005" w:tentative="1">
      <w:start w:val="1"/>
      <w:numFmt w:val="bullet"/>
      <w:lvlText w:val=""/>
      <w:lvlJc w:val="left"/>
      <w:pPr>
        <w:tabs>
          <w:tab w:val="num" w:pos="2651"/>
        </w:tabs>
        <w:ind w:left="2651" w:hanging="360"/>
      </w:pPr>
      <w:rPr>
        <w:rFonts w:ascii="Wingdings" w:hAnsi="Wingdings" w:hint="default"/>
      </w:rPr>
    </w:lvl>
    <w:lvl w:ilvl="3" w:tplc="04180001" w:tentative="1">
      <w:start w:val="1"/>
      <w:numFmt w:val="bullet"/>
      <w:lvlText w:val=""/>
      <w:lvlJc w:val="left"/>
      <w:pPr>
        <w:tabs>
          <w:tab w:val="num" w:pos="3371"/>
        </w:tabs>
        <w:ind w:left="3371" w:hanging="360"/>
      </w:pPr>
      <w:rPr>
        <w:rFonts w:ascii="Symbol" w:hAnsi="Symbol" w:hint="default"/>
      </w:rPr>
    </w:lvl>
    <w:lvl w:ilvl="4" w:tplc="04180003" w:tentative="1">
      <w:start w:val="1"/>
      <w:numFmt w:val="bullet"/>
      <w:lvlText w:val="o"/>
      <w:lvlJc w:val="left"/>
      <w:pPr>
        <w:tabs>
          <w:tab w:val="num" w:pos="4091"/>
        </w:tabs>
        <w:ind w:left="4091" w:hanging="360"/>
      </w:pPr>
      <w:rPr>
        <w:rFonts w:ascii="Courier New" w:hAnsi="Courier New" w:cs="Courier New" w:hint="default"/>
      </w:rPr>
    </w:lvl>
    <w:lvl w:ilvl="5" w:tplc="04180005" w:tentative="1">
      <w:start w:val="1"/>
      <w:numFmt w:val="bullet"/>
      <w:lvlText w:val=""/>
      <w:lvlJc w:val="left"/>
      <w:pPr>
        <w:tabs>
          <w:tab w:val="num" w:pos="4811"/>
        </w:tabs>
        <w:ind w:left="4811" w:hanging="360"/>
      </w:pPr>
      <w:rPr>
        <w:rFonts w:ascii="Wingdings" w:hAnsi="Wingdings" w:hint="default"/>
      </w:rPr>
    </w:lvl>
    <w:lvl w:ilvl="6" w:tplc="04180001" w:tentative="1">
      <w:start w:val="1"/>
      <w:numFmt w:val="bullet"/>
      <w:lvlText w:val=""/>
      <w:lvlJc w:val="left"/>
      <w:pPr>
        <w:tabs>
          <w:tab w:val="num" w:pos="5531"/>
        </w:tabs>
        <w:ind w:left="5531" w:hanging="360"/>
      </w:pPr>
      <w:rPr>
        <w:rFonts w:ascii="Symbol" w:hAnsi="Symbol" w:hint="default"/>
      </w:rPr>
    </w:lvl>
    <w:lvl w:ilvl="7" w:tplc="04180003" w:tentative="1">
      <w:start w:val="1"/>
      <w:numFmt w:val="bullet"/>
      <w:lvlText w:val="o"/>
      <w:lvlJc w:val="left"/>
      <w:pPr>
        <w:tabs>
          <w:tab w:val="num" w:pos="6251"/>
        </w:tabs>
        <w:ind w:left="6251" w:hanging="360"/>
      </w:pPr>
      <w:rPr>
        <w:rFonts w:ascii="Courier New" w:hAnsi="Courier New" w:cs="Courier New" w:hint="default"/>
      </w:rPr>
    </w:lvl>
    <w:lvl w:ilvl="8" w:tplc="04180005" w:tentative="1">
      <w:start w:val="1"/>
      <w:numFmt w:val="bullet"/>
      <w:lvlText w:val=""/>
      <w:lvlJc w:val="left"/>
      <w:pPr>
        <w:tabs>
          <w:tab w:val="num" w:pos="6971"/>
        </w:tabs>
        <w:ind w:left="6971" w:hanging="360"/>
      </w:pPr>
      <w:rPr>
        <w:rFonts w:ascii="Wingdings" w:hAnsi="Wingdings" w:hint="default"/>
      </w:rPr>
    </w:lvl>
  </w:abstractNum>
  <w:abstractNum w:abstractNumId="15">
    <w:nsid w:val="7FD567D6"/>
    <w:multiLevelType w:val="multilevel"/>
    <w:tmpl w:val="EF064178"/>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340"/>
        </w:tabs>
        <w:ind w:left="198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5"/>
  </w:num>
  <w:num w:numId="2">
    <w:abstractNumId w:val="0"/>
    <w:lvlOverride w:ilvl="0">
      <w:lvl w:ilvl="0">
        <w:numFmt w:val="bullet"/>
        <w:lvlText w:val="-"/>
        <w:legacy w:legacy="1" w:legacySpace="0" w:legacyIndent="173"/>
        <w:lvlJc w:val="left"/>
        <w:rPr>
          <w:rFonts w:ascii="Times New Roman" w:hAnsi="Times New Roman" w:cs="Times New Roman" w:hint="default"/>
        </w:rPr>
      </w:lvl>
    </w:lvlOverride>
  </w:num>
  <w:num w:numId="3">
    <w:abstractNumId w:val="0"/>
    <w:lvlOverride w:ilvl="0">
      <w:lvl w:ilvl="0">
        <w:numFmt w:val="bullet"/>
        <w:lvlText w:val="-"/>
        <w:legacy w:legacy="1" w:legacySpace="0" w:legacyIndent="221"/>
        <w:lvlJc w:val="left"/>
        <w:rPr>
          <w:rFonts w:ascii="Times New Roman" w:hAnsi="Times New Roman" w:cs="Times New Roman" w:hint="default"/>
        </w:rPr>
      </w:lvl>
    </w:lvlOverride>
  </w:num>
  <w:num w:numId="4">
    <w:abstractNumId w:val="11"/>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0"/>
  </w:num>
  <w:num w:numId="13">
    <w:abstractNumId w:val="6"/>
  </w:num>
  <w:num w:numId="14">
    <w:abstractNumId w:val="1"/>
  </w:num>
  <w:num w:numId="15">
    <w:abstractNumId w:val="15"/>
  </w:num>
  <w:num w:numId="16">
    <w:abstractNumId w:val="8"/>
  </w:num>
  <w:num w:numId="17">
    <w:abstractNumId w:val="7"/>
  </w:num>
  <w:num w:numId="18">
    <w:abstractNumId w:val="12"/>
  </w:num>
  <w:num w:numId="19">
    <w:abstractNumId w:val="13"/>
  </w:num>
  <w:num w:numId="20">
    <w:abstractNumId w:val="9"/>
  </w:num>
  <w:num w:numId="21">
    <w:abstractNumId w:val="3"/>
  </w:num>
  <w:num w:numId="22">
    <w:abstractNumId w:val="3"/>
  </w:num>
  <w:num w:numId="23">
    <w:abstractNumId w:val="3"/>
  </w:num>
  <w:num w:numId="24">
    <w:abstractNumId w:val="14"/>
  </w:num>
  <w:num w:numId="25">
    <w:abstractNumId w:val="2"/>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240EE3"/>
    <w:rsid w:val="000031FF"/>
    <w:rsid w:val="000264D8"/>
    <w:rsid w:val="0004518A"/>
    <w:rsid w:val="00045DD6"/>
    <w:rsid w:val="0005204F"/>
    <w:rsid w:val="00055F4D"/>
    <w:rsid w:val="00082256"/>
    <w:rsid w:val="000951EE"/>
    <w:rsid w:val="000B6F39"/>
    <w:rsid w:val="000D44A6"/>
    <w:rsid w:val="000D50D6"/>
    <w:rsid w:val="000F0F18"/>
    <w:rsid w:val="000F2CCD"/>
    <w:rsid w:val="000F3B2F"/>
    <w:rsid w:val="00103478"/>
    <w:rsid w:val="00114476"/>
    <w:rsid w:val="00126AED"/>
    <w:rsid w:val="0016256E"/>
    <w:rsid w:val="00162DB5"/>
    <w:rsid w:val="00162E88"/>
    <w:rsid w:val="00166529"/>
    <w:rsid w:val="00180B05"/>
    <w:rsid w:val="001853D6"/>
    <w:rsid w:val="001A237A"/>
    <w:rsid w:val="001B64A0"/>
    <w:rsid w:val="001D4324"/>
    <w:rsid w:val="001F4466"/>
    <w:rsid w:val="00224487"/>
    <w:rsid w:val="00240EE3"/>
    <w:rsid w:val="00265968"/>
    <w:rsid w:val="002724FB"/>
    <w:rsid w:val="00290CA0"/>
    <w:rsid w:val="002A09A3"/>
    <w:rsid w:val="002A6197"/>
    <w:rsid w:val="002C1910"/>
    <w:rsid w:val="002C1D7F"/>
    <w:rsid w:val="002C52C1"/>
    <w:rsid w:val="002D4840"/>
    <w:rsid w:val="002E0261"/>
    <w:rsid w:val="002E24B4"/>
    <w:rsid w:val="002E3D1D"/>
    <w:rsid w:val="002E7757"/>
    <w:rsid w:val="00302B10"/>
    <w:rsid w:val="00320D60"/>
    <w:rsid w:val="00343C4C"/>
    <w:rsid w:val="00347342"/>
    <w:rsid w:val="003606AA"/>
    <w:rsid w:val="00363219"/>
    <w:rsid w:val="003637BB"/>
    <w:rsid w:val="00390872"/>
    <w:rsid w:val="003D29E3"/>
    <w:rsid w:val="003E1A5F"/>
    <w:rsid w:val="004076DD"/>
    <w:rsid w:val="004142A8"/>
    <w:rsid w:val="00421842"/>
    <w:rsid w:val="004420E1"/>
    <w:rsid w:val="00453B6E"/>
    <w:rsid w:val="00480CB2"/>
    <w:rsid w:val="00484130"/>
    <w:rsid w:val="00495024"/>
    <w:rsid w:val="004967B0"/>
    <w:rsid w:val="004E0E7B"/>
    <w:rsid w:val="004E7E93"/>
    <w:rsid w:val="00510E0F"/>
    <w:rsid w:val="00511DE4"/>
    <w:rsid w:val="00513B16"/>
    <w:rsid w:val="00550BBF"/>
    <w:rsid w:val="005774CF"/>
    <w:rsid w:val="005975A5"/>
    <w:rsid w:val="005C07DA"/>
    <w:rsid w:val="005D069D"/>
    <w:rsid w:val="005D3A3C"/>
    <w:rsid w:val="005E6D0F"/>
    <w:rsid w:val="005F26F0"/>
    <w:rsid w:val="00600910"/>
    <w:rsid w:val="006219E8"/>
    <w:rsid w:val="0062242F"/>
    <w:rsid w:val="00636F0E"/>
    <w:rsid w:val="00637B3D"/>
    <w:rsid w:val="006467D3"/>
    <w:rsid w:val="00666325"/>
    <w:rsid w:val="006937C0"/>
    <w:rsid w:val="006A7733"/>
    <w:rsid w:val="006B5526"/>
    <w:rsid w:val="0070538C"/>
    <w:rsid w:val="00716974"/>
    <w:rsid w:val="0073271D"/>
    <w:rsid w:val="00756A5A"/>
    <w:rsid w:val="0076225A"/>
    <w:rsid w:val="00780D0F"/>
    <w:rsid w:val="00785027"/>
    <w:rsid w:val="00785508"/>
    <w:rsid w:val="007B288F"/>
    <w:rsid w:val="007C5D76"/>
    <w:rsid w:val="0080300B"/>
    <w:rsid w:val="00832EB0"/>
    <w:rsid w:val="008625F2"/>
    <w:rsid w:val="008801CD"/>
    <w:rsid w:val="008813AC"/>
    <w:rsid w:val="00893667"/>
    <w:rsid w:val="008A2D69"/>
    <w:rsid w:val="008C4F97"/>
    <w:rsid w:val="008C54EE"/>
    <w:rsid w:val="008E5812"/>
    <w:rsid w:val="008F2AE8"/>
    <w:rsid w:val="008F4539"/>
    <w:rsid w:val="008F54F4"/>
    <w:rsid w:val="008F5C10"/>
    <w:rsid w:val="00904817"/>
    <w:rsid w:val="00917660"/>
    <w:rsid w:val="00922CD9"/>
    <w:rsid w:val="00923C66"/>
    <w:rsid w:val="009246EA"/>
    <w:rsid w:val="00925FF0"/>
    <w:rsid w:val="009317D3"/>
    <w:rsid w:val="0095076F"/>
    <w:rsid w:val="009647CE"/>
    <w:rsid w:val="00991080"/>
    <w:rsid w:val="009954B9"/>
    <w:rsid w:val="009A1430"/>
    <w:rsid w:val="009A7480"/>
    <w:rsid w:val="009D439A"/>
    <w:rsid w:val="009E0196"/>
    <w:rsid w:val="009E49C4"/>
    <w:rsid w:val="009F1D16"/>
    <w:rsid w:val="009F3AC6"/>
    <w:rsid w:val="00A13B4E"/>
    <w:rsid w:val="00A1502C"/>
    <w:rsid w:val="00A15EA3"/>
    <w:rsid w:val="00A20063"/>
    <w:rsid w:val="00A2455C"/>
    <w:rsid w:val="00A30789"/>
    <w:rsid w:val="00A378BC"/>
    <w:rsid w:val="00A65745"/>
    <w:rsid w:val="00A737B6"/>
    <w:rsid w:val="00A75C7D"/>
    <w:rsid w:val="00A9701C"/>
    <w:rsid w:val="00AB0B47"/>
    <w:rsid w:val="00AC6293"/>
    <w:rsid w:val="00AD1C3B"/>
    <w:rsid w:val="00B07CE8"/>
    <w:rsid w:val="00B16C74"/>
    <w:rsid w:val="00B26310"/>
    <w:rsid w:val="00B43A65"/>
    <w:rsid w:val="00B511AC"/>
    <w:rsid w:val="00B74B7D"/>
    <w:rsid w:val="00B951E2"/>
    <w:rsid w:val="00B9617F"/>
    <w:rsid w:val="00BA0BCE"/>
    <w:rsid w:val="00BD08E0"/>
    <w:rsid w:val="00BE675B"/>
    <w:rsid w:val="00BF16C3"/>
    <w:rsid w:val="00BF4490"/>
    <w:rsid w:val="00BF655E"/>
    <w:rsid w:val="00C04786"/>
    <w:rsid w:val="00C10EB2"/>
    <w:rsid w:val="00C4092F"/>
    <w:rsid w:val="00C4188D"/>
    <w:rsid w:val="00C445F8"/>
    <w:rsid w:val="00C601E0"/>
    <w:rsid w:val="00C6655F"/>
    <w:rsid w:val="00CA498F"/>
    <w:rsid w:val="00CD1F6D"/>
    <w:rsid w:val="00CF724D"/>
    <w:rsid w:val="00D165E1"/>
    <w:rsid w:val="00D27617"/>
    <w:rsid w:val="00D3451A"/>
    <w:rsid w:val="00D67C30"/>
    <w:rsid w:val="00D71752"/>
    <w:rsid w:val="00D90DCD"/>
    <w:rsid w:val="00D94F8B"/>
    <w:rsid w:val="00DB47BF"/>
    <w:rsid w:val="00DC21CE"/>
    <w:rsid w:val="00DD4903"/>
    <w:rsid w:val="00DE78F0"/>
    <w:rsid w:val="00E07A4E"/>
    <w:rsid w:val="00E256D8"/>
    <w:rsid w:val="00E30C3C"/>
    <w:rsid w:val="00E3470C"/>
    <w:rsid w:val="00E34EF0"/>
    <w:rsid w:val="00E64762"/>
    <w:rsid w:val="00E72129"/>
    <w:rsid w:val="00E93D4D"/>
    <w:rsid w:val="00EB3EEC"/>
    <w:rsid w:val="00EB4EF2"/>
    <w:rsid w:val="00EC197F"/>
    <w:rsid w:val="00EE4BB6"/>
    <w:rsid w:val="00EF3A03"/>
    <w:rsid w:val="00EF52E3"/>
    <w:rsid w:val="00F10C64"/>
    <w:rsid w:val="00F14B7F"/>
    <w:rsid w:val="00F41216"/>
    <w:rsid w:val="00F450E7"/>
    <w:rsid w:val="00F6350F"/>
    <w:rsid w:val="00F64CB4"/>
    <w:rsid w:val="00F75598"/>
    <w:rsid w:val="00F96FF4"/>
    <w:rsid w:val="00FA1AB5"/>
    <w:rsid w:val="00FB24A0"/>
    <w:rsid w:val="00FB7ADA"/>
    <w:rsid w:val="00FC392A"/>
    <w:rsid w:val="00FD0F8D"/>
    <w:rsid w:val="00FD7687"/>
  </w:rsids>
  <m:mathPr>
    <m:mathFont m:val="Cambria Math"/>
    <m:brkBin m:val="before"/>
    <m:brkBinSub m:val="--"/>
    <m:smallFrac m:val="off"/>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0EE3"/>
    <w:pPr>
      <w:widowControl w:val="0"/>
      <w:autoSpaceDE w:val="0"/>
      <w:autoSpaceDN w:val="0"/>
      <w:adjustRightInd w:val="0"/>
    </w:pPr>
    <w:rPr>
      <w:sz w:val="24"/>
      <w:szCs w:val="24"/>
      <w:lang w:eastAsia="ro-RO"/>
    </w:rPr>
  </w:style>
  <w:style w:type="paragraph" w:styleId="Heading1">
    <w:name w:val="heading 1"/>
    <w:basedOn w:val="Normal"/>
    <w:next w:val="Normal"/>
    <w:qFormat/>
    <w:rsid w:val="00C4092F"/>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4092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C4092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C4092F"/>
    <w:pPr>
      <w:keepNext/>
      <w:numPr>
        <w:ilvl w:val="3"/>
        <w:numId w:val="5"/>
      </w:numPr>
      <w:spacing w:before="240" w:after="60"/>
      <w:outlineLvl w:val="3"/>
    </w:pPr>
    <w:rPr>
      <w:b/>
      <w:bCs/>
      <w:sz w:val="28"/>
      <w:szCs w:val="28"/>
    </w:rPr>
  </w:style>
  <w:style w:type="paragraph" w:styleId="Heading5">
    <w:name w:val="heading 5"/>
    <w:basedOn w:val="Normal"/>
    <w:next w:val="Normal"/>
    <w:qFormat/>
    <w:rsid w:val="00C4092F"/>
    <w:pPr>
      <w:numPr>
        <w:ilvl w:val="4"/>
        <w:numId w:val="5"/>
      </w:numPr>
      <w:spacing w:before="240" w:after="60"/>
      <w:outlineLvl w:val="4"/>
    </w:pPr>
    <w:rPr>
      <w:b/>
      <w:bCs/>
      <w:i/>
      <w:iCs/>
      <w:sz w:val="26"/>
      <w:szCs w:val="26"/>
    </w:rPr>
  </w:style>
  <w:style w:type="paragraph" w:styleId="Heading6">
    <w:name w:val="heading 6"/>
    <w:basedOn w:val="Normal"/>
    <w:next w:val="Normal"/>
    <w:qFormat/>
    <w:rsid w:val="00C4092F"/>
    <w:pPr>
      <w:numPr>
        <w:ilvl w:val="5"/>
        <w:numId w:val="5"/>
      </w:numPr>
      <w:spacing w:before="240" w:after="60"/>
      <w:outlineLvl w:val="5"/>
    </w:pPr>
    <w:rPr>
      <w:b/>
      <w:bCs/>
      <w:sz w:val="22"/>
      <w:szCs w:val="22"/>
    </w:rPr>
  </w:style>
  <w:style w:type="paragraph" w:styleId="Heading7">
    <w:name w:val="heading 7"/>
    <w:basedOn w:val="Normal"/>
    <w:next w:val="Normal"/>
    <w:qFormat/>
    <w:rsid w:val="00C4092F"/>
    <w:pPr>
      <w:numPr>
        <w:ilvl w:val="6"/>
        <w:numId w:val="5"/>
      </w:numPr>
      <w:spacing w:before="240" w:after="60"/>
      <w:outlineLvl w:val="6"/>
    </w:pPr>
  </w:style>
  <w:style w:type="paragraph" w:styleId="Heading8">
    <w:name w:val="heading 8"/>
    <w:basedOn w:val="Normal"/>
    <w:next w:val="Normal"/>
    <w:qFormat/>
    <w:rsid w:val="00C4092F"/>
    <w:pPr>
      <w:numPr>
        <w:ilvl w:val="7"/>
        <w:numId w:val="5"/>
      </w:numPr>
      <w:spacing w:before="240" w:after="60"/>
      <w:outlineLvl w:val="7"/>
    </w:pPr>
    <w:rPr>
      <w:i/>
      <w:iCs/>
    </w:rPr>
  </w:style>
  <w:style w:type="paragraph" w:styleId="Heading9">
    <w:name w:val="heading 9"/>
    <w:basedOn w:val="Normal"/>
    <w:next w:val="Normal"/>
    <w:qFormat/>
    <w:rsid w:val="00C4092F"/>
    <w:pPr>
      <w:numPr>
        <w:ilvl w:val="8"/>
        <w:numId w:val="5"/>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2">
    <w:name w:val="Style2"/>
    <w:basedOn w:val="Normal"/>
    <w:rsid w:val="00240EE3"/>
  </w:style>
  <w:style w:type="character" w:customStyle="1" w:styleId="FontStyle40">
    <w:name w:val="Font Style40"/>
    <w:basedOn w:val="DefaultParagraphFont"/>
    <w:rsid w:val="00240EE3"/>
    <w:rPr>
      <w:rFonts w:ascii="Times New Roman" w:hAnsi="Times New Roman" w:cs="Times New Roman"/>
      <w:b/>
      <w:bCs/>
      <w:i/>
      <w:iCs/>
      <w:sz w:val="92"/>
      <w:szCs w:val="92"/>
    </w:rPr>
  </w:style>
  <w:style w:type="paragraph" w:customStyle="1" w:styleId="Style4">
    <w:name w:val="Style4"/>
    <w:basedOn w:val="Normal"/>
    <w:rsid w:val="00240EE3"/>
  </w:style>
  <w:style w:type="paragraph" w:customStyle="1" w:styleId="Style5">
    <w:name w:val="Style5"/>
    <w:basedOn w:val="Normal"/>
    <w:rsid w:val="00240EE3"/>
    <w:pPr>
      <w:spacing w:line="341" w:lineRule="exact"/>
      <w:ind w:firstLine="979"/>
    </w:pPr>
  </w:style>
  <w:style w:type="character" w:customStyle="1" w:styleId="FontStyle41">
    <w:name w:val="Font Style41"/>
    <w:basedOn w:val="DefaultParagraphFont"/>
    <w:rsid w:val="00240EE3"/>
    <w:rPr>
      <w:rFonts w:ascii="Times New Roman" w:hAnsi="Times New Roman" w:cs="Times New Roman"/>
      <w:sz w:val="26"/>
      <w:szCs w:val="26"/>
    </w:rPr>
  </w:style>
  <w:style w:type="character" w:customStyle="1" w:styleId="FontStyle42">
    <w:name w:val="Font Style42"/>
    <w:basedOn w:val="DefaultParagraphFont"/>
    <w:rsid w:val="00240EE3"/>
    <w:rPr>
      <w:rFonts w:ascii="Times New Roman" w:hAnsi="Times New Roman" w:cs="Times New Roman"/>
      <w:b/>
      <w:bCs/>
      <w:sz w:val="30"/>
      <w:szCs w:val="30"/>
    </w:rPr>
  </w:style>
  <w:style w:type="paragraph" w:customStyle="1" w:styleId="Style14">
    <w:name w:val="Style14"/>
    <w:basedOn w:val="Normal"/>
    <w:rsid w:val="00240EE3"/>
  </w:style>
  <w:style w:type="character" w:customStyle="1" w:styleId="FontStyle47">
    <w:name w:val="Font Style47"/>
    <w:basedOn w:val="DefaultParagraphFont"/>
    <w:rsid w:val="00240EE3"/>
    <w:rPr>
      <w:rFonts w:ascii="Times New Roman" w:hAnsi="Times New Roman" w:cs="Times New Roman"/>
      <w:sz w:val="34"/>
      <w:szCs w:val="34"/>
    </w:rPr>
  </w:style>
  <w:style w:type="paragraph" w:customStyle="1" w:styleId="Style9">
    <w:name w:val="Style9"/>
    <w:basedOn w:val="Normal"/>
    <w:rsid w:val="00240EE3"/>
    <w:pPr>
      <w:spacing w:line="221" w:lineRule="exact"/>
      <w:ind w:firstLine="374"/>
      <w:jc w:val="both"/>
    </w:pPr>
  </w:style>
  <w:style w:type="character" w:customStyle="1" w:styleId="FontStyle45">
    <w:name w:val="Font Style45"/>
    <w:basedOn w:val="DefaultParagraphFont"/>
    <w:rsid w:val="00240EE3"/>
    <w:rPr>
      <w:rFonts w:ascii="Times New Roman" w:hAnsi="Times New Roman" w:cs="Times New Roman"/>
      <w:sz w:val="20"/>
      <w:szCs w:val="20"/>
    </w:rPr>
  </w:style>
  <w:style w:type="character" w:customStyle="1" w:styleId="FontStyle49">
    <w:name w:val="Font Style49"/>
    <w:basedOn w:val="DefaultParagraphFont"/>
    <w:rsid w:val="00240EE3"/>
    <w:rPr>
      <w:rFonts w:ascii="Times New Roman" w:hAnsi="Times New Roman" w:cs="Times New Roman"/>
      <w:b/>
      <w:bCs/>
      <w:sz w:val="20"/>
      <w:szCs w:val="20"/>
    </w:rPr>
  </w:style>
  <w:style w:type="paragraph" w:customStyle="1" w:styleId="Style11">
    <w:name w:val="Style11"/>
    <w:basedOn w:val="Normal"/>
    <w:rsid w:val="00240EE3"/>
    <w:pPr>
      <w:spacing w:line="240" w:lineRule="exact"/>
      <w:jc w:val="both"/>
    </w:pPr>
  </w:style>
  <w:style w:type="paragraph" w:customStyle="1" w:styleId="Style13">
    <w:name w:val="Style13"/>
    <w:basedOn w:val="Normal"/>
    <w:rsid w:val="00240EE3"/>
    <w:pPr>
      <w:spacing w:line="223" w:lineRule="exact"/>
      <w:ind w:firstLine="355"/>
    </w:pPr>
  </w:style>
  <w:style w:type="character" w:customStyle="1" w:styleId="FontStyle46">
    <w:name w:val="Font Style46"/>
    <w:basedOn w:val="DefaultParagraphFont"/>
    <w:rsid w:val="00240EE3"/>
    <w:rPr>
      <w:rFonts w:ascii="Times New Roman" w:hAnsi="Times New Roman" w:cs="Times New Roman"/>
      <w:i/>
      <w:iCs/>
      <w:sz w:val="20"/>
      <w:szCs w:val="20"/>
    </w:rPr>
  </w:style>
  <w:style w:type="character" w:customStyle="1" w:styleId="FontStyle53">
    <w:name w:val="Font Style53"/>
    <w:basedOn w:val="DefaultParagraphFont"/>
    <w:rsid w:val="00240EE3"/>
    <w:rPr>
      <w:rFonts w:ascii="Times New Roman" w:hAnsi="Times New Roman" w:cs="Times New Roman"/>
      <w:sz w:val="16"/>
      <w:szCs w:val="16"/>
    </w:rPr>
  </w:style>
  <w:style w:type="paragraph" w:customStyle="1" w:styleId="Style8">
    <w:name w:val="Style8"/>
    <w:basedOn w:val="Normal"/>
    <w:rsid w:val="00166529"/>
  </w:style>
  <w:style w:type="paragraph" w:customStyle="1" w:styleId="Style15">
    <w:name w:val="Style15"/>
    <w:basedOn w:val="Normal"/>
    <w:rsid w:val="00166529"/>
    <w:pPr>
      <w:spacing w:line="221" w:lineRule="exact"/>
      <w:ind w:hanging="173"/>
      <w:jc w:val="both"/>
    </w:pPr>
  </w:style>
  <w:style w:type="paragraph" w:customStyle="1" w:styleId="Style16">
    <w:name w:val="Style16"/>
    <w:basedOn w:val="Normal"/>
    <w:rsid w:val="00166529"/>
    <w:pPr>
      <w:spacing w:line="230" w:lineRule="exact"/>
      <w:ind w:hanging="250"/>
      <w:jc w:val="both"/>
    </w:pPr>
  </w:style>
  <w:style w:type="paragraph" w:customStyle="1" w:styleId="Style17">
    <w:name w:val="Style17"/>
    <w:basedOn w:val="Normal"/>
    <w:rsid w:val="00166529"/>
    <w:pPr>
      <w:spacing w:line="226" w:lineRule="exact"/>
    </w:pPr>
  </w:style>
  <w:style w:type="paragraph" w:customStyle="1" w:styleId="Style18">
    <w:name w:val="Style18"/>
    <w:basedOn w:val="Normal"/>
    <w:rsid w:val="00166529"/>
  </w:style>
  <w:style w:type="character" w:customStyle="1" w:styleId="FontStyle48">
    <w:name w:val="Font Style48"/>
    <w:basedOn w:val="DefaultParagraphFont"/>
    <w:rsid w:val="00166529"/>
    <w:rPr>
      <w:rFonts w:ascii="Century Gothic" w:hAnsi="Century Gothic" w:cs="Century Gothic"/>
      <w:sz w:val="12"/>
      <w:szCs w:val="12"/>
    </w:rPr>
  </w:style>
  <w:style w:type="paragraph" w:customStyle="1" w:styleId="Style20">
    <w:name w:val="Style20"/>
    <w:basedOn w:val="Normal"/>
    <w:rsid w:val="00166529"/>
    <w:pPr>
      <w:spacing w:line="230" w:lineRule="exact"/>
      <w:ind w:firstLine="360"/>
      <w:jc w:val="both"/>
    </w:pPr>
  </w:style>
  <w:style w:type="table" w:styleId="TableGrid">
    <w:name w:val="Table Grid"/>
    <w:basedOn w:val="TableNormal"/>
    <w:rsid w:val="0042184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21842"/>
    <w:pPr>
      <w:tabs>
        <w:tab w:val="center" w:pos="4320"/>
        <w:tab w:val="right" w:pos="8640"/>
      </w:tabs>
    </w:pPr>
  </w:style>
  <w:style w:type="paragraph" w:styleId="Footer">
    <w:name w:val="footer"/>
    <w:basedOn w:val="Normal"/>
    <w:rsid w:val="00421842"/>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Ministerul Educaţiei, Cercetării şi Inovării</vt:lpstr>
    </vt:vector>
  </TitlesOfParts>
  <Company>CNCEIP</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Ministerul Educaţiei, Cercetării şi Inovării</dc:title>
  <dc:creator>CNEE</dc:creator>
  <cp:lastModifiedBy>Digitale</cp:lastModifiedBy>
  <cp:revision>2</cp:revision>
  <dcterms:created xsi:type="dcterms:W3CDTF">2010-04-07T07:03:00Z</dcterms:created>
  <dcterms:modified xsi:type="dcterms:W3CDTF">2010-04-07T07:03:00Z</dcterms:modified>
</cp:coreProperties>
</file>