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80" w:after="180" w:line="288" w:lineRule="auto"/>
        <w:rPr>
          <w:rFonts w:ascii="Hoefler Text" w:hAnsi="Hoefler Text"/>
          <w:sz w:val="24"/>
          <w:szCs w:val="24"/>
        </w:rPr>
      </w:pPr>
    </w:p>
    <w:tbl>
      <w:tblPr>
        <w:tblW w:w="11125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5474"/>
        <w:gridCol w:w="1160"/>
        <w:gridCol w:w="1106"/>
        <w:gridCol w:w="1131"/>
        <w:gridCol w:w="1092"/>
        <w:gridCol w:w="1162"/>
      </w:tblGrid>
      <w:tr>
        <w:tblPrEx>
          <w:shd w:val="clear" w:color="auto" w:fill="00a2ff"/>
        </w:tblPrEx>
        <w:trPr>
          <w:trHeight w:val="860" w:hRule="atLeast"/>
          <w:tblHeader/>
        </w:trPr>
        <w:tc>
          <w:tcPr>
            <w:tcW w:type="dxa" w:w="5474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180" w:line="288" w:lineRule="auto"/>
            </w:pPr>
            <w:r>
              <w:rPr>
                <w:rFonts w:ascii="Hoefler Text" w:hAnsi="Hoefler Text"/>
                <w:b w:val="1"/>
                <w:bCs w:val="1"/>
                <w:outline w:val="0"/>
                <w:color w:val="009192"/>
                <w:sz w:val="24"/>
                <w:szCs w:val="24"/>
                <w:rtl w:val="0"/>
                <w14:textFill>
                  <w14:solidFill>
                    <w14:srgbClr w14:val="009193"/>
                  </w14:solidFill>
                </w14:textFill>
              </w:rPr>
              <w:t>Criteria for Evaluation:</w:t>
            </w:r>
          </w:p>
        </w:tc>
        <w:tc>
          <w:tcPr>
            <w:tcW w:type="dxa" w:w="1159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rFonts w:ascii="Hoefler Text" w:hAnsi="Hoefler Text"/>
                <w:sz w:val="16"/>
                <w:szCs w:val="16"/>
                <w:rtl w:val="0"/>
              </w:rPr>
              <w:t>Excellent</w:t>
            </w:r>
          </w:p>
          <w:p>
            <w:pPr>
              <w:pStyle w:val="Table Style 3"/>
            </w:pPr>
          </w:p>
        </w:tc>
        <w:tc>
          <w:tcPr>
            <w:tcW w:type="dxa" w:w="1106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rFonts w:ascii="Hoefler Text" w:hAnsi="Hoefler Text"/>
                <w:sz w:val="16"/>
                <w:szCs w:val="16"/>
                <w:rtl w:val="0"/>
              </w:rPr>
              <w:t>Very Good</w:t>
            </w:r>
          </w:p>
        </w:tc>
        <w:tc>
          <w:tcPr>
            <w:tcW w:type="dxa" w:w="1130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rFonts w:ascii="Hoefler Text" w:hAnsi="Hoefler Text"/>
                <w:sz w:val="16"/>
                <w:szCs w:val="16"/>
                <w:rtl w:val="0"/>
              </w:rPr>
              <w:t>Good</w:t>
            </w:r>
          </w:p>
          <w:p>
            <w:pPr>
              <w:pStyle w:val="Table Style 3"/>
            </w:pPr>
          </w:p>
        </w:tc>
        <w:tc>
          <w:tcPr>
            <w:tcW w:type="dxa" w:w="1092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rFonts w:ascii="Hoefler Text" w:hAnsi="Hoefler Text"/>
                <w:sz w:val="16"/>
                <w:szCs w:val="16"/>
                <w:rtl w:val="0"/>
              </w:rPr>
              <w:t>Needs work</w:t>
            </w:r>
          </w:p>
        </w:tc>
        <w:tc>
          <w:tcPr>
            <w:tcW w:type="dxa" w:w="1161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rFonts w:ascii="Hoefler Text" w:hAnsi="Hoefler Text"/>
                <w:sz w:val="16"/>
                <w:szCs w:val="16"/>
                <w:rtl w:val="0"/>
              </w:rPr>
              <w:t xml:space="preserve">Does not </w:t>
            </w:r>
          </w:p>
          <w:p>
            <w:pPr>
              <w:pStyle w:val="Table Style 3"/>
            </w:pPr>
            <w:r>
              <w:rPr>
                <w:rFonts w:ascii="Hoefler Text" w:hAnsi="Hoefler Text"/>
                <w:sz w:val="16"/>
                <w:szCs w:val="16"/>
                <w:rtl w:val="0"/>
              </w:rPr>
              <w:t xml:space="preserve">Meet </w:t>
            </w:r>
          </w:p>
          <w:p>
            <w:pPr>
              <w:pStyle w:val="Table Style 3"/>
            </w:pPr>
            <w:r>
              <w:rPr>
                <w:rFonts w:ascii="Hoefler Text" w:hAnsi="Hoefler Text"/>
                <w:sz w:val="16"/>
                <w:szCs w:val="16"/>
                <w:rtl w:val="0"/>
              </w:rPr>
              <w:t>requirements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5474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  <w:rPr>
                <w:rFonts w:ascii="Hoefler Text" w:cs="Hoefler Text" w:hAnsi="Hoefler Text" w:eastAsia="Hoefler Text"/>
                <w:b w:val="1"/>
                <w:bCs w:val="1"/>
                <w:outline w:val="0"/>
                <w:color w:val="009192"/>
                <w:sz w:val="20"/>
                <w:szCs w:val="20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b w:val="1"/>
                <w:bCs w:val="1"/>
                <w:outline w:val="0"/>
                <w:color w:val="009192"/>
                <w:sz w:val="20"/>
                <w:szCs w:val="20"/>
                <w:rtl w:val="0"/>
                <w:lang w:val="fr-FR"/>
                <w14:textFill>
                  <w14:solidFill>
                    <w14:srgbClr w14:val="009193"/>
                  </w14:solidFill>
                </w14:textFill>
              </w:rPr>
              <w:t>Argumentation</w:t>
            </w:r>
          </w:p>
          <w:p>
            <w:pPr>
              <w:pStyle w:val="Body"/>
              <w:numPr>
                <w:ilvl w:val="0"/>
                <w:numId w:val="1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Strength and soundness  of thesis complete with claim, evidence, and result</w:t>
            </w:r>
          </w:p>
          <w:p>
            <w:pPr>
              <w:pStyle w:val="Body"/>
              <w:numPr>
                <w:ilvl w:val="0"/>
                <w:numId w:val="1"/>
              </w:num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Clarity of  map of the essay in introduction and evidence of transitions</w:t>
            </w:r>
          </w:p>
          <w:p>
            <w:pPr>
              <w:pStyle w:val="Body"/>
              <w:numPr>
                <w:ilvl w:val="0"/>
                <w:numId w:val="1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Clarity of argument, structure of  argument development, fulfillment of thesis promise</w:t>
            </w:r>
          </w:p>
          <w:p>
            <w:pPr>
              <w:pStyle w:val="Body"/>
              <w:numPr>
                <w:ilvl w:val="0"/>
                <w:numId w:val="1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Clarity of transitions showing the connection between argument points, between claim and evidence, </w:t>
            </w: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between</w:t>
            </w: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 evidence and illustration, and between paragraphs overall</w:t>
            </w:r>
          </w:p>
          <w:p>
            <w:pPr>
              <w:pStyle w:val="Body"/>
              <w:numPr>
                <w:ilvl w:val="0"/>
                <w:numId w:val="1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Anticipation of counterarguments</w:t>
            </w:r>
          </w:p>
        </w:tc>
        <w:tc>
          <w:tcPr>
            <w:tcW w:type="dxa" w:w="1159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6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92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1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5474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  <w:rPr>
                <w:rFonts w:ascii="Hoefler Text" w:cs="Hoefler Text" w:hAnsi="Hoefler Text" w:eastAsia="Hoefler Text"/>
                <w:b w:val="1"/>
                <w:bCs w:val="1"/>
                <w:outline w:val="0"/>
                <w:color w:val="009192"/>
                <w:sz w:val="20"/>
                <w:szCs w:val="20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b w:val="1"/>
                <w:bCs w:val="1"/>
                <w:outline w:val="0"/>
                <w:color w:val="009192"/>
                <w:sz w:val="20"/>
                <w:szCs w:val="20"/>
                <w:rtl w:val="0"/>
                <w:lang w:val="fr-FR"/>
                <w14:textFill>
                  <w14:solidFill>
                    <w14:srgbClr w14:val="009193"/>
                  </w14:solidFill>
                </w14:textFill>
              </w:rPr>
              <w:t>Relevance</w:t>
            </w:r>
          </w:p>
          <w:p>
            <w:pPr>
              <w:pStyle w:val="Body"/>
              <w:numPr>
                <w:ilvl w:val="0"/>
                <w:numId w:val="2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Connection between essay answer and prompt</w:t>
            </w:r>
          </w:p>
          <w:p>
            <w:pPr>
              <w:pStyle w:val="Body"/>
              <w:numPr>
                <w:ilvl w:val="0"/>
                <w:numId w:val="2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Connection between essay answer and class readings</w:t>
            </w:r>
          </w:p>
          <w:p>
            <w:pPr>
              <w:pStyle w:val="Body"/>
              <w:numPr>
                <w:ilvl w:val="0"/>
                <w:numId w:val="2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Connection between evidence and argument</w:t>
            </w:r>
          </w:p>
        </w:tc>
        <w:tc>
          <w:tcPr>
            <w:tcW w:type="dxa" w:w="1159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6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92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1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800" w:hRule="atLeast"/>
        </w:trPr>
        <w:tc>
          <w:tcPr>
            <w:tcW w:type="dxa" w:w="5474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  <w:rPr>
                <w:rFonts w:ascii="Hoefler Text" w:cs="Hoefler Text" w:hAnsi="Hoefler Text" w:eastAsia="Hoefler Text"/>
                <w:b w:val="1"/>
                <w:bCs w:val="1"/>
                <w:outline w:val="0"/>
                <w:color w:val="009192"/>
                <w:sz w:val="20"/>
                <w:szCs w:val="20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b w:val="1"/>
                <w:bCs w:val="1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Use of Sources</w:t>
            </w:r>
          </w:p>
          <w:p>
            <w:pPr>
              <w:pStyle w:val="Body"/>
              <w:numPr>
                <w:ilvl w:val="0"/>
                <w:numId w:val="3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Understanding and explanation of sources</w:t>
            </w:r>
          </w:p>
          <w:p>
            <w:pPr>
              <w:pStyle w:val="Body"/>
              <w:numPr>
                <w:ilvl w:val="0"/>
                <w:numId w:val="3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Relevance of sources to argument</w:t>
            </w:r>
          </w:p>
          <w:p>
            <w:pPr>
              <w:pStyle w:val="Body"/>
              <w:numPr>
                <w:ilvl w:val="0"/>
                <w:numId w:val="3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Application of sources to argument and case studies </w:t>
            </w:r>
          </w:p>
          <w:p>
            <w:pPr>
              <w:pStyle w:val="Body"/>
              <w:numPr>
                <w:ilvl w:val="0"/>
                <w:numId w:val="3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Proper signaling and documentation of sources</w:t>
            </w:r>
          </w:p>
          <w:p>
            <w:pPr>
              <w:pStyle w:val="Body"/>
              <w:numPr>
                <w:ilvl w:val="0"/>
                <w:numId w:val="3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Care to be </w:t>
            </w:r>
            <w:r>
              <w:rPr>
                <w:rFonts w:ascii="Hoefler Text" w:hAnsi="Hoefler Text"/>
                <w:b w:val="1"/>
                <w:bCs w:val="1"/>
                <w:outline w:val="0"/>
                <w:color w:val="ff2600"/>
                <w:sz w:val="20"/>
                <w:szCs w:val="20"/>
                <w:rtl w:val="0"/>
                <w:lang w:val="en-US"/>
                <w14:textFill>
                  <w14:solidFill>
                    <w14:srgbClr w14:val="FF2600"/>
                  </w14:solidFill>
                </w14:textFill>
              </w:rPr>
              <w:t>Free of Plagiarism</w:t>
            </w:r>
          </w:p>
        </w:tc>
        <w:tc>
          <w:tcPr>
            <w:tcW w:type="dxa" w:w="1159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6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92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1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460" w:hRule="atLeast"/>
        </w:trPr>
        <w:tc>
          <w:tcPr>
            <w:tcW w:type="dxa" w:w="5474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  <w:rPr>
                <w:rFonts w:ascii="Hoefler Text" w:cs="Hoefler Text" w:hAnsi="Hoefler Text" w:eastAsia="Hoefler Text"/>
                <w:b w:val="1"/>
                <w:bCs w:val="1"/>
                <w:outline w:val="0"/>
                <w:color w:val="009192"/>
                <w:sz w:val="20"/>
                <w:szCs w:val="20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b w:val="1"/>
                <w:bCs w:val="1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Originality</w:t>
            </w:r>
          </w:p>
          <w:p>
            <w:pPr>
              <w:pStyle w:val="Body"/>
              <w:numPr>
                <w:ilvl w:val="0"/>
                <w:numId w:val="4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Depth of Argumentation </w:t>
            </w:r>
          </w:p>
          <w:p>
            <w:pPr>
              <w:pStyle w:val="Body"/>
              <w:numPr>
                <w:ilvl w:val="0"/>
                <w:numId w:val="4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Ability to interpret, interrogate, and push beyond rather than simply repeat what the readings say</w:t>
            </w:r>
          </w:p>
          <w:p>
            <w:pPr>
              <w:pStyle w:val="Body"/>
              <w:numPr>
                <w:ilvl w:val="0"/>
                <w:numId w:val="4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Ability to allow readings and case studies to expand rather than limit interpretation and analysis</w:t>
            </w:r>
          </w:p>
          <w:p>
            <w:pPr>
              <w:pStyle w:val="Body"/>
              <w:numPr>
                <w:ilvl w:val="0"/>
                <w:numId w:val="4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Ability to avoid matching or labeling and instead discover new aspects or hidden  aspects of both theories and art works</w:t>
            </w:r>
          </w:p>
        </w:tc>
        <w:tc>
          <w:tcPr>
            <w:tcW w:type="dxa" w:w="1159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6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92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1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500" w:hRule="atLeast"/>
        </w:trPr>
        <w:tc>
          <w:tcPr>
            <w:tcW w:type="dxa" w:w="5474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  <w:rPr>
                <w:rFonts w:ascii="Hoefler Text" w:cs="Hoefler Text" w:hAnsi="Hoefler Text" w:eastAsia="Hoefler Text"/>
                <w:b w:val="1"/>
                <w:bCs w:val="1"/>
                <w:outline w:val="0"/>
                <w:color w:val="009192"/>
                <w:sz w:val="20"/>
                <w:szCs w:val="20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b w:val="1"/>
                <w:bCs w:val="1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Clarity</w:t>
            </w:r>
          </w:p>
          <w:p>
            <w:pPr>
              <w:pStyle w:val="Body"/>
              <w:numPr>
                <w:ilvl w:val="0"/>
                <w:numId w:val="5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Consistency of language level and formality</w:t>
            </w:r>
          </w:p>
          <w:p>
            <w:pPr>
              <w:pStyle w:val="Body"/>
              <w:numPr>
                <w:ilvl w:val="0"/>
                <w:numId w:val="5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Explanation of Terms </w:t>
            </w:r>
          </w:p>
          <w:p>
            <w:pPr>
              <w:pStyle w:val="Body"/>
              <w:numPr>
                <w:ilvl w:val="0"/>
                <w:numId w:val="5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Specificity of Statements </w:t>
            </w:r>
          </w:p>
          <w:p>
            <w:pPr>
              <w:pStyle w:val="Body"/>
              <w:numPr>
                <w:ilvl w:val="0"/>
                <w:numId w:val="5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Connection/</w:t>
            </w: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fr-FR"/>
                <w14:textFill>
                  <w14:solidFill>
                    <w14:srgbClr w14:val="009193"/>
                  </w14:solidFill>
                </w14:textFill>
              </w:rPr>
              <w:t>transition</w:t>
            </w: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 between sentences and paragraphs</w:t>
            </w:r>
          </w:p>
        </w:tc>
        <w:tc>
          <w:tcPr>
            <w:tcW w:type="dxa" w:w="1159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6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92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1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980" w:hRule="atLeast"/>
        </w:trPr>
        <w:tc>
          <w:tcPr>
            <w:tcW w:type="dxa" w:w="5474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  <w:rPr>
                <w:rFonts w:ascii="Hoefler Text" w:cs="Hoefler Text" w:hAnsi="Hoefler Text" w:eastAsia="Hoefler Text"/>
                <w:b w:val="1"/>
                <w:bCs w:val="1"/>
                <w:outline w:val="0"/>
                <w:color w:val="009192"/>
                <w:sz w:val="20"/>
                <w:szCs w:val="20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b w:val="1"/>
                <w:bCs w:val="1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Lack of BS</w:t>
            </w:r>
          </w:p>
          <w:p>
            <w:pPr>
              <w:pStyle w:val="Body"/>
              <w:numPr>
                <w:ilvl w:val="0"/>
                <w:numId w:val="6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Absence of made-up statements</w:t>
            </w:r>
          </w:p>
          <w:p>
            <w:pPr>
              <w:pStyle w:val="Body"/>
              <w:numPr>
                <w:ilvl w:val="0"/>
                <w:numId w:val="6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Absence of  irrelevant, vague, general, unproven, stereotypical statements</w:t>
            </w:r>
          </w:p>
          <w:p>
            <w:pPr>
              <w:pStyle w:val="Body"/>
              <w:numPr>
                <w:ilvl w:val="0"/>
                <w:numId w:val="6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 xml:space="preserve">Absence of </w:t>
            </w:r>
            <w:r>
              <w:rPr>
                <w:rFonts w:ascii="Hoefler Text" w:hAnsi="Hoefler Text" w:hint="default"/>
                <w:outline w:val="0"/>
                <w:color w:val="009192"/>
                <w:sz w:val="20"/>
                <w:szCs w:val="20"/>
                <w:rtl w:val="1"/>
                <w14:textFill>
                  <w14:solidFill>
                    <w14:srgbClr w14:val="009193"/>
                  </w14:solidFill>
                </w14:textFill>
              </w:rPr>
              <w:t>‘</w:t>
            </w: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common sense</w:t>
            </w:r>
            <w:r>
              <w:rPr>
                <w:rFonts w:ascii="Hoefler Text" w:hAnsi="Hoefler Text" w:hint="default"/>
                <w:outline w:val="0"/>
                <w:color w:val="009192"/>
                <w:sz w:val="20"/>
                <w:szCs w:val="20"/>
                <w:rtl w:val="1"/>
                <w14:textFill>
                  <w14:solidFill>
                    <w14:srgbClr w14:val="009193"/>
                  </w14:solidFill>
                </w14:textFill>
              </w:rPr>
              <w:t xml:space="preserve">’ </w:t>
            </w: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statements not grounded in evidence</w:t>
            </w:r>
          </w:p>
          <w:p>
            <w:pPr>
              <w:pStyle w:val="Body"/>
              <w:numPr>
                <w:ilvl w:val="0"/>
                <w:numId w:val="6"/>
              </w:numPr>
              <w:spacing w:before="60" w:after="60"/>
              <w:rPr>
                <w:rFonts w:ascii="Hoefler Text" w:hAnsi="Hoefler Text"/>
                <w:outline w:val="0"/>
                <w:color w:val="009192"/>
                <w:sz w:val="20"/>
                <w:szCs w:val="20"/>
                <w:lang w:val="en-US"/>
                <w14:textFill>
                  <w14:solidFill>
                    <w14:srgbClr w14:val="009193"/>
                  </w14:solidFill>
                </w14:textFill>
              </w:rPr>
            </w:pPr>
            <w:r>
              <w:rPr>
                <w:rFonts w:ascii="Hoefler Text" w:hAnsi="Hoefler Text"/>
                <w:outline w:val="0"/>
                <w:color w:val="009192"/>
                <w:sz w:val="20"/>
                <w:szCs w:val="20"/>
                <w:rtl w:val="0"/>
                <w:lang w:val="en-US"/>
                <w14:textFill>
                  <w14:solidFill>
                    <w14:srgbClr w14:val="009193"/>
                  </w14:solidFill>
                </w14:textFill>
              </w:rPr>
              <w:t>Absence of careless, misleading, or false statements</w:t>
            </w:r>
          </w:p>
        </w:tc>
        <w:tc>
          <w:tcPr>
            <w:tcW w:type="dxa" w:w="1159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06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92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1"/>
            <w:tcBorders>
              <w:top w:val="single" w:color="005392" w:sz="24" w:space="0" w:shadow="0" w:frame="0"/>
              <w:left w:val="single" w:color="005392" w:sz="24" w:space="0" w:shadow="0" w:frame="0"/>
              <w:bottom w:val="single" w:color="005392" w:sz="24" w:space="0" w:shadow="0" w:frame="0"/>
              <w:right w:val="single" w:color="005392" w:sz="2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spacing w:before="80" w:after="180" w:line="288" w:lineRule="auto"/>
      </w:pPr>
      <w:r>
        <w:rPr>
          <w:rFonts w:ascii="Hoefler Text" w:cs="Hoefler Text" w:hAnsi="Hoefler Text" w:eastAsia="Hoefler Text"/>
          <w:b w:val="1"/>
          <w:bCs w:val="1"/>
          <w:outline w:val="0"/>
          <w:color w:val="009192"/>
          <w:sz w:val="24"/>
          <w:szCs w:val="24"/>
          <w14:textFill>
            <w14:solidFill>
              <w14:srgbClr w14:val="009193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360" w:right="360" w:bottom="360" w:left="36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oefler Tex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