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cscg-management-agreement-analysis"/>
    <w:p>
      <w:pPr>
        <w:pStyle w:val="Heading1"/>
      </w:pPr>
      <w:r>
        <w:t xml:space="preserve">CSCG Management Agreement Analysis</w:t>
      </w:r>
    </w:p>
    <w:bookmarkStart w:id="21" w:name="contract-overview"/>
    <w:p>
      <w:pPr>
        <w:pStyle w:val="Heading2"/>
      </w:pPr>
      <w:r>
        <w:t xml:space="preserve">Contract Overview</w:t>
      </w:r>
    </w:p>
    <w:p>
      <w:pPr>
        <w:pStyle w:val="FirstParagraph"/>
      </w:pPr>
      <w:r>
        <w:rPr>
          <w:bCs/>
          <w:b/>
        </w:rPr>
        <w:t xml:space="preserve">Document:</w:t>
      </w:r>
      <w:r>
        <w:t xml:space="preserve"> Professional Management Services Agreement</w:t>
        <w:br/>
      </w:r>
      <w:r>
        <w:rPr>
          <w:bCs/>
          <w:b/>
        </w:rPr>
        <w:t xml:space="preserve">Date Executed:</w:t>
      </w:r>
      <w:r>
        <w:t xml:space="preserve"> December 1, 2007</w:t>
        <w:br/>
      </w:r>
      <w:r>
        <w:rPr>
          <w:bCs/>
          <w:b/>
        </w:rPr>
        <w:t xml:space="preserve">Commencement Date:</w:t>
      </w:r>
      <w:r>
        <w:t xml:space="preserve"> August 1, 2008</w:t>
        <w:br/>
      </w:r>
      <w:r>
        <w:rPr>
          <w:bCs/>
          <w:b/>
        </w:rPr>
        <w:t xml:space="preserve">Initial Term:</w:t>
      </w:r>
      <w:r>
        <w:t xml:space="preserve"> Three (3) Years</w:t>
        <w:br/>
      </w:r>
      <w:r>
        <w:rPr>
          <w:bCs/>
          <w:b/>
        </w:rPr>
        <w:t xml:space="preserve">Current Status:</w:t>
      </w:r>
      <w:r>
        <w:t xml:space="preserve"> Auto-renewing year-to-year</w:t>
      </w:r>
    </w:p>
    <w:bookmarkStart w:id="20" w:name="parties"/>
    <w:p>
      <w:pPr>
        <w:pStyle w:val="Heading3"/>
      </w:pPr>
      <w:r>
        <w:t xml:space="preserve">Parties</w:t>
      </w:r>
    </w:p>
    <w:tbl>
      <w:tblPr>
        <w:tblStyle w:val="Table"/>
        <w:tblW w:type="pct" w:w="5000"/>
        <w:tblLook w:firstRow="1" w:lastRow="0" w:firstColumn="0" w:lastColumn="0" w:noHBand="0" w:noVBand="0" w:val="0020"/>
        <w:jc w:val="start"/>
      </w:tblPr>
      <w:tblGrid>
        <w:gridCol w:w="1320"/>
        <w:gridCol w:w="1508"/>
        <w:gridCol w:w="2074"/>
        <w:gridCol w:w="1320"/>
        <w:gridCol w:w="1697"/>
      </w:tblGrid>
      <w:tr>
        <w:trPr>
          <w:tblHeader w:val="true"/>
        </w:trPr>
        <w:tc>
          <w:tcPr/>
          <w:p>
            <w:pPr>
              <w:pStyle w:val="Compact"/>
              <w:jc w:val="left"/>
            </w:pPr>
            <w:r>
              <w:t xml:space="preserve">Party</w:t>
            </w:r>
          </w:p>
        </w:tc>
        <w:tc>
          <w:tcPr/>
          <w:p>
            <w:pPr>
              <w:pStyle w:val="Compact"/>
              <w:jc w:val="left"/>
            </w:pPr>
            <w:r>
              <w:t xml:space="preserve">Entity</w:t>
            </w:r>
          </w:p>
        </w:tc>
        <w:tc>
          <w:tcPr/>
          <w:p>
            <w:pPr>
              <w:pStyle w:val="Compact"/>
              <w:jc w:val="left"/>
            </w:pPr>
            <w:r>
              <w:t xml:space="preserve">Signatory</w:t>
            </w:r>
          </w:p>
        </w:tc>
        <w:tc>
          <w:tcPr/>
          <w:p>
            <w:pPr>
              <w:pStyle w:val="Compact"/>
              <w:jc w:val="left"/>
            </w:pPr>
            <w:r>
              <w:t xml:space="preserve">Title</w:t>
            </w:r>
          </w:p>
        </w:tc>
        <w:tc>
          <w:tcPr/>
          <w:p>
            <w:pPr>
              <w:pStyle w:val="Compact"/>
              <w:jc w:val="left"/>
            </w:pPr>
            <w:r>
              <w:t xml:space="preserve">Address</w:t>
            </w:r>
          </w:p>
        </w:tc>
      </w:tr>
      <w:tr>
        <w:tc>
          <w:tcPr/>
          <w:p>
            <w:pPr>
              <w:pStyle w:val="Compact"/>
              <w:jc w:val="left"/>
            </w:pPr>
            <w:r>
              <w:t xml:space="preserve">Manager</w:t>
            </w:r>
          </w:p>
        </w:tc>
        <w:tc>
          <w:tcPr/>
          <w:p>
            <w:pPr>
              <w:pStyle w:val="Compact"/>
              <w:jc w:val="left"/>
            </w:pPr>
            <w:r>
              <w:t xml:space="preserve">Club Sports Consulting Group (Illinois Corporation)</w:t>
            </w:r>
          </w:p>
        </w:tc>
        <w:tc>
          <w:tcPr/>
          <w:p>
            <w:pPr>
              <w:pStyle w:val="Compact"/>
              <w:jc w:val="left"/>
            </w:pPr>
            <w:r>
              <w:t xml:space="preserve">Donald LaPato</w:t>
            </w:r>
          </w:p>
        </w:tc>
        <w:tc>
          <w:tcPr/>
          <w:p>
            <w:pPr>
              <w:pStyle w:val="Compact"/>
              <w:jc w:val="left"/>
            </w:pPr>
            <w:r>
              <w:t xml:space="preserve">President</w:t>
            </w:r>
          </w:p>
        </w:tc>
        <w:tc>
          <w:tcPr/>
          <w:p>
            <w:pPr>
              <w:pStyle w:val="Compact"/>
              <w:jc w:val="left"/>
            </w:pPr>
            <w:r>
              <w:t xml:space="preserve">3701 Pin Oak Ct., Lisle, IL 60532</w:t>
            </w:r>
          </w:p>
        </w:tc>
      </w:tr>
      <w:tr>
        <w:tc>
          <w:tcPr/>
          <w:p>
            <w:pPr>
              <w:pStyle w:val="Compact"/>
              <w:jc w:val="left"/>
            </w:pPr>
            <w:r>
              <w:t xml:space="preserve">Owner</w:t>
            </w:r>
          </w:p>
        </w:tc>
        <w:tc>
          <w:tcPr/>
          <w:p>
            <w:pPr>
              <w:pStyle w:val="Compact"/>
              <w:jc w:val="left"/>
            </w:pPr>
            <w:r>
              <w:t xml:space="preserve">North Shore Ice Arena, LLC</w:t>
            </w:r>
          </w:p>
        </w:tc>
        <w:tc>
          <w:tcPr/>
          <w:p>
            <w:pPr>
              <w:pStyle w:val="Compact"/>
              <w:jc w:val="left"/>
            </w:pPr>
            <w:r>
              <w:t xml:space="preserve">Charles Smith</w:t>
            </w:r>
          </w:p>
        </w:tc>
        <w:tc>
          <w:tcPr/>
          <w:p>
            <w:pPr>
              <w:pStyle w:val="Compact"/>
              <w:jc w:val="left"/>
            </w:pPr>
            <w:r>
              <w:t xml:space="preserve">Managing Member</w:t>
            </w:r>
          </w:p>
        </w:tc>
        <w:tc>
          <w:tcPr/>
          <w:p>
            <w:pPr>
              <w:pStyle w:val="Compact"/>
              <w:jc w:val="left"/>
            </w:pPr>
            <w:r>
              <w:t xml:space="preserve">P.O. Box 477, Wilmette, IL 60091</w:t>
            </w:r>
          </w:p>
        </w:tc>
      </w:tr>
    </w:tbl>
    <w:p>
      <w:r>
        <w:pict>
          <v:rect style="width:0;height:1.5pt" o:hralign="center" o:hrstd="t" o:hr="t"/>
        </w:pict>
      </w:r>
    </w:p>
    <w:bookmarkEnd w:id="20"/>
    <w:bookmarkEnd w:id="21"/>
    <w:bookmarkStart w:id="28" w:name="key-contract-provisions"/>
    <w:p>
      <w:pPr>
        <w:pStyle w:val="Heading2"/>
      </w:pPr>
      <w:r>
        <w:t xml:space="preserve">Key Contract Provisions</w:t>
      </w:r>
    </w:p>
    <w:bookmarkStart w:id="22" w:name="article-1-scope-of-services"/>
    <w:p>
      <w:pPr>
        <w:pStyle w:val="Heading3"/>
      </w:pPr>
      <w:r>
        <w:t xml:space="preserve">Article 1: Scope of Services</w:t>
      </w:r>
    </w:p>
    <w:p>
      <w:pPr>
        <w:pStyle w:val="FirstParagraph"/>
      </w:pPr>
      <w:r>
        <w:t xml:space="preserve">CSCG provides the following services (Section 1.1):</w:t>
      </w:r>
    </w:p>
    <w:tbl>
      <w:tblPr>
        <w:tblStyle w:val="Table"/>
        <w:tblW w:type="pct" w:w="5000"/>
        <w:tblLook w:firstRow="1" w:lastRow="0" w:firstColumn="0" w:lastColumn="0" w:noHBand="0" w:noVBand="0" w:val="0020"/>
        <w:jc w:val="start"/>
      </w:tblPr>
      <w:tblGrid>
        <w:gridCol w:w="3240"/>
        <w:gridCol w:w="4680"/>
      </w:tblGrid>
      <w:tr>
        <w:trPr>
          <w:tblHeader w:val="true"/>
        </w:trPr>
        <w:tc>
          <w:tcPr/>
          <w:p>
            <w:pPr>
              <w:pStyle w:val="Compact"/>
              <w:jc w:val="left"/>
            </w:pPr>
            <w:r>
              <w:t xml:space="preserve">Service</w:t>
            </w:r>
          </w:p>
        </w:tc>
        <w:tc>
          <w:tcPr/>
          <w:p>
            <w:pPr>
              <w:pStyle w:val="Compact"/>
              <w:jc w:val="left"/>
            </w:pPr>
            <w:r>
              <w:t xml:space="preserve">Description</w:t>
            </w:r>
          </w:p>
        </w:tc>
      </w:tr>
      <w:tr>
        <w:tc>
          <w:tcPr/>
          <w:p>
            <w:pPr>
              <w:pStyle w:val="Compact"/>
              <w:jc w:val="left"/>
            </w:pPr>
            <w:r>
              <w:t xml:space="preserve">A</w:t>
            </w:r>
          </w:p>
        </w:tc>
        <w:tc>
          <w:tcPr/>
          <w:p>
            <w:pPr>
              <w:pStyle w:val="Compact"/>
              <w:jc w:val="left"/>
            </w:pPr>
            <w:r>
              <w:t xml:space="preserve">Operation and maintenance of the Facility, its equipment, material and supplies</w:t>
            </w:r>
          </w:p>
        </w:tc>
      </w:tr>
      <w:tr>
        <w:tc>
          <w:tcPr/>
          <w:p>
            <w:pPr>
              <w:pStyle w:val="Compact"/>
              <w:jc w:val="left"/>
            </w:pPr>
            <w:r>
              <w:t xml:space="preserve">B</w:t>
            </w:r>
          </w:p>
        </w:tc>
        <w:tc>
          <w:tcPr/>
          <w:p>
            <w:pPr>
              <w:pStyle w:val="Compact"/>
              <w:jc w:val="left"/>
            </w:pPr>
            <w:r>
              <w:t xml:space="preserve">Fully staff the Facility with its own employees including a full-time manager acceptable to Owner</w:t>
            </w:r>
          </w:p>
        </w:tc>
      </w:tr>
      <w:tr>
        <w:tc>
          <w:tcPr/>
          <w:p>
            <w:pPr>
              <w:pStyle w:val="Compact"/>
              <w:jc w:val="left"/>
            </w:pPr>
            <w:r>
              <w:t xml:space="preserve">C</w:t>
            </w:r>
          </w:p>
        </w:tc>
        <w:tc>
          <w:tcPr/>
          <w:p>
            <w:pPr>
              <w:pStyle w:val="Compact"/>
              <w:jc w:val="left"/>
            </w:pPr>
            <w:r>
              <w:t xml:space="preserve">Collect all gross revenues generated by Facility, pay all operating expenses, and maintain all financial records</w:t>
            </w:r>
          </w:p>
        </w:tc>
      </w:tr>
    </w:tbl>
    <w:p>
      <w:pPr>
        <w:pStyle w:val="BodyText"/>
      </w:pPr>
      <w:r>
        <w:rPr>
          <w:bCs/>
          <w:b/>
        </w:rPr>
        <w:t xml:space="preserve">Note:</w:t>
      </w:r>
      <w:r>
        <w:t xml:space="preserve"> CSCG operates the rink “consistent with the operation of other similar facilities” managed by CSCG. This confirms CSCG manages multiple facilities.</w:t>
      </w:r>
    </w:p>
    <w:bookmarkEnd w:id="22"/>
    <w:bookmarkStart w:id="23" w:name="article-2-term-of-agreement"/>
    <w:p>
      <w:pPr>
        <w:pStyle w:val="Heading3"/>
      </w:pPr>
      <w:r>
        <w:t xml:space="preserve">Article 2: Term of Agreement</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Provision</w:t>
            </w:r>
          </w:p>
        </w:tc>
        <w:tc>
          <w:tcPr/>
          <w:p>
            <w:pPr>
              <w:pStyle w:val="Compact"/>
              <w:jc w:val="left"/>
            </w:pPr>
            <w:r>
              <w:t xml:space="preserve">Detail</w:t>
            </w:r>
          </w:p>
        </w:tc>
      </w:tr>
      <w:tr>
        <w:tc>
          <w:tcPr/>
          <w:p>
            <w:pPr>
              <w:pStyle w:val="Compact"/>
              <w:jc w:val="left"/>
            </w:pPr>
            <w:r>
              <w:t xml:space="preserve">Initial Term</w:t>
            </w:r>
          </w:p>
        </w:tc>
        <w:tc>
          <w:tcPr/>
          <w:p>
            <w:pPr>
              <w:pStyle w:val="Compact"/>
              <w:jc w:val="left"/>
            </w:pPr>
            <w:r>
              <w:t xml:space="preserve">As set forth in Schedule A (3 years from August 1, 2008)</w:t>
            </w:r>
          </w:p>
        </w:tc>
      </w:tr>
      <w:tr>
        <w:tc>
          <w:tcPr/>
          <w:p>
            <w:pPr>
              <w:pStyle w:val="Compact"/>
              <w:jc w:val="left"/>
            </w:pPr>
            <w:r>
              <w:t xml:space="preserve">Renewal</w:t>
            </w:r>
          </w:p>
        </w:tc>
        <w:tc>
          <w:tcPr/>
          <w:p>
            <w:pPr>
              <w:pStyle w:val="Compact"/>
              <w:jc w:val="left"/>
            </w:pPr>
            <w:r>
              <w:t xml:space="preserve">Automatic year-to-year unless terminated</w:t>
            </w:r>
          </w:p>
        </w:tc>
      </w:tr>
      <w:tr>
        <w:tc>
          <w:tcPr/>
          <w:p>
            <w:pPr>
              <w:pStyle w:val="Compact"/>
              <w:jc w:val="left"/>
            </w:pPr>
            <w:r>
              <w:t xml:space="preserve">Termination Notice</w:t>
            </w:r>
          </w:p>
        </w:tc>
        <w:tc>
          <w:tcPr/>
          <w:p>
            <w:pPr>
              <w:pStyle w:val="Compact"/>
              <w:jc w:val="left"/>
            </w:pPr>
            <w:r>
              <w:t xml:space="preserve">90 days written notice to the other party</w:t>
            </w:r>
          </w:p>
        </w:tc>
      </w:tr>
    </w:tbl>
    <w:p>
      <w:pPr>
        <w:pStyle w:val="BodyText"/>
      </w:pPr>
      <w:r>
        <w:rPr>
          <w:bCs/>
          <w:b/>
        </w:rPr>
        <w:t xml:space="preserve">Implication:</w:t>
      </w:r>
      <w:r>
        <w:t xml:space="preserve"> The contract is currently in an auto-renewal period. Either party can terminate with 90 days notice.</w:t>
      </w:r>
    </w:p>
    <w:bookmarkEnd w:id="23"/>
    <w:bookmarkStart w:id="24" w:name="article-3-compensation"/>
    <w:p>
      <w:pPr>
        <w:pStyle w:val="Heading3"/>
      </w:pPr>
      <w:r>
        <w:t xml:space="preserve">Article 3: Compensation</w:t>
      </w:r>
    </w:p>
    <w:tbl>
      <w:tblPr>
        <w:tblStyle w:val="Table"/>
        <w:tblW w:type="pct" w:w="5000"/>
        <w:tblLook w:firstRow="1" w:lastRow="0" w:firstColumn="0" w:lastColumn="0" w:noHBand="0" w:noVBand="0" w:val="0020"/>
        <w:jc w:val="start"/>
      </w:tblPr>
      <w:tblGrid>
        <w:gridCol w:w="1800"/>
        <w:gridCol w:w="2880"/>
        <w:gridCol w:w="3240"/>
      </w:tblGrid>
      <w:tr>
        <w:trPr>
          <w:tblHeader w:val="true"/>
        </w:trPr>
        <w:tc>
          <w:tcPr/>
          <w:p>
            <w:pPr>
              <w:pStyle w:val="Compact"/>
              <w:jc w:val="left"/>
            </w:pPr>
            <w:r>
              <w:t xml:space="preserve">Fee</w:t>
            </w:r>
          </w:p>
        </w:tc>
        <w:tc>
          <w:tcPr/>
          <w:p>
            <w:pPr>
              <w:pStyle w:val="Compact"/>
              <w:jc w:val="left"/>
            </w:pPr>
            <w:r>
              <w:t xml:space="preserve">Amount</w:t>
            </w:r>
          </w:p>
        </w:tc>
        <w:tc>
          <w:tcPr/>
          <w:p>
            <w:pPr>
              <w:pStyle w:val="Compact"/>
              <w:jc w:val="left"/>
            </w:pPr>
            <w:r>
              <w:t xml:space="preserve">Payment</w:t>
            </w:r>
          </w:p>
        </w:tc>
      </w:tr>
      <w:tr>
        <w:tc>
          <w:tcPr/>
          <w:p>
            <w:pPr>
              <w:pStyle w:val="Compact"/>
              <w:jc w:val="left"/>
            </w:pPr>
            <w:r>
              <w:t xml:space="preserve">Annual Management Fee</w:t>
            </w:r>
          </w:p>
        </w:tc>
        <w:tc>
          <w:tcPr/>
          <w:p>
            <w:pPr>
              <w:pStyle w:val="Compact"/>
              <w:jc w:val="left"/>
            </w:pPr>
            <w:r>
              <w:t xml:space="preserve">$42,000.00</w:t>
            </w:r>
          </w:p>
        </w:tc>
        <w:tc>
          <w:tcPr/>
          <w:p>
            <w:pPr>
              <w:pStyle w:val="Compact"/>
              <w:jc w:val="left"/>
            </w:pPr>
            <w:r>
              <w:t xml:space="preserve">Equal monthly installments of $3,500</w:t>
            </w:r>
          </w:p>
        </w:tc>
      </w:tr>
      <w:tr>
        <w:tc>
          <w:tcPr/>
          <w:p>
            <w:pPr>
              <w:pStyle w:val="Compact"/>
              <w:jc w:val="left"/>
            </w:pPr>
            <w:r>
              <w:t xml:space="preserve">Payment Due</w:t>
            </w:r>
          </w:p>
        </w:tc>
        <w:tc>
          <w:tcPr/>
          <w:p>
            <w:pPr>
              <w:pStyle w:val="Compact"/>
              <w:jc w:val="left"/>
            </w:pPr>
            <w:r>
              <w:t xml:space="preserve">15th of each month</w:t>
            </w:r>
          </w:p>
        </w:tc>
        <w:tc>
          <w:tcPr/>
          <w:p>
            <w:pPr>
              <w:pStyle w:val="Compact"/>
              <w:jc w:val="left"/>
            </w:pPr>
            <w:r>
              <w:t xml:space="preserve">In advance</w:t>
            </w:r>
          </w:p>
        </w:tc>
      </w:tr>
    </w:tbl>
    <w:p>
      <w:pPr>
        <w:pStyle w:val="BodyText"/>
      </w:pPr>
      <w:r>
        <w:rPr>
          <w:bCs/>
          <w:b/>
        </w:rPr>
        <w:t xml:space="preserve">Important:</w:t>
      </w:r>
      <w:r>
        <w:t xml:space="preserve"> The $42,000 management fee is the ONLY direct compensation specified in the contract. All payroll flows through CSCG but is paid from NSIA’s operating account (see Article 10).</w:t>
      </w:r>
    </w:p>
    <w:bookmarkEnd w:id="24"/>
    <w:bookmarkStart w:id="25" w:name="article-4-operation-of-the-facility"/>
    <w:p>
      <w:pPr>
        <w:pStyle w:val="Heading3"/>
      </w:pPr>
      <w:r>
        <w:t xml:space="preserve">Article 4: Operation of the Facility</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Section</w:t>
            </w:r>
          </w:p>
        </w:tc>
        <w:tc>
          <w:tcPr/>
          <w:p>
            <w:pPr>
              <w:pStyle w:val="Compact"/>
              <w:jc w:val="left"/>
            </w:pPr>
            <w:r>
              <w:t xml:space="preserve">Key Provision</w:t>
            </w:r>
          </w:p>
        </w:tc>
      </w:tr>
      <w:tr>
        <w:tc>
          <w:tcPr/>
          <w:p>
            <w:pPr>
              <w:pStyle w:val="Compact"/>
              <w:jc w:val="left"/>
            </w:pPr>
            <w:r>
              <w:t xml:space="preserve">4.1</w:t>
            </w:r>
          </w:p>
        </w:tc>
        <w:tc>
          <w:tcPr/>
          <w:p>
            <w:pPr>
              <w:pStyle w:val="Compact"/>
              <w:jc w:val="left"/>
            </w:pPr>
            <w:r>
              <w:t>CSCG has “complete authority over the day to day operation” subject to Owner’s policies</w:t>
            </w:r>
          </w:p>
        </w:tc>
      </w:tr>
      <w:tr>
        <w:tc>
          <w:tcPr/>
          <w:p>
            <w:pPr>
              <w:pStyle w:val="Compact"/>
              <w:jc w:val="left"/>
            </w:pPr>
            <w:r>
              <w:t xml:space="preserve">4.2</w:t>
            </w:r>
          </w:p>
        </w:tc>
        <w:tc>
          <w:tcPr/>
          <w:p>
            <w:pPr>
              <w:pStyle w:val="Compact"/>
              <w:jc w:val="left"/>
            </w:pPr>
            <w:r>
              <w:t xml:space="preserve">CSCG’s duties include: opening/closing, collecting revenues, depositing revenues, hiring/firing/supervising employees and contractors, payroll, accounting, maintenance, program development, ticketing, marketing, janitorial</w:t>
            </w:r>
          </w:p>
        </w:tc>
      </w:tr>
      <w:tr>
        <w:tc>
          <w:tcPr/>
          <w:p>
            <w:pPr>
              <w:pStyle w:val="Compact"/>
              <w:jc w:val="left"/>
            </w:pPr>
            <w:r>
              <w:t xml:space="preserve">4.3</w:t>
            </w:r>
          </w:p>
        </w:tc>
        <w:tc>
          <w:tcPr/>
          <w:p>
            <w:pPr>
              <w:pStyle w:val="Compact"/>
              <w:jc w:val="left"/>
            </w:pPr>
            <w:r>
              <w:t>CSCG sets “all rates and charges for the use and rental of the Facility” in compliance with Owner’s policies</w:t>
            </w:r>
          </w:p>
        </w:tc>
      </w:tr>
      <w:tr>
        <w:tc>
          <w:tcPr/>
          <w:p>
            <w:pPr>
              <w:pStyle w:val="Compact"/>
              <w:jc w:val="left"/>
            </w:pPr>
            <w:r>
              <w:t xml:space="preserve">4.4</w:t>
            </w:r>
          </w:p>
        </w:tc>
        <w:tc>
          <w:tcPr/>
          <w:p>
            <w:pPr>
              <w:pStyle w:val="Compact"/>
              <w:jc w:val="left"/>
            </w:pPr>
            <w:r>
              <w:t xml:space="preserve">Owner provides CSCG with office space and Facility access</w:t>
            </w:r>
          </w:p>
        </w:tc>
      </w:tr>
    </w:tbl>
    <w:bookmarkEnd w:id="25"/>
    <w:bookmarkStart w:id="26" w:name="article-5-operating-budget"/>
    <w:p>
      <w:pPr>
        <w:pStyle w:val="Heading3"/>
      </w:pPr>
      <w:r>
        <w:t xml:space="preserve">Article 5: Operating Budget</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Section</w:t>
            </w:r>
          </w:p>
        </w:tc>
        <w:tc>
          <w:tcPr/>
          <w:p>
            <w:pPr>
              <w:pStyle w:val="Compact"/>
              <w:jc w:val="left"/>
            </w:pPr>
            <w:r>
              <w:t xml:space="preserve">Key Provision</w:t>
            </w:r>
          </w:p>
        </w:tc>
      </w:tr>
      <w:tr>
        <w:tc>
          <w:tcPr/>
          <w:p>
            <w:pPr>
              <w:pStyle w:val="Compact"/>
              <w:jc w:val="left"/>
            </w:pPr>
            <w:r>
              <w:t xml:space="preserve">5.1</w:t>
            </w:r>
          </w:p>
        </w:tc>
        <w:tc>
          <w:tcPr/>
          <w:p>
            <w:pPr>
              <w:pStyle w:val="Compact"/>
              <w:jc w:val="left"/>
            </w:pPr>
            <w:r>
              <w:t xml:space="preserve">CSCG must submit budget for Owner’s approval at least 30 days before fiscal year start</w:t>
            </w:r>
          </w:p>
        </w:tc>
      </w:tr>
      <w:tr>
        <w:tc>
          <w:tcPr/>
          <w:p>
            <w:pPr>
              <w:pStyle w:val="Compact"/>
              <w:jc w:val="left"/>
            </w:pPr>
            <w:r>
              <w:t xml:space="preserve">5.2</w:t>
            </w:r>
          </w:p>
        </w:tc>
        <w:tc>
          <w:tcPr/>
          <w:p>
            <w:pPr>
              <w:pStyle w:val="Compact"/>
              <w:jc w:val="left"/>
            </w:pPr>
            <w:r>
              <w:t xml:space="preserve">CSCG must have approved budget by first day of fiscal year; cannot exceed budget without Owner notice</w:t>
            </w:r>
          </w:p>
        </w:tc>
      </w:tr>
    </w:tbl>
    <w:p>
      <w:pPr>
        <w:pStyle w:val="BodyText"/>
      </w:pPr>
      <w:r>
        <w:rPr>
          <w:bCs/>
          <w:b/>
        </w:rPr>
        <w:t xml:space="preserve">Budget must include:</w:t>
      </w:r>
      <w:r>
        <w:t xml:space="preserve"> - Gross Revenues by program sources - Operating expenses by program - Administrative and general expenses - Travel expenses - Marketing, advertising and promotion expenses - Energy costs - Repairs and maintenance</w:t>
      </w:r>
    </w:p>
    <w:bookmarkEnd w:id="26"/>
    <w:bookmarkStart w:id="27" w:name="article-6-bank-accounts"/>
    <w:p>
      <w:pPr>
        <w:pStyle w:val="Heading3"/>
      </w:pPr>
      <w:r>
        <w:t xml:space="preserve">Article 6: Bank Accounts</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Section</w:t>
            </w:r>
          </w:p>
        </w:tc>
        <w:tc>
          <w:tcPr/>
          <w:p>
            <w:pPr>
              <w:pStyle w:val="Compact"/>
              <w:jc w:val="left"/>
            </w:pPr>
            <w:r>
              <w:t xml:space="preserve">Key Provision</w:t>
            </w:r>
          </w:p>
        </w:tc>
      </w:tr>
      <w:tr>
        <w:tc>
          <w:tcPr/>
          <w:p>
            <w:pPr>
              <w:pStyle w:val="Compact"/>
              <w:jc w:val="left"/>
            </w:pPr>
            <w:r>
              <w:t xml:space="preserve">6.1</w:t>
            </w:r>
          </w:p>
        </w:tc>
        <w:tc>
          <w:tcPr/>
          <w:p>
            <w:pPr>
              <w:pStyle w:val="Compact"/>
              <w:jc w:val="left"/>
            </w:pPr>
            <w:r>
              <w:t xml:space="preserve">Owner establishes accounts; CSCG is signatory on operating account</w:t>
            </w:r>
          </w:p>
        </w:tc>
      </w:tr>
      <w:tr>
        <w:tc>
          <w:tcPr/>
          <w:p>
            <w:pPr>
              <w:pStyle w:val="Compact"/>
              <w:jc w:val="left"/>
            </w:pPr>
            <w:r>
              <w:t xml:space="preserve">6.2</w:t>
            </w:r>
          </w:p>
        </w:tc>
        <w:tc>
          <w:tcPr/>
          <w:p>
            <w:pPr>
              <w:pStyle w:val="Compact"/>
              <w:jc w:val="left"/>
            </w:pPr>
            <w:r>
              <w:t xml:space="preserve">CSCG deposits all revenues into Owner’s account within 1 business day</w:t>
            </w:r>
          </w:p>
        </w:tc>
      </w:tr>
      <w:tr>
        <w:tc>
          <w:tcPr/>
          <w:p>
            <w:pPr>
              <w:pStyle w:val="Compact"/>
              <w:jc w:val="left"/>
            </w:pPr>
            <w:r>
              <w:t xml:space="preserve">6.3</w:t>
            </w:r>
          </w:p>
        </w:tc>
        <w:tc>
          <w:tcPr/>
          <w:p>
            <w:pPr>
              <w:pStyle w:val="Compact"/>
              <w:jc w:val="left"/>
            </w:pPr>
            <w:r>
              <w:t xml:space="preserve">All operating expenses paid by CSCG from Owner’s operating account</w:t>
            </w:r>
          </w:p>
        </w:tc>
      </w:tr>
      <w:tr>
        <w:tc>
          <w:tcPr/>
          <w:p>
            <w:pPr>
              <w:pStyle w:val="Compact"/>
              <w:jc w:val="left"/>
            </w:pPr>
            <w:r>
              <w:t xml:space="preserve">6.4</w:t>
            </w:r>
          </w:p>
        </w:tc>
        <w:tc>
          <w:tcPr/>
          <w:p>
            <w:pPr>
              <w:pStyle w:val="Compact"/>
              <w:jc w:val="left"/>
            </w:pPr>
            <w:r>
              <w:t xml:space="preserve">Owner responsible for maintaining sufficient funds in operating account</w:t>
            </w:r>
          </w:p>
        </w:tc>
      </w:tr>
    </w:tbl>
    <w:p>
      <w:pPr>
        <w:pStyle w:val="BodyText"/>
      </w:pPr>
      <w:r>
        <w:rPr>
          <w:bCs/>
          <w:b/>
        </w:rPr>
        <w:t xml:space="preserve">Critical Insight:</w:t>
      </w:r>
      <w:r>
        <w:t xml:space="preserve"> CSCG collects and deposits revenue, but all funds flow through NSIA’s accounts. NSIA has full visibility into bank activity.</w:t>
      </w:r>
    </w:p>
    <w:p>
      <w:r>
        <w:pict>
          <v:rect style="width:0;height:1.5pt" o:hralign="center" o:hrstd="t" o:hr="t"/>
        </w:pict>
      </w:r>
    </w:p>
    <w:bookmarkEnd w:id="27"/>
    <w:bookmarkEnd w:id="28"/>
    <w:bookmarkStart w:id="33" w:name="X307fa0d49385e05650cd20d8582b45d3beed949"/>
    <w:p>
      <w:pPr>
        <w:pStyle w:val="Heading2"/>
      </w:pPr>
      <w:r>
        <w:t xml:space="preserve">Article 7: Accounting (CRITICAL FOR RECORDS REQUEST)</w:t>
      </w:r>
    </w:p>
    <w:bookmarkStart w:id="29" w:name="section-7.1-financial-reporting"/>
    <w:p>
      <w:pPr>
        <w:pStyle w:val="Heading3"/>
      </w:pPr>
      <w:r>
        <w:t xml:space="preserve">Section 7.1 — Financial Reporting</w:t>
      </w:r>
    </w:p>
    <w:p>
      <w:pPr>
        <w:pStyle w:val="BlockText"/>
      </w:pPr>
      <w:r>
        <w:t xml:space="preserve">CSCG shall submit to Owner, financial reports for the Facility no less than twenty four (24) hours prior to any regularly scheduled monthly Owner board meeting. Such reports shall include </w:t>
      </w:r>
      <w:r>
        <w:rPr>
          <w:bCs/>
          <w:b/>
        </w:rPr>
        <w:t xml:space="preserve">a balance sheet and statement of revenues and expenditures</w:t>
      </w:r>
      <w:r>
        <w:t xml:space="preserve"> (budget to actual) for the current month, year to date and previous fiscal year, </w:t>
      </w:r>
      <w:r>
        <w:rPr>
          <w:bCs/>
          <w:b/>
        </w:rPr>
        <w:t xml:space="preserve">a statement of cash flows and a copy of the general ledger.</w:t>
      </w:r>
      <w:r>
        <w:t xml:space="preserve"> Owner shall promptly advise CSCG of any objection to each monthly report.</w:t>
      </w:r>
    </w:p>
    <w:p>
      <w:pPr>
        <w:pStyle w:val="FirstParagraph"/>
      </w:pPr>
      <w:r>
        <w:rPr>
          <w:bCs/>
          <w:b/>
        </w:rPr>
        <w:t xml:space="preserve">NSIA’s Right:</w:t>
      </w:r>
      <w:r>
        <w:t xml:space="preserve"> The contract explicitly requires CSCG to provide a copy of the general ledger monthly. The general ledger shows ALL transactions, including payments to CSCG.</w:t>
      </w:r>
    </w:p>
    <w:bookmarkEnd w:id="29"/>
    <w:bookmarkStart w:id="30" w:name="section-7.2-tax-returns"/>
    <w:p>
      <w:pPr>
        <w:pStyle w:val="Heading3"/>
      </w:pPr>
      <w:r>
        <w:t xml:space="preserve">Section 7.2 — Tax Returns</w:t>
      </w:r>
    </w:p>
    <w:p>
      <w:pPr>
        <w:pStyle w:val="BlockText"/>
      </w:pPr>
      <w:r>
        <w:t xml:space="preserve">Owner shall be responsible for and CSCG shall provide any requested information for the preparation and filing of all annual tax returns. CSCG shall not be liable for the payment of principal, interest or penalties in the event that Owner chooses to have CSCG prepare or file the Facility’s sales/use/excise returns.</w:t>
      </w:r>
    </w:p>
    <w:p>
      <w:pPr>
        <w:pStyle w:val="FirstParagraph"/>
      </w:pPr>
      <w:r>
        <w:rPr>
          <w:bCs/>
          <w:b/>
        </w:rPr>
        <w:t xml:space="preserve">Implication:</w:t>
      </w:r>
      <w:r>
        <w:t xml:space="preserve"> CSCG must provide information for tax returns (including Form 990).</w:t>
      </w:r>
    </w:p>
    <w:bookmarkEnd w:id="30"/>
    <w:bookmarkStart w:id="31" w:name="section-7.3-records-access-key-provision"/>
    <w:p>
      <w:pPr>
        <w:pStyle w:val="Heading3"/>
      </w:pPr>
      <w:r>
        <w:t xml:space="preserve">Section 7.3 — Records Access (KEY PROVISION)</w:t>
      </w:r>
    </w:p>
    <w:p>
      <w:pPr>
        <w:pStyle w:val="BlockText"/>
      </w:pPr>
      <w:r>
        <w:rPr>
          <w:bCs/>
          <w:b/>
        </w:rPr>
        <w:t xml:space="preserve">CSCG shall keep and maintain all financial records used to prepare the Facility’s monthly financial statements, which records shall be available for Owner’s inspection at all reasonable times during normal business hours.</w:t>
      </w:r>
      <w:r>
        <w:t xml:space="preserve"> CSCG shall return all such financial records to Owner upon termination of this Agreement and preparation of the final financial statement.</w:t>
      </w:r>
    </w:p>
    <w:p>
      <w:pPr>
        <w:pStyle w:val="FirstParagraph"/>
      </w:pPr>
      <w:r>
        <w:rPr>
          <w:bCs/>
          <w:b/>
        </w:rPr>
        <w:t xml:space="preserve">NSIA’s Right:</w:t>
      </w:r>
      <w:r>
        <w:t xml:space="preserve"> This provision is explicit and unambiguous. ALL financial records must be available for Owner inspection. There is no exception for payroll records, compensation data, or any other category.</w:t>
      </w:r>
    </w:p>
    <w:bookmarkEnd w:id="31"/>
    <w:bookmarkStart w:id="32" w:name="section-7.4-inventories"/>
    <w:p>
      <w:pPr>
        <w:pStyle w:val="Heading3"/>
      </w:pPr>
      <w:r>
        <w:t xml:space="preserve">Section 7.4 — Inventories</w:t>
      </w:r>
    </w:p>
    <w:p>
      <w:pPr>
        <w:pStyle w:val="BlockText"/>
      </w:pPr>
      <w:r>
        <w:t xml:space="preserve">As often as may be reasonably required by Owner, CSCG and Owner shall together conduct inventories of all assets, equipment and expendable supplies of the Facility.</w:t>
      </w:r>
    </w:p>
    <w:p>
      <w:r>
        <w:pict>
          <v:rect style="width:0;height:1.5pt" o:hralign="center" o:hrstd="t" o:hr="t"/>
        </w:pict>
      </w:r>
    </w:p>
    <w:bookmarkEnd w:id="32"/>
    <w:bookmarkEnd w:id="33"/>
    <w:bookmarkStart w:id="36" w:name="X4e79b7e91186032caeadb2a992cd2b3d221869e"/>
    <w:p>
      <w:pPr>
        <w:pStyle w:val="Heading2"/>
      </w:pPr>
      <w:r>
        <w:t xml:space="preserve">Article 8: Contract Authority (IMPORTANT FOR OVERSIGHT)</w:t>
      </w:r>
    </w:p>
    <w:bookmarkStart w:id="34" w:name="section-8.1-board-approval-required"/>
    <w:p>
      <w:pPr>
        <w:pStyle w:val="Heading3"/>
      </w:pPr>
      <w:r>
        <w:t xml:space="preserve">Section 8.1 — Board Approval Required</w:t>
      </w:r>
    </w:p>
    <w:p>
      <w:pPr>
        <w:pStyle w:val="FirstParagraph"/>
      </w:pPr>
      <w:r>
        <w:t xml:space="preserve">CSCG cannot, without Owner’s prior approval:</w:t>
      </w:r>
    </w:p>
    <w:tbl>
      <w:tblPr>
        <w:tblStyle w:val="Table"/>
        <w:tblW w:type="pct" w:w="5000"/>
        <w:tblLook w:firstRow="1" w:lastRow="0" w:firstColumn="0" w:lastColumn="0" w:noHBand="0" w:noVBand="0" w:val="0020"/>
        <w:jc w:val="start"/>
      </w:tblPr>
      <w:tblGrid>
        <w:gridCol w:w="3771"/>
        <w:gridCol w:w="4148"/>
      </w:tblGrid>
      <w:tr>
        <w:trPr>
          <w:tblHeader w:val="true"/>
        </w:trPr>
        <w:tc>
          <w:tcPr/>
          <w:p>
            <w:pPr>
              <w:pStyle w:val="Compact"/>
              <w:jc w:val="left"/>
            </w:pPr>
            <w:r>
              <w:t xml:space="preserve">Category</w:t>
            </w:r>
          </w:p>
        </w:tc>
        <w:tc>
          <w:tcPr/>
          <w:p>
            <w:pPr>
              <w:pStyle w:val="Compact"/>
              <w:jc w:val="left"/>
            </w:pPr>
            <w:r>
              <w:t xml:space="preserve">Threshold</w:t>
            </w:r>
          </w:p>
        </w:tc>
      </w:tr>
      <w:tr>
        <w:tc>
          <w:tcPr/>
          <w:p>
            <w:pPr>
              <w:pStyle w:val="Compact"/>
              <w:jc w:val="left"/>
            </w:pPr>
            <w:r>
              <w:t xml:space="preserve">A</w:t>
            </w:r>
          </w:p>
        </w:tc>
        <w:tc>
          <w:tcPr/>
          <w:p>
            <w:pPr>
              <w:pStyle w:val="Compact"/>
              <w:jc w:val="left"/>
            </w:pPr>
            <w:r>
              <w:t xml:space="preserve">Any vendor, service, or user/rental occupancy contracts longer than </w:t>
            </w:r>
            <w:r>
              <w:rPr>
                <w:bCs/>
                <w:b/>
              </w:rPr>
              <w:t xml:space="preserve">one (1) year</w:t>
            </w:r>
          </w:p>
        </w:tc>
      </w:tr>
      <w:tr>
        <w:tc>
          <w:tcPr/>
          <w:p>
            <w:pPr>
              <w:pStyle w:val="Compact"/>
              <w:jc w:val="left"/>
            </w:pPr>
            <w:r>
              <w:t xml:space="preserve">B</w:t>
            </w:r>
          </w:p>
        </w:tc>
        <w:tc>
          <w:tcPr/>
          <w:p>
            <w:pPr>
              <w:pStyle w:val="Compact"/>
              <w:jc w:val="left"/>
            </w:pPr>
            <w:r>
              <w:t xml:space="preserve">Any contracts for purchase of goods, equipment, or services in excess of </w:t>
            </w:r>
            <w:r>
              <w:rPr>
                <w:bCs/>
                <w:b/>
              </w:rPr>
              <w:t xml:space="preserve">three thousand five hundred dollars ($3,500.00)</w:t>
            </w:r>
          </w:p>
        </w:tc>
      </w:tr>
    </w:tbl>
    <w:bookmarkEnd w:id="34"/>
    <w:bookmarkStart w:id="35" w:name="section-8.2-contract-copies"/>
    <w:p>
      <w:pPr>
        <w:pStyle w:val="Heading3"/>
      </w:pPr>
      <w:r>
        <w:t xml:space="preserve">Section 8.2 — Contract Copies</w:t>
      </w:r>
    </w:p>
    <w:p>
      <w:pPr>
        <w:pStyle w:val="BlockText"/>
      </w:pPr>
      <w:r>
        <w:t xml:space="preserve">Owner shall provide CSCG with copies of all existing contracts… and CSCG shall copy Owner on all renewal and new contracts entered into thereafter.</w:t>
      </w:r>
    </w:p>
    <w:p>
      <w:pPr>
        <w:pStyle w:val="FirstParagraph"/>
      </w:pPr>
      <w:r>
        <w:rPr>
          <w:bCs/>
          <w:b/>
        </w:rPr>
        <w:t xml:space="preserve">Implication:</w:t>
      </w:r>
      <w:r>
        <w:t xml:space="preserve"> CSCG should be providing copies of all contracts to the Board. Has this been happening?</w:t>
      </w:r>
    </w:p>
    <w:p>
      <w:r>
        <w:pict>
          <v:rect style="width:0;height:1.5pt" o:hralign="center" o:hrstd="t" o:hr="t"/>
        </w:pict>
      </w:r>
    </w:p>
    <w:bookmarkEnd w:id="35"/>
    <w:bookmarkEnd w:id="36"/>
    <w:bookmarkStart w:id="37" w:name="article-9-repairs-and-maintenance"/>
    <w:p>
      <w:pPr>
        <w:pStyle w:val="Heading2"/>
      </w:pPr>
      <w:r>
        <w:t xml:space="preserve">Article 9: Repairs and Maintenance</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Section</w:t>
            </w:r>
          </w:p>
        </w:tc>
        <w:tc>
          <w:tcPr/>
          <w:p>
            <w:pPr>
              <w:pStyle w:val="Compact"/>
              <w:jc w:val="left"/>
            </w:pPr>
            <w:r>
              <w:t xml:space="preserve">Key Provision</w:t>
            </w:r>
          </w:p>
        </w:tc>
      </w:tr>
      <w:tr>
        <w:tc>
          <w:tcPr/>
          <w:p>
            <w:pPr>
              <w:pStyle w:val="Compact"/>
              <w:jc w:val="left"/>
            </w:pPr>
            <w:r>
              <w:t xml:space="preserve">9.1</w:t>
            </w:r>
          </w:p>
        </w:tc>
        <w:tc>
          <w:tcPr/>
          <w:p>
            <w:pPr>
              <w:pStyle w:val="Compact"/>
              <w:jc w:val="left"/>
            </w:pPr>
            <w:r>
              <w:t xml:space="preserve">CSCG handles routine repairs as operating expense; repairs over </w:t>
            </w:r>
            <w:r>
              <w:rPr>
                <w:bCs/>
                <w:b/>
              </w:rPr>
              <w:t xml:space="preserve">$3,500</w:t>
            </w:r>
            <w:r>
              <w:t xml:space="preserve"> require Owner approval</w:t>
            </w:r>
          </w:p>
        </w:tc>
      </w:tr>
      <w:tr>
        <w:tc>
          <w:tcPr/>
          <w:p>
            <w:pPr>
              <w:pStyle w:val="Compact"/>
              <w:jc w:val="left"/>
            </w:pPr>
            <w:r>
              <w:t xml:space="preserve">9.2</w:t>
            </w:r>
          </w:p>
        </w:tc>
        <w:tc>
          <w:tcPr/>
          <w:p>
            <w:pPr>
              <w:pStyle w:val="Compact"/>
              <w:jc w:val="left"/>
            </w:pPr>
            <w:r>
              <w:t xml:space="preserve">Emergency repairs allowed without approval; Owner reimburses full amount</w:t>
            </w:r>
          </w:p>
        </w:tc>
      </w:tr>
      <w:tr>
        <w:tc>
          <w:tcPr/>
          <w:p>
            <w:pPr>
              <w:pStyle w:val="Compact"/>
              <w:jc w:val="left"/>
            </w:pPr>
            <w:r>
              <w:t xml:space="preserve">9.3</w:t>
            </w:r>
          </w:p>
        </w:tc>
        <w:tc>
          <w:tcPr/>
          <w:p>
            <w:pPr>
              <w:pStyle w:val="Compact"/>
              <w:jc w:val="left"/>
            </w:pPr>
            <w:r>
              <w:t xml:space="preserve">CSCG responsible for purchasing expendable supplies per budget</w:t>
            </w:r>
          </w:p>
        </w:tc>
      </w:tr>
    </w:tbl>
    <w:p>
      <w:r>
        <w:pict>
          <v:rect style="width:0;height:1.5pt" o:hralign="center" o:hrstd="t" o:hr="t"/>
        </w:pict>
      </w:r>
    </w:p>
    <w:bookmarkEnd w:id="37"/>
    <w:bookmarkStart w:id="39" w:name="Xe30408abe1f5d6b7fb5a3ff22b9034299591bf4"/>
    <w:p>
      <w:pPr>
        <w:pStyle w:val="Heading2"/>
      </w:pPr>
      <w:r>
        <w:t xml:space="preserve">Article 10: Employees (CRITICAL FOR UNDERSTANDING PAYMENT STRUCTURE)</w:t>
      </w:r>
    </w:p>
    <w:bookmarkStart w:id="38" w:name="section-10.1-employment-status"/>
    <w:p>
      <w:pPr>
        <w:pStyle w:val="Heading3"/>
      </w:pPr>
      <w:r>
        <w:t xml:space="preserve">Section 10.1 — Employment Status</w:t>
      </w:r>
    </w:p>
    <w:p>
      <w:pPr>
        <w:pStyle w:val="BlockText"/>
      </w:pPr>
      <w:r>
        <w:rPr>
          <w:bCs/>
          <w:b/>
        </w:rPr>
        <w:t xml:space="preserve">All personnel employed at the Facility shall be employees of CSCG and not of Owner.</w:t>
      </w:r>
      <w:r>
        <w:t xml:space="preserve"> CSCG shall, subject to the restraints of the operating budget and consistent with standard industry practices, select the number, function, qualifications, compensation and benefits of its employees and shall control the terms and conditions of their employment. </w:t>
      </w:r>
      <w:r>
        <w:rPr>
          <w:bCs/>
          <w:b/>
        </w:rPr>
        <w:t xml:space="preserve">All employee compensation and benefits including payroll, taxes and insurance shall be Facility operating expenses. Compensation shall be paid out of Owner’s operating account.</w:t>
      </w:r>
    </w:p>
    <w:p>
      <w:pPr>
        <w:pStyle w:val="FirstParagraph"/>
      </w:pPr>
      <w:r>
        <w:rPr>
          <w:bCs/>
          <w:b/>
        </w:rPr>
        <w:t xml:space="preserve">Key Takeaways:</w:t>
      </w:r>
      <w:r>
        <w:t xml:space="preserve"> 1. Staff are CSCG employees, NOT NSIA employees 2. CSCG controls compensation decisions 3. ALL compensation is paid from NSIA’s operating account 4. This is why payroll (~$367K) flows through CSCG but is funded by NSIA</w:t>
      </w:r>
    </w:p>
    <w:p>
      <w:pPr>
        <w:pStyle w:val="BodyText"/>
      </w:pPr>
      <w:r>
        <w:rPr>
          <w:bCs/>
          <w:b/>
        </w:rPr>
        <w:t xml:space="preserve">Critical Implication:</w:t>
      </w:r>
      <w:r>
        <w:t xml:space="preserve"> Because compensation is paid from NSIA’s account, NSIA has an absolute right to know how its funds are being used. The “payroll privacy” argument fails here — this is NSIA’s money.</w:t>
      </w:r>
    </w:p>
    <w:p>
      <w:r>
        <w:pict>
          <v:rect style="width:0;height:1.5pt" o:hralign="center" o:hrstd="t" o:hr="t"/>
        </w:pict>
      </w:r>
    </w:p>
    <w:bookmarkEnd w:id="38"/>
    <w:bookmarkEnd w:id="39"/>
    <w:bookmarkStart w:id="41" w:name="article-11-personal-property"/>
    <w:p>
      <w:pPr>
        <w:pStyle w:val="Heading2"/>
      </w:pPr>
      <w:r>
        <w:t xml:space="preserve">Article 11: Personal Property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Schedule</w:t>
            </w:r>
          </w:p>
        </w:tc>
        <w:tc>
          <w:tcPr/>
          <w:p>
            <w:pPr>
              <w:pStyle w:val="Compact"/>
              <w:jc w:val="left"/>
            </w:pPr>
            <w:r>
              <w:t xml:space="preserve">Description</w:t>
            </w:r>
          </w:p>
        </w:tc>
      </w:tr>
      <w:tr>
        <w:tc>
          <w:tcPr/>
          <w:p>
            <w:pPr>
              <w:pStyle w:val="Compact"/>
              <w:jc w:val="left"/>
            </w:pPr>
            <w:r>
              <w:t xml:space="preserve">Schedule B</w:t>
            </w:r>
          </w:p>
        </w:tc>
        <w:tc>
          <w:tcPr/>
          <w:p>
            <w:pPr>
              <w:pStyle w:val="Compact"/>
              <w:jc w:val="left"/>
            </w:pPr>
            <w:r>
              <w:t xml:space="preserve">Personal Property and Equipment supplied by Owner</w:t>
            </w:r>
          </w:p>
        </w:tc>
      </w:tr>
      <w:tr>
        <w:tc>
          <w:tcPr/>
          <w:p>
            <w:pPr>
              <w:pStyle w:val="Compact"/>
              <w:jc w:val="left"/>
            </w:pPr>
            <w:r>
              <w:t xml:space="preserve">Schedule C</w:t>
            </w:r>
          </w:p>
        </w:tc>
        <w:tc>
          <w:tcPr/>
          <w:p>
            <w:pPr>
              <w:pStyle w:val="Compact"/>
              <w:jc w:val="left"/>
            </w:pPr>
            <w:r>
              <w:t xml:space="preserve">Personal Property and Equipment supplied by CSCG</w:t>
            </w:r>
          </w:p>
        </w:tc>
      </w:tr>
    </w:tbl>
    <w:p>
      <w:pPr>
        <w:pStyle w:val="BodyText"/>
      </w:pPr>
      <w:r>
        <w:rPr>
          <w:bCs/>
          <w:b/>
        </w:rPr>
        <w:t xml:space="preserve">Note:</w:t>
      </w:r>
      <w:r>
        <w:t xml:space="preserve"> Schedule C states “None” — CSCG supplies no equipment of its own.</w:t>
      </w:r>
    </w:p>
    <w:bookmarkStart w:id="40" w:name="section-11.3-computer-data"/>
    <w:p>
      <w:pPr>
        <w:pStyle w:val="Heading3"/>
      </w:pPr>
      <w:r>
        <w:t xml:space="preserve">Section 11.3 — Computer Data</w:t>
      </w:r>
    </w:p>
    <w:p>
      <w:pPr>
        <w:pStyle w:val="BlockText"/>
      </w:pPr>
      <w:r>
        <w:t xml:space="preserve">Ownership and proprietary rights to any computer programs supplied by CSCG shall remain with CSCG. However, </w:t>
      </w:r>
      <w:r>
        <w:rPr>
          <w:bCs/>
          <w:b/>
        </w:rPr>
        <w:t xml:space="preserve">all computer data compilations shall be the property of Owner</w:t>
      </w:r>
      <w:r>
        <w:t xml:space="preserve"> and shall be delivered to Owner upon the termination of this Agreement.</w:t>
      </w:r>
    </w:p>
    <w:p>
      <w:pPr>
        <w:pStyle w:val="FirstParagraph"/>
      </w:pPr>
      <w:r>
        <w:rPr>
          <w:bCs/>
          <w:b/>
        </w:rPr>
        <w:t xml:space="preserve">Implication:</w:t>
      </w:r>
      <w:r>
        <w:t xml:space="preserve"> Financial data belongs to NSIA, not CSCG.</w:t>
      </w:r>
    </w:p>
    <w:p>
      <w:r>
        <w:pict>
          <v:rect style="width:0;height:1.5pt" o:hralign="center" o:hrstd="t" o:hr="t"/>
        </w:pict>
      </w:r>
    </w:p>
    <w:bookmarkEnd w:id="40"/>
    <w:bookmarkEnd w:id="41"/>
    <w:bookmarkStart w:id="43" w:name="article-12-insurance"/>
    <w:p>
      <w:pPr>
        <w:pStyle w:val="Heading2"/>
      </w:pPr>
      <w:r>
        <w:t xml:space="preserve">Article 12: Insurance</w:t>
      </w:r>
    </w:p>
    <w:tbl>
      <w:tblPr>
        <w:tblStyle w:val="Table"/>
        <w:tblW w:type="pct" w:w="5000"/>
        <w:tblLook w:firstRow="1" w:lastRow="0" w:firstColumn="0" w:lastColumn="0" w:noHBand="0" w:noVBand="0" w:val="0020"/>
        <w:jc w:val="start"/>
      </w:tblPr>
      <w:tblGrid>
        <w:gridCol w:w="2410"/>
        <w:gridCol w:w="5509"/>
      </w:tblGrid>
      <w:tr>
        <w:trPr>
          <w:tblHeader w:val="true"/>
        </w:trPr>
        <w:tc>
          <w:tcPr/>
          <w:p>
            <w:pPr>
              <w:pStyle w:val="Compact"/>
              <w:jc w:val="left"/>
            </w:pPr>
            <w:r>
              <w:t xml:space="preserve">Party</w:t>
            </w:r>
          </w:p>
        </w:tc>
        <w:tc>
          <w:tcPr/>
          <w:p>
            <w:pPr>
              <w:pStyle w:val="Compact"/>
              <w:jc w:val="left"/>
            </w:pPr>
            <w:r>
              <w:t xml:space="preserve">Responsibility</w:t>
            </w:r>
          </w:p>
        </w:tc>
      </w:tr>
      <w:tr>
        <w:tc>
          <w:tcPr/>
          <w:p>
            <w:pPr>
              <w:pStyle w:val="Compact"/>
              <w:jc w:val="left"/>
            </w:pPr>
            <w:r>
              <w:t xml:space="preserve">Owner</w:t>
            </w:r>
          </w:p>
        </w:tc>
        <w:tc>
          <w:tcPr/>
          <w:p>
            <w:pPr>
              <w:pStyle w:val="Compact"/>
              <w:jc w:val="left"/>
            </w:pPr>
            <w:r>
              <w:t xml:space="preserve">Real and Personal Property Insurance on Facility</w:t>
            </w:r>
          </w:p>
        </w:tc>
      </w:tr>
      <w:tr>
        <w:tc>
          <w:tcPr/>
          <w:p>
            <w:pPr>
              <w:pStyle w:val="Compact"/>
              <w:jc w:val="left"/>
            </w:pPr>
            <w:r>
              <w:t xml:space="preserve">CSCG</w:t>
            </w:r>
          </w:p>
        </w:tc>
        <w:tc>
          <w:tcPr/>
          <w:p>
            <w:pPr>
              <w:pStyle w:val="Compact"/>
              <w:jc w:val="left"/>
            </w:pPr>
            <w:r>
              <w:t xml:space="preserve">Commercial general liability, Workers’ compensation, Employee theft insurance</w:t>
            </w:r>
          </w:p>
        </w:tc>
      </w:tr>
    </w:tbl>
    <w:bookmarkStart w:id="42" w:name="section-12.1-multi-facility-savings"/>
    <w:p>
      <w:pPr>
        <w:pStyle w:val="Heading3"/>
      </w:pPr>
      <w:r>
        <w:t xml:space="preserve">Section 12.1 — Multi-Facility Savings</w:t>
      </w:r>
    </w:p>
    <w:p>
      <w:pPr>
        <w:pStyle w:val="BlockText"/>
      </w:pPr>
      <w:r>
        <w:t xml:space="preserve">The parties anticipate that there will be savings on insurance premiums by adding the Facility to CSCG’s master policy for the other facilities in its management portfolio.</w:t>
      </w:r>
    </w:p>
    <w:p>
      <w:pPr>
        <w:pStyle w:val="FirstParagraph"/>
      </w:pPr>
      <w:r>
        <w:rPr>
          <w:bCs/>
          <w:b/>
        </w:rPr>
        <w:t xml:space="preserve">Implication:</w:t>
      </w:r>
      <w:r>
        <w:t xml:space="preserve"> CSCG pools insurance across multiple facilities, which may affect how premiums are allocated to NSIA.</w:t>
      </w:r>
    </w:p>
    <w:p>
      <w:r>
        <w:pict>
          <v:rect style="width:0;height:1.5pt" o:hralign="center" o:hrstd="t" o:hr="t"/>
        </w:pict>
      </w:r>
    </w:p>
    <w:bookmarkEnd w:id="42"/>
    <w:bookmarkEnd w:id="43"/>
    <w:bookmarkStart w:id="48" w:name="Xd1000a6f412a8728a0d48e7a7a28bebc22fe7f9"/>
    <w:p>
      <w:pPr>
        <w:pStyle w:val="Heading2"/>
      </w:pPr>
      <w:r>
        <w:t xml:space="preserve">Article 14: Default (LEVERAGE FOR RECORDS DISPUTE)</w:t>
      </w:r>
    </w:p>
    <w:bookmarkStart w:id="44" w:name="section-14.1-definition-of-default"/>
    <w:p>
      <w:pPr>
        <w:pStyle w:val="Heading3"/>
      </w:pPr>
      <w:r>
        <w:t xml:space="preserve">Section 14.1 — Definition of Default</w:t>
      </w:r>
    </w:p>
    <w:p>
      <w:pPr>
        <w:pStyle w:val="BlockText"/>
      </w:pPr>
      <w:r>
        <w:t xml:space="preserve">When a party fails to timely make any payment due hereunder or </w:t>
      </w:r>
      <w:r>
        <w:rPr>
          <w:bCs/>
          <w:b/>
        </w:rPr>
        <w:t xml:space="preserve">breaches any of the material terms hereof</w:t>
      </w:r>
      <w:r>
        <w:t xml:space="preserve">, or breaches any of the material terms of any other written contract between the parties, such party shall be deemed in default.</w:t>
      </w:r>
    </w:p>
    <w:bookmarkEnd w:id="44"/>
    <w:bookmarkStart w:id="45" w:name="section-14.2-suspension"/>
    <w:p>
      <w:pPr>
        <w:pStyle w:val="Heading3"/>
      </w:pPr>
      <w:r>
        <w:t xml:space="preserve">Section 14.2 — Suspension</w:t>
      </w:r>
    </w:p>
    <w:p>
      <w:pPr>
        <w:pStyle w:val="BlockText"/>
      </w:pPr>
      <w:r>
        <w:t xml:space="preserve">Upon five (5) days written notice following a default in payment, performance may be suspended until all arrearages have been paid in full.</w:t>
      </w:r>
    </w:p>
    <w:bookmarkEnd w:id="45"/>
    <w:bookmarkStart w:id="46" w:name="section-14.3-termination"/>
    <w:p>
      <w:pPr>
        <w:pStyle w:val="Heading3"/>
      </w:pPr>
      <w:r>
        <w:t xml:space="preserve">Section 14.3 — Termination</w:t>
      </w:r>
    </w:p>
    <w:p>
      <w:pPr>
        <w:pStyle w:val="BlockText"/>
      </w:pPr>
      <w:r>
        <w:t xml:space="preserve">Upon thirty (30) days notice following notice of suspension of performance or any other default and </w:t>
      </w:r>
      <w:r>
        <w:rPr>
          <w:bCs/>
          <w:b/>
        </w:rPr>
        <w:t xml:space="preserve">the defaulting party’s failure to cure the alleged default</w:t>
      </w:r>
      <w:r>
        <w:t xml:space="preserve">, the non-defaulting party may terminate this Agreement.</w:t>
      </w:r>
    </w:p>
    <w:bookmarkEnd w:id="46"/>
    <w:bookmarkStart w:id="47" w:name="section-14.4-remedies"/>
    <w:p>
      <w:pPr>
        <w:pStyle w:val="Heading3"/>
      </w:pPr>
      <w:r>
        <w:t xml:space="preserve">Section 14.4 — Remedies</w:t>
      </w:r>
    </w:p>
    <w:p>
      <w:pPr>
        <w:pStyle w:val="BlockText"/>
      </w:pPr>
      <w:r>
        <w:t xml:space="preserve">Upon suspension or termination of this Agreement the non-defaulting party may pursue </w:t>
      </w:r>
      <w:r>
        <w:rPr>
          <w:bCs/>
          <w:b/>
        </w:rPr>
        <w:t xml:space="preserve">all remedies available to it under the terms hereof and under any applicable law.</w:t>
      </w:r>
    </w:p>
    <w:p>
      <w:pPr>
        <w:pStyle w:val="FirstParagraph"/>
      </w:pPr>
      <w:r>
        <w:rPr>
          <w:bCs/>
          <w:b/>
        </w:rPr>
        <w:t xml:space="preserve">Strategic Implication:</w:t>
      </w:r>
      <w:r>
        <w:t xml:space="preserve"> If CSCG refuses to provide records that NSIA is contractually entitled to under Article 7.3, NSIA could argue this constitutes a material breach. After providing notice and a 30-day cure period, NSIA would have termination rights.</w:t>
      </w:r>
    </w:p>
    <w:p>
      <w:r>
        <w:pict>
          <v:rect style="width:0;height:1.5pt" o:hralign="center" o:hrstd="t" o:hr="t"/>
        </w:pict>
      </w:r>
    </w:p>
    <w:bookmarkEnd w:id="47"/>
    <w:bookmarkEnd w:id="48"/>
    <w:bookmarkStart w:id="49" w:name="article-15-disputes"/>
    <w:p>
      <w:pPr>
        <w:pStyle w:val="Heading2"/>
      </w:pPr>
      <w:r>
        <w:t xml:space="preserve">Article 15: Disputes</w:t>
      </w:r>
    </w:p>
    <w:p>
      <w:pPr>
        <w:pStyle w:val="BlockText"/>
      </w:pPr>
      <w:r>
        <w:t xml:space="preserve">Any controversy or claim arising out of or related to this Agreement shall be submitted by the parties to </w:t>
      </w:r>
      <w:r>
        <w:rPr>
          <w:bCs/>
          <w:b/>
        </w:rPr>
        <w:t xml:space="preserve">arbitration in accordance with the commercial arbitration rules of the American Arbitration Association</w:t>
      </w:r>
      <w:r>
        <w:t xml:space="preserve">, shall be conducted in the County where the Facility is located and both parties expressly consent to jurisdiction over them of the State Courts to compel arbitration and to enter any appropriate order or judgment based upon an arbitration award.</w:t>
      </w:r>
    </w:p>
    <w:p>
      <w:pPr>
        <w:pStyle w:val="FirstParagraph"/>
      </w:pPr>
      <w:r>
        <w:rPr>
          <w:bCs/>
          <w:b/>
        </w:rPr>
        <w:t xml:space="preserve">Implication:</w:t>
      </w:r>
      <w:r>
        <w:t xml:space="preserve"> Disputes go to AAA arbitration in Cook County, not litigation.</w:t>
      </w:r>
    </w:p>
    <w:p>
      <w:r>
        <w:pict>
          <v:rect style="width:0;height:1.5pt" o:hralign="center" o:hrstd="t" o:hr="t"/>
        </w:pict>
      </w:r>
    </w:p>
    <w:bookmarkEnd w:id="49"/>
    <w:bookmarkStart w:id="50" w:name="article-17-confidentiality"/>
    <w:p>
      <w:pPr>
        <w:pStyle w:val="Heading2"/>
      </w:pPr>
      <w:r>
        <w:t xml:space="preserve">Article 17: Confidentiality</w:t>
      </w:r>
    </w:p>
    <w:p>
      <w:pPr>
        <w:pStyle w:val="BlockText"/>
      </w:pPr>
      <w:r>
        <w:t xml:space="preserve">All knowledge and information acquired during the term hereof concerning each party’s affairs and operations shall be deemed confidential. Each party, their officers, directors, partners, employees, affiliates, agents and representatives will keep such information confidential and disclose such information to only those third parties as may be required by confidentiality by itself, its agents and representatives.</w:t>
      </w:r>
    </w:p>
    <w:p>
      <w:pPr>
        <w:pStyle w:val="FirstParagraph"/>
      </w:pPr>
      <w:r>
        <w:rPr>
          <w:bCs/>
          <w:b/>
        </w:rPr>
        <w:t xml:space="preserve">Note:</w:t>
      </w:r>
      <w:r>
        <w:t xml:space="preserve"> This provision does not prevent the Owner from inspecting records under Article 7.3 — it protects against disclosure to third parties.</w:t>
      </w:r>
    </w:p>
    <w:p>
      <w:r>
        <w:pict>
          <v:rect style="width:0;height:1.5pt" o:hralign="center" o:hrstd="t" o:hr="t"/>
        </w:pict>
      </w:r>
    </w:p>
    <w:bookmarkEnd w:id="50"/>
    <w:bookmarkStart w:id="51" w:name="article-19-additional-provisions"/>
    <w:p>
      <w:pPr>
        <w:pStyle w:val="Heading2"/>
      </w:pPr>
      <w:r>
        <w:t xml:space="preserve">Article 19: Additional Provisions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Provision</w:t>
            </w:r>
          </w:p>
        </w:tc>
      </w:tr>
      <w:tr>
        <w:tc>
          <w:tcPr/>
          <w:p>
            <w:pPr>
              <w:pStyle w:val="Compact"/>
              <w:jc w:val="left"/>
            </w:pPr>
            <w:r>
              <w:t xml:space="preserve">19.1</w:t>
            </w:r>
          </w:p>
        </w:tc>
        <w:tc>
          <w:tcPr/>
          <w:p>
            <w:pPr>
              <w:pStyle w:val="Compact"/>
              <w:jc w:val="left"/>
            </w:pPr>
            <w:r>
              <w:t xml:space="preserve">Entire agreement; no oral modifications</w:t>
            </w:r>
          </w:p>
        </w:tc>
      </w:tr>
      <w:tr>
        <w:tc>
          <w:tcPr/>
          <w:p>
            <w:pPr>
              <w:pStyle w:val="Compact"/>
              <w:jc w:val="left"/>
            </w:pPr>
            <w:r>
              <w:t xml:space="preserve">19.2</w:t>
            </w:r>
          </w:p>
        </w:tc>
        <w:tc>
          <w:tcPr/>
          <w:p>
            <w:pPr>
              <w:pStyle w:val="Compact"/>
              <w:jc w:val="left"/>
            </w:pPr>
            <w:r>
              <w:t xml:space="preserve">Schedules control if conflict with main agreement</w:t>
            </w:r>
          </w:p>
        </w:tc>
      </w:tr>
      <w:tr>
        <w:tc>
          <w:tcPr/>
          <w:p>
            <w:pPr>
              <w:pStyle w:val="Compact"/>
              <w:jc w:val="left"/>
            </w:pPr>
            <w:r>
              <w:t xml:space="preserve">19.3</w:t>
            </w:r>
          </w:p>
        </w:tc>
        <w:tc>
          <w:tcPr/>
          <w:p>
            <w:pPr>
              <w:pStyle w:val="Compact"/>
              <w:jc w:val="left"/>
            </w:pPr>
            <w:r>
              <w:t xml:space="preserve">Binds successors and assigns</w:t>
            </w:r>
          </w:p>
        </w:tc>
      </w:tr>
      <w:tr>
        <w:tc>
          <w:tcPr/>
          <w:p>
            <w:pPr>
              <w:pStyle w:val="Compact"/>
              <w:jc w:val="left"/>
            </w:pPr>
            <w:r>
              <w:t xml:space="preserve">19.4</w:t>
            </w:r>
          </w:p>
        </w:tc>
        <w:tc>
          <w:tcPr/>
          <w:p>
            <w:pPr>
              <w:pStyle w:val="Compact"/>
              <w:jc w:val="left"/>
            </w:pPr>
            <w:r>
              <w:t xml:space="preserve">Cannot assign without prior written consent</w:t>
            </w:r>
          </w:p>
        </w:tc>
      </w:tr>
      <w:tr>
        <w:tc>
          <w:tcPr/>
          <w:p>
            <w:pPr>
              <w:pStyle w:val="Compact"/>
              <w:jc w:val="left"/>
            </w:pPr>
            <w:r>
              <w:t xml:space="preserve">19.7</w:t>
            </w:r>
          </w:p>
        </w:tc>
        <w:tc>
          <w:tcPr/>
          <w:p>
            <w:pPr>
              <w:pStyle w:val="Compact"/>
              <w:jc w:val="left"/>
            </w:pPr>
            <w:r>
              <w:t xml:space="preserve">No personal liability for officers/employees</w:t>
            </w:r>
          </w:p>
        </w:tc>
      </w:tr>
      <w:tr>
        <w:tc>
          <w:tcPr/>
          <w:p>
            <w:pPr>
              <w:pStyle w:val="Compact"/>
              <w:jc w:val="left"/>
            </w:pPr>
            <w:r>
              <w:t xml:space="preserve">19.8</w:t>
            </w:r>
          </w:p>
        </w:tc>
        <w:tc>
          <w:tcPr/>
          <w:p>
            <w:pPr>
              <w:pStyle w:val="Compact"/>
              <w:jc w:val="left"/>
            </w:pPr>
            <w:r>
              <w:t xml:space="preserve">Not a partnership or joint venture</w:t>
            </w:r>
          </w:p>
        </w:tc>
      </w:tr>
    </w:tbl>
    <w:p>
      <w:r>
        <w:pict>
          <v:rect style="width:0;height:1.5pt" o:hralign="center" o:hrstd="t" o:hr="t"/>
        </w:pict>
      </w:r>
    </w:p>
    <w:bookmarkEnd w:id="51"/>
    <w:bookmarkStart w:id="52" w:name="schedule-a-key-terms"/>
    <w:p>
      <w:pPr>
        <w:pStyle w:val="Heading2"/>
      </w:pPr>
      <w:r>
        <w:t xml:space="preserve">Schedule A: Key 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Facility</w:t>
            </w:r>
          </w:p>
        </w:tc>
        <w:tc>
          <w:tcPr/>
          <w:p>
            <w:pPr>
              <w:pStyle w:val="Compact"/>
              <w:jc w:val="left"/>
            </w:pPr>
            <w:r>
              <w:t xml:space="preserve">North Shore Ice Arena, LLC</w:t>
            </w:r>
          </w:p>
        </w:tc>
      </w:tr>
      <w:tr>
        <w:tc>
          <w:tcPr/>
          <w:p>
            <w:pPr>
              <w:pStyle w:val="Compact"/>
              <w:jc w:val="left"/>
            </w:pPr>
            <w:r>
              <w:t xml:space="preserve">Address</w:t>
            </w:r>
          </w:p>
        </w:tc>
        <w:tc>
          <w:tcPr/>
          <w:p>
            <w:pPr>
              <w:pStyle w:val="Compact"/>
              <w:jc w:val="left"/>
            </w:pPr>
            <w:r>
              <w:t xml:space="preserve">P.O. Box 477, Wilmette, Illinois 60091</w:t>
            </w:r>
          </w:p>
        </w:tc>
      </w:tr>
      <w:tr>
        <w:tc>
          <w:tcPr/>
          <w:p>
            <w:pPr>
              <w:pStyle w:val="Compact"/>
              <w:jc w:val="left"/>
            </w:pPr>
            <w:r>
              <w:t xml:space="preserve">Initial Term</w:t>
            </w:r>
          </w:p>
        </w:tc>
        <w:tc>
          <w:tcPr/>
          <w:p>
            <w:pPr>
              <w:pStyle w:val="Compact"/>
              <w:jc w:val="left"/>
            </w:pPr>
            <w:r>
              <w:t xml:space="preserve">Three (3) Years</w:t>
            </w:r>
          </w:p>
        </w:tc>
      </w:tr>
      <w:tr>
        <w:tc>
          <w:tcPr/>
          <w:p>
            <w:pPr>
              <w:pStyle w:val="Compact"/>
              <w:jc w:val="left"/>
            </w:pPr>
            <w:r>
              <w:t xml:space="preserve">Commencement</w:t>
            </w:r>
          </w:p>
        </w:tc>
        <w:tc>
          <w:tcPr/>
          <w:p>
            <w:pPr>
              <w:pStyle w:val="Compact"/>
              <w:jc w:val="left"/>
            </w:pPr>
            <w:r>
              <w:t xml:space="preserve">August 1, 2008</w:t>
            </w:r>
          </w:p>
        </w:tc>
      </w:tr>
      <w:tr>
        <w:tc>
          <w:tcPr/>
          <w:p>
            <w:pPr>
              <w:pStyle w:val="Compact"/>
              <w:jc w:val="left"/>
            </w:pPr>
            <w:r>
              <w:t xml:space="preserve">Annual Fee</w:t>
            </w:r>
          </w:p>
        </w:tc>
        <w:tc>
          <w:tcPr/>
          <w:p>
            <w:pPr>
              <w:pStyle w:val="Compact"/>
              <w:jc w:val="left"/>
            </w:pPr>
            <w:r>
              <w:t xml:space="preserve">$42,000.00</w:t>
            </w:r>
          </w:p>
        </w:tc>
      </w:tr>
      <w:tr>
        <w:tc>
          <w:tcPr/>
          <w:p>
            <w:pPr>
              <w:pStyle w:val="Compact"/>
              <w:jc w:val="left"/>
            </w:pPr>
            <w:r>
              <w:t xml:space="preserve">Monthly Payment</w:t>
            </w:r>
          </w:p>
        </w:tc>
        <w:tc>
          <w:tcPr/>
          <w:p>
            <w:pPr>
              <w:pStyle w:val="Compact"/>
              <w:jc w:val="left"/>
            </w:pPr>
            <w:r>
              <w:t xml:space="preserve">$3,500.00</w:t>
            </w:r>
          </w:p>
        </w:tc>
      </w:tr>
      <w:tr>
        <w:tc>
          <w:tcPr/>
          <w:p>
            <w:pPr>
              <w:pStyle w:val="Compact"/>
              <w:jc w:val="left"/>
            </w:pPr>
            <w:r>
              <w:t xml:space="preserve">Payment Due</w:t>
            </w:r>
          </w:p>
        </w:tc>
        <w:tc>
          <w:tcPr/>
          <w:p>
            <w:pPr>
              <w:pStyle w:val="Compact"/>
              <w:jc w:val="left"/>
            </w:pPr>
            <w:r>
              <w:t xml:space="preserve">15th of each month</w:t>
            </w:r>
          </w:p>
        </w:tc>
      </w:tr>
    </w:tbl>
    <w:p>
      <w:r>
        <w:pict>
          <v:rect style="width:0;height:1.5pt" o:hralign="center" o:hrstd="t" o:hr="t"/>
        </w:pict>
      </w:r>
    </w:p>
    <w:bookmarkEnd w:id="52"/>
    <w:bookmarkStart w:id="53" w:name="schedule-d-special-provisions"/>
    <w:p>
      <w:pPr>
        <w:pStyle w:val="Heading2"/>
      </w:pPr>
      <w:r>
        <w:t xml:space="preserve">Schedule D: Special Provisions</w:t>
      </w:r>
    </w:p>
    <w:p>
      <w:pPr>
        <w:pStyle w:val="BlockText"/>
      </w:pPr>
      <w:r>
        <w:t xml:space="preserve">Subject to Owner’s approval regarding the number, size and location, CSCG may place one or more signs on or about the Facility stating that CSCG is the manager and leasing agent for the Facility.</w:t>
      </w:r>
    </w:p>
    <w:p>
      <w:r>
        <w:pict>
          <v:rect style="width:0;height:1.5pt" o:hralign="center" o:hrstd="t" o:hr="t"/>
        </w:pict>
      </w:r>
    </w:p>
    <w:bookmarkEnd w:id="53"/>
    <w:bookmarkStart w:id="54" w:name="whats-not-in-the-contract"/>
    <w:p>
      <w:pPr>
        <w:pStyle w:val="Heading2"/>
      </w:pPr>
      <w:r>
        <w:t xml:space="preserve">What’s NOT in the Contract</w:t>
      </w:r>
    </w:p>
    <w:tbl>
      <w:tblPr>
        <w:tblStyle w:val="Table"/>
        <w:tblW w:type="pct" w:w="5000"/>
        <w:tblLook w:firstRow="1" w:lastRow="0" w:firstColumn="0" w:lastColumn="0" w:noHBand="0" w:noVBand="0" w:val="0020"/>
        <w:jc w:val="start"/>
      </w:tblPr>
      <w:tblGrid>
        <w:gridCol w:w="4080"/>
        <w:gridCol w:w="3840"/>
      </w:tblGrid>
      <w:tr>
        <w:trPr>
          <w:tblHeader w:val="true"/>
        </w:trPr>
        <w:tc>
          <w:tcPr/>
          <w:p>
            <w:pPr>
              <w:pStyle w:val="Compact"/>
              <w:jc w:val="left"/>
            </w:pPr>
            <w:r>
              <w:t xml:space="preserve">Missing Element</w:t>
            </w:r>
          </w:p>
        </w:tc>
        <w:tc>
          <w:tcPr/>
          <w:p>
            <w:pPr>
              <w:pStyle w:val="Compact"/>
              <w:jc w:val="left"/>
            </w:pPr>
            <w:r>
              <w:t xml:space="preserve">Why It Matters</w:t>
            </w:r>
          </w:p>
        </w:tc>
      </w:tr>
      <w:tr>
        <w:tc>
          <w:tcPr/>
          <w:p>
            <w:pPr>
              <w:pStyle w:val="Compact"/>
              <w:jc w:val="left"/>
            </w:pPr>
            <w:r>
              <w:t>No definition of “related parties”</w:t>
            </w:r>
          </w:p>
        </w:tc>
        <w:tc>
          <w:tcPr/>
          <w:p>
            <w:pPr>
              <w:pStyle w:val="Compact"/>
              <w:jc w:val="left"/>
            </w:pPr>
            <w:r>
              <w:t xml:space="preserve">No disclosure requirements for family relationships</w:t>
            </w:r>
          </w:p>
        </w:tc>
      </w:tr>
      <w:tr>
        <w:tc>
          <w:tcPr/>
          <w:p>
            <w:pPr>
              <w:pStyle w:val="Compact"/>
              <w:jc w:val="left"/>
            </w:pPr>
            <w:r>
              <w:t xml:space="preserve">No conflict of interest provisions</w:t>
            </w:r>
          </w:p>
        </w:tc>
        <w:tc>
          <w:tcPr/>
          <w:p>
            <w:pPr>
              <w:pStyle w:val="Compact"/>
              <w:jc w:val="left"/>
            </w:pPr>
            <w:r>
              <w:t xml:space="preserve">No requirement for Don to disclose ownership of CSCG</w:t>
            </w:r>
          </w:p>
        </w:tc>
      </w:tr>
      <w:tr>
        <w:tc>
          <w:tcPr/>
          <w:p>
            <w:pPr>
              <w:pStyle w:val="Compact"/>
              <w:jc w:val="left"/>
            </w:pPr>
            <w:r>
              <w:t xml:space="preserve">No cap on payroll costs</w:t>
            </w:r>
          </w:p>
        </w:tc>
        <w:tc>
          <w:tcPr/>
          <w:p>
            <w:pPr>
              <w:pStyle w:val="Compact"/>
              <w:jc w:val="left"/>
            </w:pPr>
            <w:r>
              <w:t xml:space="preserve">CSCG controls compensation with no Board approval</w:t>
            </w:r>
          </w:p>
        </w:tc>
      </w:tr>
      <w:tr>
        <w:tc>
          <w:tcPr/>
          <w:p>
            <w:pPr>
              <w:pStyle w:val="Compact"/>
              <w:jc w:val="left"/>
            </w:pPr>
            <w:r>
              <w:t xml:space="preserve">No competitive bidding requirement</w:t>
            </w:r>
          </w:p>
        </w:tc>
        <w:tc>
          <w:tcPr/>
          <w:p>
            <w:pPr>
              <w:pStyle w:val="Compact"/>
              <w:jc w:val="left"/>
            </w:pPr>
            <w:r>
              <w:t xml:space="preserve">Never been put out to bid in 18 years</w:t>
            </w:r>
          </w:p>
        </w:tc>
      </w:tr>
      <w:tr>
        <w:tc>
          <w:tcPr/>
          <w:p>
            <w:pPr>
              <w:pStyle w:val="Compact"/>
              <w:jc w:val="left"/>
            </w:pPr>
            <w:r>
              <w:t xml:space="preserve">No audit rights beyond records access</w:t>
            </w:r>
          </w:p>
        </w:tc>
        <w:tc>
          <w:tcPr/>
          <w:p>
            <w:pPr>
              <w:pStyle w:val="Compact"/>
              <w:jc w:val="left"/>
            </w:pPr>
            <w:r>
              <w:t xml:space="preserve">No right to demand independent audit of CSCG’s books</w:t>
            </w:r>
          </w:p>
        </w:tc>
      </w:tr>
      <w:tr>
        <w:tc>
          <w:tcPr/>
          <w:p>
            <w:pPr>
              <w:pStyle w:val="Compact"/>
              <w:jc w:val="left"/>
            </w:pPr>
            <w:r>
              <w:t xml:space="preserve">No mention of CSMG (Note: CSMG was dissolved 12/9/2022)</w:t>
            </w:r>
          </w:p>
        </w:tc>
        <w:tc>
          <w:tcPr/>
          <w:p>
            <w:pPr>
              <w:pStyle w:val="Compact"/>
              <w:jc w:val="left"/>
            </w:pPr>
            <w:r>
              <w:t xml:space="preserve">Contract is with CSCG only — CSMG (dissolved 12/9/2022) was never party to contract</w:t>
            </w:r>
          </w:p>
        </w:tc>
      </w:tr>
    </w:tbl>
    <w:p>
      <w:r>
        <w:pict>
          <v:rect style="width:0;height:1.5pt" o:hralign="center" o:hrstd="t" o:hr="t"/>
        </w:pict>
      </w:r>
    </w:p>
    <w:bookmarkEnd w:id="54"/>
    <w:bookmarkStart w:id="58" w:name="summary-nsias-contractual-rights"/>
    <w:p>
      <w:pPr>
        <w:pStyle w:val="Heading2"/>
      </w:pPr>
      <w:r>
        <w:t xml:space="preserve">Summary: NSIA’s Contractual Rights</w:t>
      </w:r>
    </w:p>
    <w:bookmarkStart w:id="55" w:name="records-access"/>
    <w:p>
      <w:pPr>
        <w:pStyle w:val="Heading3"/>
      </w:pPr>
      <w:r>
        <w:t xml:space="preserve">Records Access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Article</w:t>
            </w:r>
          </w:p>
        </w:tc>
        <w:tc>
          <w:tcPr/>
          <w:p>
            <w:pPr>
              <w:pStyle w:val="Compact"/>
              <w:jc w:val="left"/>
            </w:pPr>
            <w:r>
              <w:t xml:space="preserve">Right</w:t>
            </w:r>
          </w:p>
        </w:tc>
      </w:tr>
      <w:tr>
        <w:tc>
          <w:tcPr/>
          <w:p>
            <w:pPr>
              <w:pStyle w:val="Compact"/>
              <w:jc w:val="left"/>
            </w:pPr>
            <w:r>
              <w:t xml:space="preserve">7.1</w:t>
            </w:r>
          </w:p>
        </w:tc>
        <w:tc>
          <w:tcPr/>
          <w:p>
            <w:pPr>
              <w:pStyle w:val="Compact"/>
              <w:jc w:val="left"/>
            </w:pPr>
            <w:r>
              <w:t xml:space="preserve">Monthly balance sheet, P&amp;L, cash flow, and </w:t>
            </w:r>
            <w:r>
              <w:rPr>
                <w:bCs/>
                <w:b/>
              </w:rPr>
              <w:t xml:space="preserve">general ledger</w:t>
            </w:r>
          </w:p>
        </w:tc>
      </w:tr>
      <w:tr>
        <w:tc>
          <w:tcPr/>
          <w:p>
            <w:pPr>
              <w:pStyle w:val="Compact"/>
              <w:jc w:val="left"/>
            </w:pPr>
            <w:r>
              <w:t xml:space="preserve">7.3</w:t>
            </w:r>
          </w:p>
        </w:tc>
        <w:tc>
          <w:tcPr/>
          <w:p>
            <w:pPr>
              <w:pStyle w:val="Compact"/>
              <w:jc w:val="left"/>
            </w:pPr>
            <w:r>
              <w:t xml:space="preserve">Inspection of </w:t>
            </w:r>
            <w:r>
              <w:rPr>
                <w:bCs/>
                <w:b/>
              </w:rPr>
              <w:t xml:space="preserve">all financial records</w:t>
            </w:r>
            <w:r>
              <w:t xml:space="preserve"> at any reasonable time</w:t>
            </w:r>
          </w:p>
        </w:tc>
      </w:tr>
      <w:tr>
        <w:tc>
          <w:tcPr/>
          <w:p>
            <w:pPr>
              <w:pStyle w:val="Compact"/>
              <w:jc w:val="left"/>
            </w:pPr>
            <w:r>
              <w:t xml:space="preserve">7.4</w:t>
            </w:r>
          </w:p>
        </w:tc>
        <w:tc>
          <w:tcPr/>
          <w:p>
            <w:pPr>
              <w:pStyle w:val="Compact"/>
              <w:jc w:val="left"/>
            </w:pPr>
            <w:r>
              <w:t xml:space="preserve">Joint inventory of assets and equipment</w:t>
            </w:r>
          </w:p>
        </w:tc>
      </w:tr>
    </w:tbl>
    <w:bookmarkEnd w:id="55"/>
    <w:bookmarkStart w:id="56" w:name="approval-rights"/>
    <w:p>
      <w:pPr>
        <w:pStyle w:val="Heading3"/>
      </w:pPr>
      <w:r>
        <w:t xml:space="preserve">Approval Rights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Article</w:t>
            </w:r>
          </w:p>
        </w:tc>
        <w:tc>
          <w:tcPr/>
          <w:p>
            <w:pPr>
              <w:pStyle w:val="Compact"/>
              <w:jc w:val="left"/>
            </w:pPr>
            <w:r>
              <w:t xml:space="preserve">Right</w:t>
            </w:r>
          </w:p>
        </w:tc>
      </w:tr>
      <w:tr>
        <w:tc>
          <w:tcPr/>
          <w:p>
            <w:pPr>
              <w:pStyle w:val="Compact"/>
              <w:jc w:val="left"/>
            </w:pPr>
            <w:r>
              <w:t xml:space="preserve">5.1</w:t>
            </w:r>
          </w:p>
        </w:tc>
        <w:tc>
          <w:tcPr/>
          <w:p>
            <w:pPr>
              <w:pStyle w:val="Compact"/>
              <w:jc w:val="left"/>
            </w:pPr>
            <w:r>
              <w:t xml:space="preserve">Approve operating budget</w:t>
            </w:r>
          </w:p>
        </w:tc>
      </w:tr>
      <w:tr>
        <w:tc>
          <w:tcPr/>
          <w:p>
            <w:pPr>
              <w:pStyle w:val="Compact"/>
              <w:jc w:val="left"/>
            </w:pPr>
            <w:r>
              <w:t xml:space="preserve">8.1(A)</w:t>
            </w:r>
          </w:p>
        </w:tc>
        <w:tc>
          <w:tcPr/>
          <w:p>
            <w:pPr>
              <w:pStyle w:val="Compact"/>
              <w:jc w:val="left"/>
            </w:pPr>
            <w:r>
              <w:t xml:space="preserve">Approve contracts over 1 year</w:t>
            </w:r>
          </w:p>
        </w:tc>
      </w:tr>
      <w:tr>
        <w:tc>
          <w:tcPr/>
          <w:p>
            <w:pPr>
              <w:pStyle w:val="Compact"/>
              <w:jc w:val="left"/>
            </w:pPr>
            <w:r>
              <w:t xml:space="preserve">8.1(B)</w:t>
            </w:r>
          </w:p>
        </w:tc>
        <w:tc>
          <w:tcPr/>
          <w:p>
            <w:pPr>
              <w:pStyle w:val="Compact"/>
              <w:jc w:val="left"/>
            </w:pPr>
            <w:r>
              <w:t xml:space="preserve">Approve purchases over $3,500</w:t>
            </w:r>
          </w:p>
        </w:tc>
      </w:tr>
      <w:tr>
        <w:tc>
          <w:tcPr/>
          <w:p>
            <w:pPr>
              <w:pStyle w:val="Compact"/>
              <w:jc w:val="left"/>
            </w:pPr>
            <w:r>
              <w:t xml:space="preserve">9.1</w:t>
            </w:r>
          </w:p>
        </w:tc>
        <w:tc>
          <w:tcPr/>
          <w:p>
            <w:pPr>
              <w:pStyle w:val="Compact"/>
              <w:jc w:val="left"/>
            </w:pPr>
            <w:r>
              <w:t xml:space="preserve">Approve repairs over $3,500</w:t>
            </w:r>
          </w:p>
        </w:tc>
      </w:tr>
    </w:tbl>
    <w:bookmarkEnd w:id="56"/>
    <w:bookmarkStart w:id="57" w:name="termination-rights"/>
    <w:p>
      <w:pPr>
        <w:pStyle w:val="Heading3"/>
      </w:pPr>
      <w:r>
        <w:t xml:space="preserve">Termination Rights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Article</w:t>
            </w:r>
          </w:p>
        </w:tc>
        <w:tc>
          <w:tcPr/>
          <w:p>
            <w:pPr>
              <w:pStyle w:val="Compact"/>
              <w:jc w:val="left"/>
            </w:pPr>
            <w:r>
              <w:t xml:space="preserve">Right</w:t>
            </w:r>
          </w:p>
        </w:tc>
      </w:tr>
      <w:tr>
        <w:tc>
          <w:tcPr/>
          <w:p>
            <w:pPr>
              <w:pStyle w:val="Compact"/>
              <w:jc w:val="left"/>
            </w:pPr>
            <w:r>
              <w:t xml:space="preserve">2.1</w:t>
            </w:r>
          </w:p>
        </w:tc>
        <w:tc>
          <w:tcPr/>
          <w:p>
            <w:pPr>
              <w:pStyle w:val="Compact"/>
              <w:jc w:val="left"/>
            </w:pPr>
            <w:r>
              <w:t xml:space="preserve">Terminate with 90 days notice (no cause required)</w:t>
            </w:r>
          </w:p>
        </w:tc>
      </w:tr>
      <w:tr>
        <w:tc>
          <w:tcPr/>
          <w:p>
            <w:pPr>
              <w:pStyle w:val="Compact"/>
              <w:jc w:val="left"/>
            </w:pPr>
            <w:r>
              <w:t xml:space="preserve">14.3</w:t>
            </w:r>
          </w:p>
        </w:tc>
        <w:tc>
          <w:tcPr/>
          <w:p>
            <w:pPr>
              <w:pStyle w:val="Compact"/>
              <w:jc w:val="left"/>
            </w:pPr>
            <w:r>
              <w:t xml:space="preserve">Terminate for cause after 30-day cure period</w:t>
            </w:r>
          </w:p>
        </w:tc>
      </w:tr>
    </w:tbl>
    <w:p>
      <w:r>
        <w:pict>
          <v:rect style="width:0;height:1.5pt" o:hralign="center" o:hrstd="t" o:hr="t"/>
        </w:pict>
      </w:r>
    </w:p>
    <w:bookmarkEnd w:id="57"/>
    <w:bookmarkEnd w:id="58"/>
    <w:bookmarkStart w:id="59" w:name="Xff9dcb2de33d133ac14825d5b5da73d37e25bbd"/>
    <w:p>
      <w:pPr>
        <w:pStyle w:val="Heading2"/>
      </w:pPr>
      <w:r>
        <w:t xml:space="preserve">Recommended Actions Based on Contract Analysis</w:t>
      </w:r>
    </w:p>
    <w:p>
      <w:pPr>
        <w:numPr>
          <w:ilvl w:val="0"/>
          <w:numId w:val="1001"/>
        </w:numPr>
      </w:pPr>
      <w:r>
        <w:rPr>
          <w:bCs/>
          <w:b/>
        </w:rPr>
        <w:t xml:space="preserve">Invoke Article 7.3</w:t>
      </w:r>
      <w:r>
        <w:t xml:space="preserve"> — Send formal notice that NSIA is exercising its right to inspect all financial records</w:t>
      </w:r>
    </w:p>
    <w:p>
      <w:pPr>
        <w:numPr>
          <w:ilvl w:val="0"/>
          <w:numId w:val="1001"/>
        </w:numPr>
      </w:pPr>
      <w:r>
        <w:rPr>
          <w:bCs/>
          <w:b/>
        </w:rPr>
        <w:t xml:space="preserve">Request Article 7.1 compliance</w:t>
      </w:r>
      <w:r>
        <w:t xml:space="preserve"> — Demand copy of general ledger for past 3 fiscal years</w:t>
      </w:r>
    </w:p>
    <w:p>
      <w:pPr>
        <w:numPr>
          <w:ilvl w:val="0"/>
          <w:numId w:val="1001"/>
        </w:numPr>
      </w:pPr>
      <w:r>
        <w:rPr>
          <w:bCs/>
          <w:b/>
        </w:rPr>
        <w:t xml:space="preserve">Audit Article 8.1 compliance</w:t>
      </w:r>
      <w:r>
        <w:t xml:space="preserve"> — Request list of all contracts entered into by CSCG on NSIA’s behalf</w:t>
      </w:r>
    </w:p>
    <w:p>
      <w:pPr>
        <w:numPr>
          <w:ilvl w:val="0"/>
          <w:numId w:val="1001"/>
        </w:numPr>
      </w:pPr>
      <w:r>
        <w:rPr>
          <w:bCs/>
          <w:b/>
        </w:rPr>
        <w:t xml:space="preserve">Document the record refusal</w:t>
      </w:r>
      <w:r>
        <w:t xml:space="preserve"> — If CSCG continues to refuse records access, document this as potential material breach</w:t>
      </w:r>
    </w:p>
    <w:p>
      <w:pPr>
        <w:numPr>
          <w:ilvl w:val="0"/>
          <w:numId w:val="1001"/>
        </w:numPr>
      </w:pPr>
      <w:r>
        <w:rPr>
          <w:bCs/>
          <w:b/>
        </w:rPr>
        <w:t xml:space="preserve">Preserve termination options</w:t>
      </w:r>
      <w:r>
        <w:t xml:space="preserve"> — Note that NSIA can terminate with 90 days notice at any time, even without cause</w:t>
      </w:r>
    </w:p>
    <w:p>
      <w:r>
        <w:pict>
          <v:rect style="width:0;height:1.5pt" o:hralign="center" o:hrstd="t" o:hr="t"/>
        </w:pict>
      </w:r>
    </w:p>
    <w:p>
      <w:pPr>
        <w:pStyle w:val="FirstParagraph"/>
      </w:pPr>
      <w:r>
        <w:rPr>
          <w:iCs/>
          <w:i/>
        </w:rPr>
        <w:t xml:space="preserve">Analysis prepared January 30, 2026</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2026-01-30T17:47:13Z</dcterms:created>
  <dcterms:modified xsi:type="dcterms:W3CDTF">2026-01-30T17:47:13Z</dcterms:modified>
</cp:coreProperties>
</file>

<file path=docProps/custom.xml><?xml version="1.0" encoding="utf-8"?>
<Properties xmlns="http://schemas.openxmlformats.org/officeDocument/2006/custom-properties" xmlns:vt="http://schemas.openxmlformats.org/officeDocument/2006/docPropsVTypes"/>
</file>