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rFonts w:ascii="Arial" w:cs="Arial" w:eastAsia="Arial" w:hAnsi="Arial"/>
          <w:b/>
          <w:bCs/>
          <w:color w:val="1B4F72"/>
          <w:sz w:val="48"/>
          <w:szCs w:val="48"/>
        </w:rPr>
        <w:t xml:space="preserve">NORTH SHORE ICE ARENA, LLC</w:t>
      </w:r>
    </w:p>
    <w:p>
      <w:pPr>
        <w:spacing w:after="600"/>
        <w:jc w:val="center"/>
      </w:pPr>
      <w:r>
        <w:rPr>
          <w:rFonts w:ascii="Arial" w:cs="Arial" w:eastAsia="Arial" w:hAnsi="Arial"/>
          <w:color w:val="2874A6"/>
          <w:sz w:val="36"/>
          <w:szCs w:val="36"/>
        </w:rPr>
        <w:t xml:space="preserve">Integrated Financial Analysis</w:t>
      </w:r>
    </w:p>
    <w:p>
      <w:pPr>
        <w:spacing w:after="200"/>
        <w:jc w:val="center"/>
      </w:pPr>
      <w:r>
        <w:rPr>
          <w:rFonts w:ascii="Arial" w:cs="Arial" w:eastAsia="Arial" w:hAnsi="Arial"/>
          <w:color w:val="2C3E50"/>
          <w:sz w:val="24"/>
          <w:szCs w:val="24"/>
        </w:rPr>
        <w:t xml:space="preserve">Combining Audited Financial Statements, Ground Lease Terms,</w:t>
      </w:r>
    </w:p>
    <w:p>
      <w:pPr>
        <w:spacing w:after="200"/>
        <w:jc w:val="center"/>
      </w:pPr>
      <w:r>
        <w:rPr>
          <w:rFonts w:ascii="Arial" w:cs="Arial" w:eastAsia="Arial" w:hAnsi="Arial"/>
          <w:color w:val="2C3E50"/>
          <w:sz w:val="24"/>
          <w:szCs w:val="24"/>
        </w:rPr>
        <w:t xml:space="preserve">Bond Obligations, and Strategic Position Assessment</w:t>
      </w:r>
    </w:p>
    <w:p>
      <w:pPr>
        <w:spacing w:before="800" w:after="200"/>
        <w:jc w:val="center"/>
      </w:pPr>
      <w:r>
        <w:rPr>
          <w:rFonts w:ascii="Arial" w:cs="Arial" w:eastAsia="Arial" w:hAnsi="Arial"/>
          <w:b/>
          <w:bCs/>
          <w:color w:val="1B4F72"/>
          <w:sz w:val="28"/>
          <w:szCs w:val="28"/>
        </w:rPr>
        <w:t xml:space="preserve">Fiscal Year Ended June 30, 2025</w:t>
      </w:r>
    </w:p>
    <w:p>
      <w:pPr>
        <w:spacing w:after="1200"/>
      </w:pPr>
    </w:p>
    <w:p>
      <w:pPr>
        <w:jc w:val="center"/>
      </w:pPr>
      <w:r>
        <w:rPr>
          <w:rFonts w:ascii="Arial" w:cs="Arial" w:eastAsia="Arial" w:hAnsi="Arial"/>
          <w:i/>
          <w:iCs/>
          <w:color w:val="2C3E50"/>
          <w:sz w:val="22"/>
          <w:szCs w:val="22"/>
        </w:rPr>
        <w:t xml:space="preserve">Prepared for the NSIA Board of Directors</w:t>
      </w:r>
    </w:p>
    <w:p>
      <w:pPr>
        <w:spacing w:after="200"/>
        <w:jc w:val="center"/>
      </w:pPr>
      <w:r>
        <w:rPr>
          <w:rFonts w:ascii="Arial" w:cs="Arial" w:eastAsia="Arial" w:hAnsi="Arial"/>
          <w:color w:val="2C3E50"/>
          <w:sz w:val="22"/>
          <w:szCs w:val="22"/>
        </w:rPr>
        <w:t xml:space="preserve">January 2026</w:t>
      </w:r>
    </w:p>
    <w:p>
      <w:r>
        <w:br w:type="page"/>
      </w:r>
    </w:p>
    <w:p>
      <w:pPr>
        <w:pStyle w:val="Heading1"/>
        <w:spacing w:before="360" w:after="200"/>
      </w:pPr>
      <w:r>
        <w:rPr>
          <w:rFonts w:ascii="Arial" w:cs="Arial" w:eastAsia="Arial" w:hAnsi="Arial"/>
          <w:b/>
          <w:bCs/>
          <w:color w:val="1B4F72"/>
          <w:sz w:val="32"/>
          <w:szCs w:val="32"/>
        </w:rPr>
        <w:t xml:space="preserve">Executive Summary</w:t>
      </w:r>
    </w:p>
    <w:p>
      <w:pPr>
        <w:spacing w:after="160" w:line="276"/>
        <w:jc w:val="left"/>
      </w:pPr>
      <w:r>
        <w:rPr>
          <w:rFonts w:ascii="Arial" w:cs="Arial" w:eastAsia="Arial" w:hAnsi="Arial"/>
          <w:b w:val="false"/>
          <w:bCs w:val="false"/>
          <w:i w:val="false"/>
          <w:iCs w:val="false"/>
          <w:color w:val="2C3E50"/>
          <w:sz w:val="22"/>
          <w:szCs w:val="22"/>
        </w:rPr>
        <w:t xml:space="preserve">This analysis integrates NSIA's audited financial statements with the underlying contractual framework governing the organization's long-term viability. The assessment reveals a complex financial structure with significant strategic opportunities and risks that the Board must actively manage over the next 15 years.</w:t>
      </w:r>
    </w:p>
    <w:p>
      <w:pPr>
        <w:spacing w:after="100"/>
      </w:pPr>
    </w:p>
    <w:p>
      <w:pPr>
        <w:pStyle w:val="Heading3"/>
        <w:spacing w:before="240" w:after="120"/>
      </w:pPr>
      <w:r>
        <w:rPr>
          <w:rFonts w:ascii="Arial" w:cs="Arial" w:eastAsia="Arial" w:hAnsi="Arial"/>
          <w:b/>
          <w:bCs/>
          <w:color w:val="2C3E50"/>
          <w:sz w:val="22"/>
          <w:szCs w:val="22"/>
        </w:rPr>
        <w:t xml:space="preserve">Financial Position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Total Assets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$19,189,267</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Total Liabilities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$22,128,799</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Net Assets (Deficit)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20"/>
                <w:szCs w:val="20"/>
              </w:rPr>
              <w:t xml:space="preserve">($2,939,532)</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Unrestricted Cash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$70,435 (10 days operating)</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Restricted Cash (Bond Accounts)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$690,093</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FY2025 Operating Result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($74,254) loss</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Debt Service Coverage Ratio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7AE60"/>
                <w:sz w:val="20"/>
                <w:szCs w:val="20"/>
              </w:rPr>
              <w:t xml:space="preserve">2.04x (covenant requires 1.0x)</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24"/>
              <w:bottom w:val="single" w:color="E74C3C" w:sz="1"/>
              <w:right w:val="single" w:color="E74C3C" w:sz="1"/>
            </w:tcBorders>
            <w:shd w:fill="FADBD8" w:val="clear"/>
            <w:tcMar>
              <w:top w:type="dxa" w:w="120"/>
              <w:left w:type="dxa" w:w="200"/>
              <w:bottom w:type="dxa" w:w="120"/>
              <w:right w:type="dxa" w:w="200"/>
            </w:tcMar>
          </w:tcPr>
          <w:p>
            <w:pPr>
              <w:spacing w:after="80"/>
            </w:pPr>
            <w:r>
              <w:rPr>
                <w:rFonts w:ascii="Arial" w:cs="Arial" w:eastAsia="Arial" w:hAnsi="Arial"/>
                <w:b/>
                <w:bCs/>
                <w:color w:val="E74C3C"/>
                <w:sz w:val="22"/>
                <w:szCs w:val="22"/>
              </w:rPr>
              <w:t xml:space="preserve">CRITICAL FINDING: Building Reversion Risk</w:t>
            </w:r>
          </w:p>
          <w:p>
            <w:r>
              <w:rPr>
                <w:rFonts w:ascii="Arial" w:cs="Arial" w:eastAsia="Arial" w:hAnsi="Arial"/>
                <w:color w:val="2C3E50"/>
                <w:sz w:val="20"/>
                <w:szCs w:val="20"/>
              </w:rPr>
              <w:t xml:space="preserve">Under current Ground Lease terms, NSIA's building (book value $5.3M, replacement cost $11.2M, potential market value $20-28M) reverts to Techny Land Corporation at lease end (August 2068) or earlier termination with no compensation to NSIA or its Members. The Board should prioritize negotiating modifications to this provision.</w:t>
            </w:r>
          </w:p>
        </w:tc>
      </w:tr>
    </w:tbl>
    <w:p>
      <w:pPr>
        <w:spacing w:after="200"/>
      </w:pPr>
    </w:p>
    <w:p>
      <w:pPr>
        <w:pStyle w:val="Heading3"/>
        <w:spacing w:before="240" w:after="120"/>
      </w:pPr>
      <w:r>
        <w:rPr>
          <w:rFonts w:ascii="Arial" w:cs="Arial" w:eastAsia="Arial" w:hAnsi="Arial"/>
          <w:b/>
          <w:bCs/>
          <w:color w:val="2C3E50"/>
          <w:sz w:val="22"/>
          <w:szCs w:val="22"/>
        </w:rPr>
        <w:t xml:space="preserve">Key Strategic Deadlines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Deadline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Event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Dec 1, 2038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Bond maturity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$6.04M principal due</w:t>
            </w:r>
          </w:p>
        </w:tc>
      </w:tr>
      <w:tr>
        <w:tc>
          <w:tcPr>
            <w:tcW w:type="dxa" w:w="1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Aug 31, 2040</w:t>
            </w:r>
          </w:p>
        </w:tc>
        <w:tc>
          <w:tcPr>
            <w:tcW w:type="dxa" w:w="3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Ground rent reset</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New rent = 9% of land FMV</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Aug 31, 2058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First renewal option deadline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Must exercise 10 years prior</w:t>
            </w:r>
          </w:p>
        </w:tc>
      </w:tr>
      <w:tr>
        <w:tc>
          <w:tcPr>
            <w:tcW w:type="dxa" w:w="1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Aug 31, 2068</w:t>
            </w:r>
          </w:p>
        </w:tc>
        <w:tc>
          <w:tcPr>
            <w:tcW w:type="dxa" w:w="3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Initial term expires</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Building reverts to Lessor</w:t>
            </w:r>
          </w:p>
        </w:tc>
      </w:tr>
    </w:tbl>
    <w:p>
      <w:r>
        <w:br w:type="page"/>
      </w:r>
    </w:p>
    <w:p>
      <w:pPr>
        <w:pStyle w:val="Heading1"/>
        <w:spacing w:before="360" w:after="200"/>
      </w:pPr>
      <w:r>
        <w:rPr>
          <w:rFonts w:ascii="Arial" w:cs="Arial" w:eastAsia="Arial" w:hAnsi="Arial"/>
          <w:b/>
          <w:bCs/>
          <w:color w:val="1B4F72"/>
          <w:sz w:val="32"/>
          <w:szCs w:val="32"/>
        </w:rPr>
        <w:t xml:space="preserve">1. Balance Sheet Analysis</w:t>
      </w:r>
    </w:p>
    <w:p>
      <w:pPr>
        <w:pStyle w:val="Heading2"/>
        <w:spacing w:before="300" w:after="160"/>
      </w:pPr>
      <w:r>
        <w:rPr>
          <w:rFonts w:ascii="Arial" w:cs="Arial" w:eastAsia="Arial" w:hAnsi="Arial"/>
          <w:b/>
          <w:bCs/>
          <w:color w:val="2874A6"/>
          <w:sz w:val="26"/>
          <w:szCs w:val="26"/>
        </w:rPr>
        <w:t xml:space="preserve">1.1 Assets</w:t>
      </w:r>
    </w:p>
    <w:p>
      <w:pPr>
        <w:spacing w:after="160" w:line="276"/>
        <w:jc w:val="left"/>
      </w:pPr>
      <w:r>
        <w:rPr>
          <w:rFonts w:ascii="Arial" w:cs="Arial" w:eastAsia="Arial" w:hAnsi="Arial"/>
          <w:b w:val="false"/>
          <w:bCs w:val="false"/>
          <w:i w:val="false"/>
          <w:iCs w:val="false"/>
          <w:color w:val="2C3E50"/>
          <w:sz w:val="22"/>
          <w:szCs w:val="22"/>
        </w:rPr>
        <w:t xml:space="preserve">NSIA's asset base is dominated by long-term fixed assets and restricted cash accounts required under the bond indenture. Liquid operating assets are minimal.</w:t>
      </w:r>
    </w:p>
    <w:p>
      <w:pPr>
        <w:spacing w:after="100"/>
      </w:pPr>
    </w:p>
    <w:p>
      <w:pPr>
        <w:pStyle w:val="Heading3"/>
        <w:spacing w:before="240" w:after="120"/>
      </w:pPr>
      <w:r>
        <w:rPr>
          <w:rFonts w:ascii="Arial" w:cs="Arial" w:eastAsia="Arial" w:hAnsi="Arial"/>
          <w:b/>
          <w:bCs/>
          <w:color w:val="2C3E50"/>
          <w:sz w:val="22"/>
          <w:szCs w:val="22"/>
        </w:rPr>
        <w:t xml:space="preserve">Current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 of Total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Cash and cash equivalents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$70,435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0.4%</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Total Current Assets</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$70,435</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0.4%</w:t>
            </w:r>
          </w:p>
        </w:tc>
      </w:tr>
    </w:tbl>
    <w:p>
      <w:pPr>
        <w:spacing w:after="200"/>
      </w:pPr>
    </w:p>
    <w:p>
      <w:pPr>
        <w:pStyle w:val="Heading3"/>
        <w:spacing w:before="240" w:after="120"/>
      </w:pPr>
      <w:r>
        <w:rPr>
          <w:rFonts w:ascii="Arial" w:cs="Arial" w:eastAsia="Arial" w:hAnsi="Arial"/>
          <w:b/>
          <w:bCs/>
          <w:color w:val="2C3E50"/>
          <w:sz w:val="22"/>
          <w:szCs w:val="22"/>
        </w:rPr>
        <w:t xml:space="preserve">Fixed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Gross Value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Net 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Building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$7,639,489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Equipment</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$228,896</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Improvements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$898,196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Furniture and fixtures</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$24,665</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Phone system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$9,028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bCs/>
                <w:color w:val="2C3E50"/>
                <w:sz w:val="20"/>
                <w:szCs w:val="20"/>
              </w:rPr>
              <w:t xml:space="preserve">Subtotal</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$8,800,274</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Less: Accumulated depreciation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($3,492,615)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Total Fixed Assets</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$5,307,659</w:t>
            </w:r>
          </w:p>
        </w:tc>
      </w:tr>
    </w:tbl>
    <w:p>
      <w:pPr>
        <w:spacing w:after="200"/>
      </w:pPr>
    </w:p>
    <w:p>
      <w:pPr>
        <w:pStyle w:val="Heading3"/>
        <w:spacing w:before="240" w:after="120"/>
      </w:pPr>
      <w:r>
        <w:rPr>
          <w:rFonts w:ascii="Arial" w:cs="Arial" w:eastAsia="Arial" w:hAnsi="Arial"/>
          <w:b/>
          <w:bCs/>
          <w:color w:val="2C3E50"/>
          <w:sz w:val="22"/>
          <w:szCs w:val="22"/>
        </w:rPr>
        <w:t xml:space="preserve">Other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Item</w:t>
            </w:r>
          </w:p>
        </w:tc>
        <w:tc>
          <w:tcPr>
            <w:tcW w:type="dxa" w:w="24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Amount</w:t>
            </w:r>
          </w:p>
        </w:tc>
        <w:tc>
          <w:tcPr>
            <w:tcW w:type="dxa" w:w="27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Cash - restricted (bond accounts)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$690,093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Not available for operations</w:t>
            </w:r>
          </w:p>
        </w:tc>
      </w:tr>
      <w:tr>
        <w:tc>
          <w:tcPr>
            <w:tcW w:type="dxa" w:w="4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Right-of-use asset (finance lease)</w:t>
            </w:r>
          </w:p>
        </w:tc>
        <w:tc>
          <w:tcPr>
            <w:tcW w:type="dxa" w:w="2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$13,089,579</w:t>
            </w:r>
          </w:p>
        </w:tc>
        <w:tc>
          <w:tcPr>
            <w:tcW w:type="dxa" w:w="27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Ground lease capitalized</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Loan receivable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$26,501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Deposits</w:t>
            </w:r>
          </w:p>
        </w:tc>
        <w:tc>
          <w:tcPr>
            <w:tcW w:type="dxa" w:w="2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$5,000</w:t>
            </w:r>
          </w:p>
        </w:tc>
        <w:tc>
          <w:tcPr>
            <w:tcW w:type="dxa" w:w="27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Total Other Assets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$13,811,173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24"/>
              <w:bottom w:val="single" w:color="E67E22" w:sz="1"/>
              <w:right w:val="single" w:color="E67E22" w:sz="1"/>
            </w:tcBorders>
            <w:shd w:fill="FDEBD0" w:val="clear"/>
            <w:tcMar>
              <w:top w:type="dxa" w:w="120"/>
              <w:left w:type="dxa" w:w="200"/>
              <w:bottom w:type="dxa" w:w="120"/>
              <w:right w:type="dxa" w:w="200"/>
            </w:tcMar>
          </w:tcPr>
          <w:p>
            <w:pPr>
              <w:spacing w:after="80"/>
            </w:pPr>
            <w:r>
              <w:rPr>
                <w:rFonts w:ascii="Arial" w:cs="Arial" w:eastAsia="Arial" w:hAnsi="Arial"/>
                <w:b/>
                <w:bCs/>
                <w:color w:val="E67E22"/>
                <w:sz w:val="22"/>
                <w:szCs w:val="22"/>
              </w:rPr>
              <w:t xml:space="preserve">Asset Valuation Gap</w:t>
            </w:r>
          </w:p>
          <w:p>
            <w:r>
              <w:rPr>
                <w:rFonts w:ascii="Arial" w:cs="Arial" w:eastAsia="Arial" w:hAnsi="Arial"/>
                <w:color w:val="2C3E50"/>
                <w:sz w:val="20"/>
                <w:szCs w:val="20"/>
              </w:rPr>
              <w:t xml:space="preserve">The building's book value ($5.3M net) significantly understates its economic value. Insurance replacement cost is $11.15M. Market value for a functional twin-sheet ice arena in this location could be $20-28M. This gap represents unrealized value that benefits Techny Land under current lease terms.</w:t>
            </w:r>
          </w:p>
        </w:tc>
      </w:tr>
    </w:tbl>
    <w:p>
      <w:r>
        <w:br w:type="page"/>
      </w:r>
    </w:p>
    <w:p>
      <w:pPr>
        <w:pStyle w:val="Heading2"/>
        <w:spacing w:before="300" w:after="160"/>
      </w:pPr>
      <w:r>
        <w:rPr>
          <w:rFonts w:ascii="Arial" w:cs="Arial" w:eastAsia="Arial" w:hAnsi="Arial"/>
          <w:b/>
          <w:bCs/>
          <w:color w:val="2874A6"/>
          <w:sz w:val="26"/>
          <w:szCs w:val="26"/>
        </w:rPr>
        <w:t xml:space="preserve">1.2 Liabilities</w:t>
      </w:r>
    </w:p>
    <w:p>
      <w:pPr>
        <w:spacing w:after="160" w:line="276"/>
        <w:jc w:val="left"/>
      </w:pPr>
      <w:r>
        <w:rPr>
          <w:rFonts w:ascii="Arial" w:cs="Arial" w:eastAsia="Arial" w:hAnsi="Arial"/>
          <w:b w:val="false"/>
          <w:bCs w:val="false"/>
          <w:i w:val="false"/>
          <w:iCs w:val="false"/>
          <w:color w:val="2C3E50"/>
          <w:sz w:val="22"/>
          <w:szCs w:val="22"/>
        </w:rPr>
        <w:t xml:space="preserve">NSIA carries three major debt obligations: IFA revenue bonds, the capitalized ground lease liability, and an equipment loan. All are currently being serviced without difficulty.</w:t>
      </w:r>
    </w:p>
    <w:p>
      <w:pPr>
        <w:spacing w:after="100"/>
      </w:pPr>
    </w:p>
    <w:p>
      <w:pPr>
        <w:pStyle w:val="Heading3"/>
        <w:spacing w:before="240" w:after="120"/>
      </w:pPr>
      <w:r>
        <w:rPr>
          <w:rFonts w:ascii="Arial" w:cs="Arial" w:eastAsia="Arial" w:hAnsi="Arial"/>
          <w:b/>
          <w:bCs/>
          <w:color w:val="2C3E50"/>
          <w:sz w:val="22"/>
          <w:szCs w:val="22"/>
        </w:rPr>
        <w:t xml:space="preserve">Current Liabilities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rPr>
          <w:tblHeader/>
        </w:trPr>
        <w:tc>
          <w:tcPr>
            <w:tcW w:type="dxa" w:w="702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Amount</w:t>
            </w:r>
          </w:p>
        </w:tc>
      </w:tr>
      <w:tr>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Accounts payable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$103,881</w:t>
            </w:r>
          </w:p>
        </w:tc>
      </w:tr>
      <w:tr>
        <w:tc>
          <w:tcPr>
            <w:tcW w:type="dxa" w:w="70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Deferred revenue</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$45,000</w:t>
            </w:r>
          </w:p>
        </w:tc>
      </w:tr>
      <w:tr>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Accrued interest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$31,363</w:t>
            </w:r>
          </w:p>
        </w:tc>
      </w:tr>
      <w:tr>
        <w:tc>
          <w:tcPr>
            <w:tcW w:type="dxa" w:w="70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Accrued real estate taxes</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$87,356</w:t>
            </w:r>
          </w:p>
        </w:tc>
      </w:tr>
      <w:tr>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Bond payable - current portion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$255,000</w:t>
            </w:r>
          </w:p>
        </w:tc>
      </w:tr>
      <w:tr>
        <w:tc>
          <w:tcPr>
            <w:tcW w:type="dxa" w:w="70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Finance lease liability - current portion</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$386,250</w:t>
            </w:r>
          </w:p>
        </w:tc>
      </w:tr>
      <w:tr>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Total Current Liabilities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$908,850</w:t>
            </w:r>
          </w:p>
        </w:tc>
      </w:tr>
    </w:tbl>
    <w:p>
      <w:pPr>
        <w:spacing w:after="200"/>
      </w:pPr>
    </w:p>
    <w:p>
      <w:pPr>
        <w:pStyle w:val="Heading3"/>
        <w:spacing w:before="240" w:after="120"/>
      </w:pPr>
      <w:r>
        <w:rPr>
          <w:rFonts w:ascii="Arial" w:cs="Arial" w:eastAsia="Arial" w:hAnsi="Arial"/>
          <w:b/>
          <w:bCs/>
          <w:color w:val="2C3E50"/>
          <w:sz w:val="22"/>
          <w:szCs w:val="22"/>
        </w:rPr>
        <w:t xml:space="preserve">Noncurrent Liabilities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rPr>
          <w:tblHeader/>
        </w:trPr>
        <w:tc>
          <w:tcPr>
            <w:tcW w:type="dxa" w:w="702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Amount</w:t>
            </w:r>
          </w:p>
        </w:tc>
      </w:tr>
      <w:tr>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Bond payable (net of discounts)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$5,447,800</w:t>
            </w:r>
          </w:p>
        </w:tc>
      </w:tr>
      <w:tr>
        <w:tc>
          <w:tcPr>
            <w:tcW w:type="dxa" w:w="70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Finance lease liability</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$15,512,164</w:t>
            </w:r>
          </w:p>
        </w:tc>
      </w:tr>
      <w:tr>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Financing payable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$5,565</w:t>
            </w:r>
          </w:p>
        </w:tc>
      </w:tr>
      <w:tr>
        <w:tc>
          <w:tcPr>
            <w:tcW w:type="dxa" w:w="70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Loan payable (equipment)</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$254,420</w:t>
            </w:r>
          </w:p>
        </w:tc>
      </w:tr>
      <w:tr>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Total Noncurrent Liabilities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$21,219,949</w:t>
            </w:r>
          </w:p>
        </w:tc>
      </w:tr>
    </w:tbl>
    <w:p>
      <w:pPr>
        <w:spacing w:after="200"/>
      </w:pPr>
    </w:p>
    <w:p>
      <w:pPr>
        <w:pStyle w:val="Heading3"/>
        <w:spacing w:before="240" w:after="120"/>
      </w:pPr>
      <w:r>
        <w:rPr>
          <w:rFonts w:ascii="Arial" w:cs="Arial" w:eastAsia="Arial" w:hAnsi="Arial"/>
          <w:b/>
          <w:bCs/>
          <w:color w:val="2C3E50"/>
          <w:sz w:val="22"/>
          <w:szCs w:val="22"/>
        </w:rPr>
        <w:t xml:space="preserve">Net Assets (Deficit)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rPr>
          <w:tblHeader/>
        </w:trPr>
        <w:tc>
          <w:tcPr>
            <w:tcW w:type="dxa" w:w="702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Amount</w:t>
            </w:r>
          </w:p>
        </w:tc>
      </w:tr>
      <w:tr>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Net assets without donor restrictions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($2,939,532)</w:t>
            </w:r>
          </w:p>
        </w:tc>
      </w:tr>
      <w:tr>
        <w:tc>
          <w:tcPr>
            <w:tcW w:type="dxa" w:w="70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Total Net Assets (Deficit)</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bCs/>
                <w:color w:val="E74C3C"/>
                <w:sz w:val="20"/>
                <w:szCs w:val="20"/>
              </w:rPr>
              <w:t xml:space="preserve">($2,939,532)</w:t>
            </w:r>
          </w:p>
        </w:tc>
      </w:tr>
    </w:tbl>
    <w:p>
      <w:pPr>
        <w:spacing w:after="200"/>
      </w:pPr>
    </w:p>
    <w:p>
      <w:pPr>
        <w:spacing w:after="160" w:line="276"/>
        <w:jc w:val="left"/>
      </w:pPr>
      <w:r>
        <w:rPr>
          <w:rFonts w:ascii="Arial" w:cs="Arial" w:eastAsia="Arial" w:hAnsi="Arial"/>
          <w:b w:val="false"/>
          <w:bCs w:val="false"/>
          <w:i w:val="false"/>
          <w:iCs w:val="false"/>
          <w:color w:val="2C3E50"/>
          <w:sz w:val="22"/>
          <w:szCs w:val="22"/>
        </w:rPr>
        <w:t xml:space="preserve">The negative net asset position is primarily an accounting artifact of the ASC 842 lease accounting treatment, which capitalizes the full ground lease liability ($15.9M) while the corresponding right-of-use asset ($13.1M) is being amortized. Operationally, NSIA remains solvent with a healthy debt service coverage ratio.</w:t>
      </w:r>
    </w:p>
    <w:p>
      <w:r>
        <w:br w:type="page"/>
      </w:r>
    </w:p>
    <w:p>
      <w:pPr>
        <w:pStyle w:val="Heading1"/>
        <w:spacing w:before="360" w:after="200"/>
      </w:pPr>
      <w:r>
        <w:rPr>
          <w:rFonts w:ascii="Arial" w:cs="Arial" w:eastAsia="Arial" w:hAnsi="Arial"/>
          <w:b/>
          <w:bCs/>
          <w:color w:val="1B4F72"/>
          <w:sz w:val="32"/>
          <w:szCs w:val="32"/>
        </w:rPr>
        <w:t xml:space="preserve">2. Debt Structure Analysis</w:t>
      </w:r>
    </w:p>
    <w:p>
      <w:pPr>
        <w:pStyle w:val="Heading2"/>
        <w:spacing w:before="300" w:after="160"/>
      </w:pPr>
      <w:r>
        <w:rPr>
          <w:rFonts w:ascii="Arial" w:cs="Arial" w:eastAsia="Arial" w:hAnsi="Arial"/>
          <w:b/>
          <w:bCs/>
          <w:color w:val="2874A6"/>
          <w:sz w:val="26"/>
          <w:szCs w:val="26"/>
        </w:rPr>
        <w:t xml:space="preserve">2.1 IFA Revenue Bonds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Original Issue Amount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$8,490,000</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Current Outstanding Balance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$6,040,000 (as of June 30, 2025)</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Issue Date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January 25, 2008</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Maturity Date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December 1, 2038</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Interest Rate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6.125% - 6.25%</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Trustee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Amalgamated Bank of Chicago</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Call Provision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Callable at par since December 1, 2018</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Guarantors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Wilmette Hockey Association + Winnetka Hockey Club</w:t>
            </w:r>
          </w:p>
        </w:tc>
      </w:tr>
    </w:tbl>
    <w:p>
      <w:pPr>
        <w:spacing w:after="200"/>
      </w:pPr>
    </w:p>
    <w:p>
      <w:pPr>
        <w:pStyle w:val="Heading3"/>
        <w:spacing w:before="240" w:after="120"/>
      </w:pPr>
      <w:r>
        <w:rPr>
          <w:rFonts w:ascii="Arial" w:cs="Arial" w:eastAsia="Arial" w:hAnsi="Arial"/>
          <w:b/>
          <w:bCs/>
          <w:color w:val="2C3E50"/>
          <w:sz w:val="22"/>
          <w:szCs w:val="22"/>
        </w:rPr>
        <w:t xml:space="preserve">Bond Amortization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Fiscal Year Ending</w:t>
            </w:r>
          </w:p>
        </w:tc>
        <w:tc>
          <w:tcPr>
            <w:tcW w:type="dxa" w:w="312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Principal Due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Cumulative Paid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2026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$255,000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$255,000</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2027</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$265,000</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$520,000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2028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$285,000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$805,000</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2029</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$305,000</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$1,110,000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2030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$320,000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$1,430,000</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2031 and after</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$4,610,000</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$6,040,000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$6,040,000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bl>
    <w:p>
      <w:pPr>
        <w:spacing w:after="200"/>
      </w:pPr>
    </w:p>
    <w:p>
      <w:pPr>
        <w:pStyle w:val="Heading3"/>
        <w:spacing w:before="240" w:after="120"/>
      </w:pPr>
      <w:r>
        <w:rPr>
          <w:rFonts w:ascii="Arial" w:cs="Arial" w:eastAsia="Arial" w:hAnsi="Arial"/>
          <w:b/>
          <w:bCs/>
          <w:color w:val="2C3E50"/>
          <w:sz w:val="22"/>
          <w:szCs w:val="22"/>
        </w:rPr>
        <w:t xml:space="preserve">Debt Service Covenant</w:t>
      </w:r>
    </w:p>
    <w:p>
      <w:pPr>
        <w:spacing w:after="160" w:line="276"/>
        <w:jc w:val="left"/>
      </w:pPr>
      <w:r>
        <w:rPr>
          <w:rFonts w:ascii="Arial" w:cs="Arial" w:eastAsia="Arial" w:hAnsi="Arial"/>
          <w:b w:val="false"/>
          <w:bCs w:val="false"/>
          <w:i w:val="false"/>
          <w:iCs w:val="false"/>
          <w:color w:val="2C3E50"/>
          <w:sz w:val="22"/>
          <w:szCs w:val="22"/>
        </w:rPr>
        <w:t xml:space="preserve">The bond agreement requires NSIA and its Members to maintain a combined debt service coverage ratio of at least 1.0x. The FY2025 actual ratio was 2.04x, providing comfortable headroom.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Covenant Threshold</w:t>
            </w:r>
          </w:p>
        </w:tc>
        <w:tc>
          <w:tcPr>
            <w:tcW w:type="dxa" w:w="46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Consequence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Below 1.25x</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Must engage independent consultant for recommendations</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Below 1.0x</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Event of default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24"/>
              <w:bottom w:val="single" w:color="27AE60" w:sz="1"/>
              <w:right w:val="single" w:color="27AE60" w:sz="1"/>
            </w:tcBorders>
            <w:shd w:fill="D5F5E3"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Early Retirement Opportunity</w:t>
            </w:r>
          </w:p>
          <w:p>
            <w:r>
              <w:rPr>
                <w:rFonts w:ascii="Arial" w:cs="Arial" w:eastAsia="Arial" w:hAnsi="Arial"/>
                <w:color w:val="2C3E50"/>
                <w:sz w:val="20"/>
                <w:szCs w:val="20"/>
              </w:rPr>
              <w:t xml:space="preserve">The bonds are callable at par with no prepayment penalty. Early retirement would: (1) eliminate $382K annual interest expense, (2) remove Trustee consent requirements for major decisions, and (3) provide flexibility before the 2040 rent reset. Current payoff would be approximately $6.04M plus accrued interest.</w:t>
            </w:r>
          </w:p>
        </w:tc>
      </w:tr>
    </w:tbl>
    <w:p>
      <w:r>
        <w:br w:type="page"/>
      </w:r>
    </w:p>
    <w:p>
      <w:pPr>
        <w:pStyle w:val="Heading2"/>
        <w:spacing w:before="300" w:after="160"/>
      </w:pPr>
      <w:r>
        <w:rPr>
          <w:rFonts w:ascii="Arial" w:cs="Arial" w:eastAsia="Arial" w:hAnsi="Arial"/>
          <w:b/>
          <w:bCs/>
          <w:color w:val="2874A6"/>
          <w:sz w:val="26"/>
          <w:szCs w:val="26"/>
        </w:rPr>
        <w:t xml:space="preserve">2.2 Ground Lease (Finance Lease)</w:t>
      </w:r>
    </w:p>
    <w:p>
      <w:pPr>
        <w:spacing w:after="160" w:line="276"/>
        <w:jc w:val="left"/>
      </w:pPr>
      <w:r>
        <w:rPr>
          <w:rFonts w:ascii="Arial" w:cs="Arial" w:eastAsia="Arial" w:hAnsi="Arial"/>
          <w:b w:val="false"/>
          <w:bCs w:val="false"/>
          <w:i w:val="false"/>
          <w:iCs w:val="false"/>
          <w:color w:val="2C3E50"/>
          <w:sz w:val="22"/>
          <w:szCs w:val="22"/>
        </w:rPr>
        <w:t xml:space="preserve">The Ground Lease is accounted for as a finance lease under ASC 842, resulting in both an asset (right-of-use) and liability on the balance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Right-of-Use Asset (gross)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$13,999,209</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Accumulated Amortization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($909,630)</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Right-of-Use Asset (net)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$13,089,579</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Total Lease Liability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$15,898,414</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Remaining Lease Term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43.17 years</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Discount Rate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2.00%</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Monthly Rent (June 2025)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$31,667</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Annual Rent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~$380,000</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Guarantors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WHA + WHC (same as bonds)</w:t>
            </w:r>
          </w:p>
        </w:tc>
      </w:tr>
    </w:tbl>
    <w:p>
      <w:pPr>
        <w:spacing w:after="200"/>
      </w:pPr>
    </w:p>
    <w:p>
      <w:pPr>
        <w:pStyle w:val="Heading3"/>
        <w:spacing w:before="240" w:after="120"/>
      </w:pPr>
      <w:r>
        <w:rPr>
          <w:rFonts w:ascii="Arial" w:cs="Arial" w:eastAsia="Arial" w:hAnsi="Arial"/>
          <w:b/>
          <w:bCs/>
          <w:color w:val="2C3E50"/>
          <w:sz w:val="22"/>
          <w:szCs w:val="22"/>
        </w:rPr>
        <w:t xml:space="preserve">Lease Payment Schedule (Finance Lease 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Fiscal Year Ending</w:t>
            </w:r>
          </w:p>
        </w:tc>
        <w:tc>
          <w:tcPr>
            <w:tcW w:type="dxa" w:w="39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Amount Due</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2026</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$386,250</w:t>
            </w:r>
          </w:p>
        </w:tc>
      </w:tr>
      <w:tr>
        <w:tc>
          <w:tcPr>
            <w:tcW w:type="dxa" w:w="5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2027</w:t>
            </w:r>
          </w:p>
        </w:tc>
        <w:tc>
          <w:tcPr>
            <w:tcW w:type="dxa" w:w="3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$400,417</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2028</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$407,167</w:t>
            </w:r>
          </w:p>
        </w:tc>
      </w:tr>
      <w:tr>
        <w:tc>
          <w:tcPr>
            <w:tcW w:type="dxa" w:w="5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2029</w:t>
            </w:r>
          </w:p>
        </w:tc>
        <w:tc>
          <w:tcPr>
            <w:tcW w:type="dxa" w:w="3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$413,833</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2030</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$431,667</w:t>
            </w:r>
          </w:p>
        </w:tc>
      </w:tr>
      <w:tr>
        <w:tc>
          <w:tcPr>
            <w:tcW w:type="dxa" w:w="5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2031 - 2068</w:t>
            </w:r>
          </w:p>
        </w:tc>
        <w:tc>
          <w:tcPr>
            <w:tcW w:type="dxa" w:w="3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$23,411,011</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Total Future Payments</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$25,450,345</w:t>
            </w:r>
          </w:p>
        </w:tc>
      </w:tr>
      <w:tr>
        <w:tc>
          <w:tcPr>
            <w:tcW w:type="dxa" w:w="5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Less: Present value discount</w:t>
            </w:r>
          </w:p>
        </w:tc>
        <w:tc>
          <w:tcPr>
            <w:tcW w:type="dxa" w:w="3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($9,551,931)</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C3E50"/>
                <w:sz w:val="20"/>
                <w:szCs w:val="20"/>
              </w:rPr>
              <w:t xml:space="preserve">Finance Lease Liability</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$15,898,414</w:t>
            </w:r>
          </w:p>
        </w:tc>
      </w:tr>
    </w:tbl>
    <w:p>
      <w:pPr>
        <w:spacing w:after="200"/>
      </w:pPr>
    </w:p>
    <w:p>
      <w:pPr>
        <w:pStyle w:val="Heading3"/>
        <w:spacing w:before="240" w:after="120"/>
      </w:pPr>
      <w:r>
        <w:rPr>
          <w:rFonts w:ascii="Arial" w:cs="Arial" w:eastAsia="Arial" w:hAnsi="Arial"/>
          <w:b/>
          <w:bCs/>
          <w:color w:val="2C3E50"/>
          <w:sz w:val="22"/>
          <w:szCs w:val="22"/>
        </w:rPr>
        <w:t xml:space="preserve">September 2024 Lease Amendment</w:t>
      </w:r>
    </w:p>
    <w:p>
      <w:pPr>
        <w:spacing w:after="160" w:line="276"/>
        <w:jc w:val="left"/>
      </w:pPr>
      <w:r>
        <w:rPr>
          <w:rFonts w:ascii="Arial" w:cs="Arial" w:eastAsia="Arial" w:hAnsi="Arial"/>
          <w:b w:val="false"/>
          <w:bCs w:val="false"/>
          <w:i w:val="false"/>
          <w:iCs w:val="false"/>
          <w:color w:val="2C3E50"/>
          <w:sz w:val="22"/>
          <w:szCs w:val="22"/>
        </w:rPr>
        <w:t xml:space="preserve">In September 2024, NSIA amended the Ground Lease to create an escrow arrangement. Rent payments are deposited into escrow and loaned back to NSIA for equipment purchases at 5.125% interest over 48 months. As of June 30, 2025, $254,420 had been drawn against a $300,000 facility.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24"/>
              <w:bottom w:val="single" w:color="E67E22" w:sz="1"/>
              <w:right w:val="single" w:color="E67E22" w:sz="1"/>
            </w:tcBorders>
            <w:shd w:fill="FDEBD0" w:val="clear"/>
            <w:tcMar>
              <w:top w:type="dxa" w:w="120"/>
              <w:left w:type="dxa" w:w="200"/>
              <w:bottom w:type="dxa" w:w="120"/>
              <w:right w:type="dxa" w:w="200"/>
            </w:tcMar>
          </w:tcPr>
          <w:p>
            <w:pPr>
              <w:spacing w:after="80"/>
            </w:pPr>
            <w:r>
              <w:rPr>
                <w:rFonts w:ascii="Arial" w:cs="Arial" w:eastAsia="Arial" w:hAnsi="Arial"/>
                <w:b/>
                <w:bCs/>
                <w:color w:val="E67E22"/>
                <w:sz w:val="22"/>
                <w:szCs w:val="22"/>
              </w:rPr>
              <w:t xml:space="preserve">Amendment Precedent</w:t>
            </w:r>
          </w:p>
          <w:p>
            <w:r>
              <w:rPr>
                <w:rFonts w:ascii="Arial" w:cs="Arial" w:eastAsia="Arial" w:hAnsi="Arial"/>
                <w:color w:val="2C3E50"/>
                <w:sz w:val="20"/>
                <w:szCs w:val="20"/>
              </w:rPr>
              <w:t xml:space="preserve">The September 2024 amendment demonstrates that Techny Land Corporation is willing to negotiate lease modifications. The Board should understand what concessions were exchanged and use this precedent in future negotiations.</w:t>
            </w:r>
          </w:p>
        </w:tc>
      </w:tr>
    </w:tbl>
    <w:p>
      <w:r>
        <w:br w:type="page"/>
      </w:r>
    </w:p>
    <w:p>
      <w:pPr>
        <w:pStyle w:val="Heading2"/>
        <w:spacing w:before="300" w:after="160"/>
      </w:pPr>
      <w:r>
        <w:rPr>
          <w:rFonts w:ascii="Arial" w:cs="Arial" w:eastAsia="Arial" w:hAnsi="Arial"/>
          <w:b/>
          <w:bCs/>
          <w:color w:val="2874A6"/>
          <w:sz w:val="26"/>
          <w:szCs w:val="26"/>
        </w:rPr>
        <w:t xml:space="preserve">2.3 Equipment Loan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Principal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$300,000</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Balance (June 30, 2025)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$254,420</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Interest Rate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5.125%</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Term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48 months</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Repayment Started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September 2025</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Source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Ground Lease escrow arrangement</w:t>
            </w:r>
          </w:p>
        </w:tc>
      </w:tr>
    </w:tbl>
    <w:p>
      <w:pPr>
        <w:spacing w:after="100"/>
      </w:pPr>
    </w:p>
    <w:p>
      <w:pPr>
        <w:pStyle w:val="Heading3"/>
        <w:spacing w:before="240" w:after="120"/>
      </w:pPr>
      <w:r>
        <w:rPr>
          <w:rFonts w:ascii="Arial" w:cs="Arial" w:eastAsia="Arial" w:hAnsi="Arial"/>
          <w:b/>
          <w:bCs/>
          <w:color w:val="2C3E50"/>
          <w:sz w:val="22"/>
          <w:szCs w:val="22"/>
        </w:rPr>
        <w:t xml:space="preserve">Equipment Loan Amortization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Fiscal Year Ending</w:t>
            </w:r>
          </w:p>
        </w:tc>
        <w:tc>
          <w:tcPr>
            <w:tcW w:type="dxa" w:w="39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Principal Due</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2026</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$62,500</w:t>
            </w:r>
          </w:p>
        </w:tc>
      </w:tr>
      <w:tr>
        <w:tc>
          <w:tcPr>
            <w:tcW w:type="dxa" w:w="5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2027</w:t>
            </w:r>
          </w:p>
        </w:tc>
        <w:tc>
          <w:tcPr>
            <w:tcW w:type="dxa" w:w="3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$75,000</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2028</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$75,000</w:t>
            </w:r>
          </w:p>
        </w:tc>
      </w:tr>
      <w:tr>
        <w:tc>
          <w:tcPr>
            <w:tcW w:type="dxa" w:w="5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2029</w:t>
            </w:r>
          </w:p>
        </w:tc>
        <w:tc>
          <w:tcPr>
            <w:tcW w:type="dxa" w:w="3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$75,000</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June 30, 2030</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$12,500</w:t>
            </w:r>
          </w:p>
        </w:tc>
      </w:tr>
      <w:tr>
        <w:tc>
          <w:tcPr>
            <w:tcW w:type="dxa" w:w="5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Total</w:t>
            </w:r>
          </w:p>
        </w:tc>
        <w:tc>
          <w:tcPr>
            <w:tcW w:type="dxa" w:w="3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$300,000</w:t>
            </w:r>
          </w:p>
        </w:tc>
      </w:tr>
    </w:tbl>
    <w:p>
      <w:r>
        <w:br w:type="page"/>
      </w:r>
    </w:p>
    <w:p>
      <w:pPr>
        <w:pStyle w:val="Heading1"/>
        <w:spacing w:before="360" w:after="200"/>
      </w:pPr>
      <w:r>
        <w:rPr>
          <w:rFonts w:ascii="Arial" w:cs="Arial" w:eastAsia="Arial" w:hAnsi="Arial"/>
          <w:b/>
          <w:bCs/>
          <w:color w:val="1B4F72"/>
          <w:sz w:val="32"/>
          <w:szCs w:val="32"/>
        </w:rPr>
        <w:t xml:space="preserve">3. Operating Performance</w:t>
      </w:r>
    </w:p>
    <w:p>
      <w:pPr>
        <w:pStyle w:val="Heading2"/>
        <w:spacing w:before="300" w:after="160"/>
      </w:pPr>
      <w:r>
        <w:rPr>
          <w:rFonts w:ascii="Arial" w:cs="Arial" w:eastAsia="Arial" w:hAnsi="Arial"/>
          <w:b/>
          <w:bCs/>
          <w:color w:val="2874A6"/>
          <w:sz w:val="26"/>
          <w:szCs w:val="26"/>
        </w:rPr>
        <w:t xml:space="preserve">3.1 Revenue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Revenue Source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FY2025 Amount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 of Total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Contracted rental fees (WHA/WHC)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$1,383,335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57%</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Rentals for public programs</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$726,243</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Contributions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$290,919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12%</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League fees</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$23,175</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Tournaments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$45,758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Facility rental</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$69,316</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Interest income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$46,506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Miscellaneous</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$7,022</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&lt;1%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Loss on disposal of assets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($165,820)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(7%)</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Unrealized investment loss</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($7,945)</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&lt;1%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Total Revenue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$2,418,509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100%</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24"/>
              <w:bottom w:val="single" w:color="E67E22" w:sz="1"/>
              <w:right w:val="single" w:color="E67E22" w:sz="1"/>
            </w:tcBorders>
            <w:shd w:fill="FDEBD0" w:val="clear"/>
            <w:tcMar>
              <w:top w:type="dxa" w:w="120"/>
              <w:left w:type="dxa" w:w="200"/>
              <w:bottom w:type="dxa" w:w="120"/>
              <w:right w:type="dxa" w:w="200"/>
            </w:tcMar>
          </w:tcPr>
          <w:p>
            <w:pPr>
              <w:spacing w:after="80"/>
            </w:pPr>
            <w:r>
              <w:rPr>
                <w:rFonts w:ascii="Arial" w:cs="Arial" w:eastAsia="Arial" w:hAnsi="Arial"/>
                <w:b/>
                <w:bCs/>
                <w:color w:val="E67E22"/>
                <w:sz w:val="22"/>
                <w:szCs w:val="22"/>
              </w:rPr>
              <w:t xml:space="preserve">Revenue Concentration Risk</w:t>
            </w:r>
          </w:p>
          <w:p>
            <w:r>
              <w:rPr>
                <w:rFonts w:ascii="Arial" w:cs="Arial" w:eastAsia="Arial" w:hAnsi="Arial"/>
                <w:color w:val="2C3E50"/>
                <w:sz w:val="20"/>
                <w:szCs w:val="20"/>
              </w:rPr>
              <w:t xml:space="preserve">61% of total revenue comes from the two Member clubs (WHA and WHC). While this creates stability through guaranteed ice time contracts, it also creates dependency. The Members' guarantee of the bonds creates mutual accountability—neither party can easily exit the relationship.</w:t>
            </w:r>
          </w:p>
        </w:tc>
      </w:tr>
    </w:tbl>
    <w:p>
      <w:pPr>
        <w:spacing w:after="200"/>
      </w:pPr>
    </w:p>
    <w:p>
      <w:pPr>
        <w:pStyle w:val="Heading2"/>
        <w:spacing w:before="300" w:after="160"/>
      </w:pPr>
      <w:r>
        <w:rPr>
          <w:rFonts w:ascii="Arial" w:cs="Arial" w:eastAsia="Arial" w:hAnsi="Arial"/>
          <w:b/>
          <w:bCs/>
          <w:color w:val="2874A6"/>
          <w:sz w:val="26"/>
          <w:szCs w:val="26"/>
        </w:rPr>
        <w:t xml:space="preserve">3.2 Expense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Expense Category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Program Services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Management &amp; General</w:t>
            </w:r>
          </w:p>
        </w:tc>
        <w:tc>
          <w:tcPr>
            <w:tcW w:type="dxa" w:w="18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Total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Interest - bond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$344,137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$38,237</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$382,374</w:t>
            </w:r>
          </w:p>
        </w:tc>
      </w:tr>
      <w:tr>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Interest - finance lease</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$287,235</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$31,915</w:t>
            </w:r>
          </w:p>
        </w:tc>
        <w:tc>
          <w:tcPr>
            <w:tcW w:type="dxa" w:w="18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$319,150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Payroll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$330,068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$36,674</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$366,742</w:t>
            </w:r>
          </w:p>
        </w:tc>
      </w:tr>
      <w:tr>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Utilities</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$204,968</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$22,774</w:t>
            </w:r>
          </w:p>
        </w:tc>
        <w:tc>
          <w:tcPr>
            <w:tcW w:type="dxa" w:w="18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$227,742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Depreciation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$199,393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$22,155</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$221,548</w:t>
            </w:r>
          </w:p>
        </w:tc>
      </w:tr>
      <w:tr>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Real estate taxes</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$119,978</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$13,331</w:t>
            </w:r>
          </w:p>
        </w:tc>
        <w:tc>
          <w:tcPr>
            <w:tcW w:type="dxa" w:w="18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$133,309</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Building operations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$101,006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$11,223</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$112,229</w:t>
            </w:r>
          </w:p>
        </w:tc>
      </w:tr>
      <w:tr>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Building and ground expenses</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$83,826</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$9,314</w:t>
            </w:r>
          </w:p>
        </w:tc>
        <w:tc>
          <w:tcPr>
            <w:tcW w:type="dxa" w:w="18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$93,140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Insurance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$56,733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$6,304</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$63,037</w:t>
            </w:r>
          </w:p>
        </w:tc>
      </w:tr>
      <w:tr>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Management fees</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$42,000</w:t>
            </w:r>
          </w:p>
        </w:tc>
        <w:tc>
          <w:tcPr>
            <w:tcW w:type="dxa" w:w="18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$42,000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Audit, bookkeeping, legal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$33,286</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$33,286</w:t>
            </w:r>
          </w:p>
        </w:tc>
      </w:tr>
      <w:tr>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Amortization (ROU asset)</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$272,889</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$30,321</w:t>
            </w:r>
          </w:p>
        </w:tc>
        <w:tc>
          <w:tcPr>
            <w:tcW w:type="dxa" w:w="18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$303,210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Other expenses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$186,032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$7,964</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$193,996</w:t>
            </w:r>
          </w:p>
        </w:tc>
      </w:tr>
      <w:tr>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Total Expenses</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$2,187,265</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$305,498</w:t>
            </w:r>
          </w:p>
        </w:tc>
        <w:tc>
          <w:tcPr>
            <w:tcW w:type="dxa" w:w="18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$2,492,763</w:t>
            </w:r>
          </w:p>
        </w:tc>
      </w:tr>
    </w:tbl>
    <w:p>
      <w:r>
        <w:br w:type="page"/>
      </w:r>
    </w:p>
    <w:p>
      <w:pPr>
        <w:pStyle w:val="Heading2"/>
        <w:spacing w:before="300" w:after="160"/>
      </w:pPr>
      <w:r>
        <w:rPr>
          <w:rFonts w:ascii="Arial" w:cs="Arial" w:eastAsia="Arial" w:hAnsi="Arial"/>
          <w:b/>
          <w:bCs/>
          <w:color w:val="2874A6"/>
          <w:sz w:val="26"/>
          <w:szCs w:val="26"/>
        </w:rPr>
        <w:t xml:space="preserve">3.3 Operating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FY2025</w:t>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Total Revenue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$2,418,509</w:t>
            </w:r>
          </w:p>
        </w:tc>
      </w:tr>
      <w:tr>
        <w:tc>
          <w:tcPr>
            <w:tcW w:type="dxa" w:w="6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Total Expenses</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$2,492,763</w:t>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C3E50"/>
                <w:sz w:val="20"/>
                <w:szCs w:val="20"/>
              </w:rPr>
              <w:t xml:space="preserve">Change in Net Assets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bCs/>
                <w:color w:val="E74C3C"/>
                <w:sz w:val="20"/>
                <w:szCs w:val="20"/>
              </w:rPr>
              <w:t xml:space="preserve">($74,254)</w:t>
            </w:r>
          </w:p>
        </w:tc>
      </w:tr>
      <w:tr>
        <w:tc>
          <w:tcPr>
            <w:tcW w:type="dxa" w:w="6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
            </w:r>
          </w:p>
        </w:tc>
      </w:tr>
      <w:tr>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Net Assets (Deficit), Beginning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($2,865,278)</w:t>
            </w:r>
          </w:p>
        </w:tc>
      </w:tr>
      <w:tr>
        <w:tc>
          <w:tcPr>
            <w:tcW w:type="dxa" w:w="6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bCs/>
                <w:color w:val="2C3E50"/>
                <w:sz w:val="20"/>
                <w:szCs w:val="20"/>
              </w:rPr>
              <w:t xml:space="preserve">Net Assets (Deficit), Ending</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($2,939,532)</w:t>
            </w:r>
          </w:p>
        </w:tc>
      </w:tr>
    </w:tbl>
    <w:p>
      <w:pPr>
        <w:spacing w:after="200"/>
      </w:pPr>
    </w:p>
    <w:p>
      <w:pPr>
        <w:spacing w:after="160" w:line="276"/>
        <w:jc w:val="left"/>
      </w:pPr>
      <w:r>
        <w:rPr>
          <w:rFonts w:ascii="Arial" w:cs="Arial" w:eastAsia="Arial" w:hAnsi="Arial"/>
          <w:b w:val="false"/>
          <w:bCs w:val="false"/>
          <w:i w:val="false"/>
          <w:iCs w:val="false"/>
          <w:color w:val="2C3E50"/>
          <w:sz w:val="22"/>
          <w:szCs w:val="22"/>
        </w:rPr>
        <w:t xml:space="preserve">The operating loss of $74,254 represents approximately 3% of revenue. Key cost drivers include interest expense ($728K total, 29% of expenses) and personnel/building operations. The management fee paid to Club Sports Consulting Group was $42,000 for the year.</w:t>
      </w:r>
    </w:p>
    <w:p>
      <w:r>
        <w:br w:type="page"/>
      </w:r>
    </w:p>
    <w:p>
      <w:pPr>
        <w:pStyle w:val="Heading1"/>
        <w:spacing w:before="360" w:after="200"/>
      </w:pPr>
      <w:r>
        <w:rPr>
          <w:rFonts w:ascii="Arial" w:cs="Arial" w:eastAsia="Arial" w:hAnsi="Arial"/>
          <w:b/>
          <w:bCs/>
          <w:color w:val="1B4F72"/>
          <w:sz w:val="32"/>
          <w:szCs w:val="32"/>
        </w:rPr>
        <w:t xml:space="preserve">4. Ground Lease Strategic Analysis</w:t>
      </w:r>
    </w:p>
    <w:p>
      <w:pPr>
        <w:pStyle w:val="Heading2"/>
        <w:spacing w:before="300" w:after="160"/>
      </w:pPr>
      <w:r>
        <w:rPr>
          <w:rFonts w:ascii="Arial" w:cs="Arial" w:eastAsia="Arial" w:hAnsi="Arial"/>
          <w:b/>
          <w:bCs/>
          <w:color w:val="2874A6"/>
          <w:sz w:val="26"/>
          <w:szCs w:val="26"/>
        </w:rPr>
        <w:t xml:space="preserve">4.1 Key Lease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Lessor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Techny Land Corporation</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Original Lease Date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September 1, 2008</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Initial Term Expires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August 31, 2068 (60 years)</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Renewal Options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Two 10-year options (total potential: 80 years)</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Current Monthly Rent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$31,667</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Rent Escalation (current)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15% every 10 years</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Next Escalation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August 31, 2040 (RESET to 9% of land FMV)</w:t>
            </w:r>
          </w:p>
        </w:tc>
      </w:tr>
    </w:tbl>
    <w:p>
      <w:pPr>
        <w:spacing w:after="200"/>
      </w:pPr>
    </w:p>
    <w:p>
      <w:pPr>
        <w:pStyle w:val="Heading2"/>
        <w:spacing w:before="300" w:after="160"/>
      </w:pPr>
      <w:r>
        <w:rPr>
          <w:rFonts w:ascii="Arial" w:cs="Arial" w:eastAsia="Arial" w:hAnsi="Arial"/>
          <w:b/>
          <w:bCs/>
          <w:color w:val="2874A6"/>
          <w:sz w:val="26"/>
          <w:szCs w:val="26"/>
        </w:rPr>
        <w:t xml:space="preserve">4.2 Critical Lease Provisions</w:t>
      </w:r>
    </w:p>
    <w:p>
      <w:pPr>
        <w:pStyle w:val="Heading3"/>
        <w:spacing w:before="240" w:after="120"/>
      </w:pPr>
      <w:r>
        <w:rPr>
          <w:rFonts w:ascii="Arial" w:cs="Arial" w:eastAsia="Arial" w:hAnsi="Arial"/>
          <w:b/>
          <w:bCs/>
          <w:color w:val="2C3E50"/>
          <w:sz w:val="22"/>
          <w:szCs w:val="22"/>
        </w:rPr>
        <w:t xml:space="preserve">2040 Rent Reset</w:t>
      </w:r>
    </w:p>
    <w:p>
      <w:pPr>
        <w:spacing w:after="160" w:line="276"/>
        <w:jc w:val="left"/>
      </w:pPr>
      <w:r>
        <w:rPr>
          <w:rFonts w:ascii="Arial" w:cs="Arial" w:eastAsia="Arial" w:hAnsi="Arial"/>
          <w:b w:val="false"/>
          <w:bCs w:val="false"/>
          <w:i w:val="false"/>
          <w:iCs w:val="false"/>
          <w:color w:val="2C3E50"/>
          <w:sz w:val="22"/>
          <w:szCs w:val="22"/>
        </w:rPr>
        <w:t xml:space="preserve">On August 31, 2040, the rent calculation fundamentally changes from the current escalation schedule to a market-based formula: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New Annual Rent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9% of land fair market value</w:t>
            </w:r>
          </w:p>
        </w:tc>
      </w:tr>
      <w:tr>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Appraisal Process</w:t>
            </w:r>
          </w:p>
        </w:tc>
        <w:tc>
          <w:tcPr>
            <w:tcW w:type="dxa" w:w="58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Each party selects appraiser; if &gt;10% variance, third appraiser decides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Cap on Increase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25% maximum increase from prior period rent</w:t>
            </w:r>
          </w:p>
        </w:tc>
      </w:tr>
      <w:tr>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Minimum Increase</w:t>
            </w:r>
          </w:p>
        </w:tc>
        <w:tc>
          <w:tcPr>
            <w:tcW w:type="dxa" w:w="58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None specified (rent could decrease if FMV warrants)</w:t>
            </w:r>
          </w:p>
        </w:tc>
      </w:tr>
    </w:tbl>
    <w:p>
      <w:pPr>
        <w:spacing w:after="200"/>
      </w:pPr>
    </w:p>
    <w:p>
      <w:pPr>
        <w:pStyle w:val="Heading3"/>
        <w:spacing w:before="240" w:after="120"/>
      </w:pPr>
      <w:r>
        <w:rPr>
          <w:rFonts w:ascii="Arial" w:cs="Arial" w:eastAsia="Arial" w:hAnsi="Arial"/>
          <w:b/>
          <w:bCs/>
          <w:color w:val="2C3E50"/>
          <w:sz w:val="22"/>
          <w:szCs w:val="22"/>
        </w:rPr>
        <w:t xml:space="preserve">Building Reversion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24"/>
              <w:bottom w:val="single" w:color="E74C3C" w:sz="1"/>
              <w:right w:val="single" w:color="E74C3C" w:sz="1"/>
            </w:tcBorders>
            <w:shd w:fill="FADBD8" w:val="clear"/>
            <w:tcMar>
              <w:top w:type="dxa" w:w="120"/>
              <w:left w:type="dxa" w:w="200"/>
              <w:bottom w:type="dxa" w:w="120"/>
              <w:right w:type="dxa" w:w="200"/>
            </w:tcMar>
          </w:tcPr>
          <w:p>
            <w:pPr>
              <w:spacing w:after="80"/>
            </w:pPr>
            <w:r>
              <w:rPr>
                <w:rFonts w:ascii="Arial" w:cs="Arial" w:eastAsia="Arial" w:hAnsi="Arial"/>
                <w:b/>
                <w:bCs/>
                <w:color w:val="E74C3C"/>
                <w:sz w:val="22"/>
                <w:szCs w:val="22"/>
              </w:rPr>
              <w:t xml:space="preserve">HIGHEST PRIORITY RISK</w:t>
            </w:r>
          </w:p>
          <w:p>
            <w:r>
              <w:rPr>
                <w:rFonts w:ascii="Arial" w:cs="Arial" w:eastAsia="Arial" w:hAnsi="Arial"/>
                <w:color w:val="2C3E50"/>
                <w:sz w:val="20"/>
                <w:szCs w:val="20"/>
              </w:rPr>
              <w:t xml:space="preserve">Article 12 states that upon lease termination, 'all Improvements shall become the property of Lessor without cost.' This includes the building, equipment, and all tenant improvements. NSIA receives no compensation regardless of the building's value at that time. Conservative estimate of economic loss: $20-28 million in current dollars.</w:t>
            </w:r>
          </w:p>
        </w:tc>
      </w:tr>
    </w:tbl>
    <w:p>
      <w:pPr>
        <w:spacing w:after="200"/>
      </w:pPr>
    </w:p>
    <w:p>
      <w:pPr>
        <w:pStyle w:val="Heading3"/>
        <w:spacing w:before="240" w:after="120"/>
      </w:pPr>
      <w:r>
        <w:rPr>
          <w:rFonts w:ascii="Arial" w:cs="Arial" w:eastAsia="Arial" w:hAnsi="Arial"/>
          <w:b/>
          <w:bCs/>
          <w:color w:val="2C3E50"/>
          <w:sz w:val="22"/>
          <w:szCs w:val="22"/>
        </w:rPr>
        <w:t xml:space="preserve">Early Termination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Scenario</w:t>
            </w:r>
          </w:p>
        </w:tc>
        <w:tc>
          <w:tcPr>
            <w:tcW w:type="dxa" w:w="35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Trigger</w:t>
            </w:r>
          </w:p>
        </w:tc>
        <w:tc>
          <w:tcPr>
            <w:tcW w:type="dxa" w:w="33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Building Disposition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Bond default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Failure to pay debt service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Reverts to Lessor</w:t>
            </w:r>
          </w:p>
        </w:tc>
      </w:tr>
      <w:tr>
        <w:tc>
          <w:tcPr>
            <w:tcW w:type="dxa" w:w="2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Lease default</w:t>
            </w:r>
          </w:p>
        </w:tc>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Uncured breach of lease terms</w:t>
            </w:r>
          </w:p>
        </w:tc>
        <w:tc>
          <w:tcPr>
            <w:tcW w:type="dxa" w:w="3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Reverts to Lessor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Condemnation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Government taking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Award split per Article 17</w:t>
            </w:r>
          </w:p>
        </w:tc>
      </w:tr>
      <w:tr>
        <w:tc>
          <w:tcPr>
            <w:tcW w:type="dxa" w:w="2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Expiration</w:t>
            </w:r>
          </w:p>
        </w:tc>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End of term (2068+)</w:t>
            </w:r>
          </w:p>
        </w:tc>
        <w:tc>
          <w:tcPr>
            <w:tcW w:type="dxa" w:w="3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Reverts to Lessor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Non-renewal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Failure to exercise options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Reverts to Lessor</w:t>
            </w:r>
          </w:p>
        </w:tc>
      </w:tr>
    </w:tbl>
    <w:p>
      <w:r>
        <w:br w:type="page"/>
      </w:r>
    </w:p>
    <w:p>
      <w:pPr>
        <w:pStyle w:val="Heading2"/>
        <w:spacing w:before="300" w:after="160"/>
      </w:pPr>
      <w:r>
        <w:rPr>
          <w:rFonts w:ascii="Arial" w:cs="Arial" w:eastAsia="Arial" w:hAnsi="Arial"/>
          <w:b/>
          <w:bCs/>
          <w:color w:val="2874A6"/>
          <w:sz w:val="26"/>
          <w:szCs w:val="26"/>
        </w:rPr>
        <w:t xml:space="preserve">4.3 Rent Projection Scenarios</w:t>
      </w:r>
    </w:p>
    <w:p>
      <w:pPr>
        <w:spacing w:after="160" w:line="276"/>
        <w:jc w:val="left"/>
      </w:pPr>
      <w:r>
        <w:rPr>
          <w:rFonts w:ascii="Arial" w:cs="Arial" w:eastAsia="Arial" w:hAnsi="Arial"/>
          <w:b w:val="false"/>
          <w:bCs w:val="false"/>
          <w:i w:val="false"/>
          <w:iCs w:val="false"/>
          <w:color w:val="2C3E50"/>
          <w:sz w:val="22"/>
          <w:szCs w:val="22"/>
        </w:rPr>
        <w:t xml:space="preserve">The 2040 rent reset creates significant uncertainty. Below are projections based on different land value assumptions: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Land FMV (2040)</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New Annual Rent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Change from Current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Conservative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$6,000,000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$540,000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+42%</w:t>
            </w:r>
          </w:p>
        </w:tc>
      </w:tr>
      <w:tr>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Moderate</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$8,000,000</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$720,000</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+89%</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Aggressive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$10,000,000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$900,000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+137%</w:t>
            </w:r>
          </w:p>
        </w:tc>
      </w:tr>
      <w:tr>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Current rent (comparison)</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N/A</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$380,000</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Baseline</w:t>
            </w:r>
          </w:p>
        </w:tc>
      </w:tr>
    </w:tbl>
    <w:p>
      <w:pPr>
        <w:spacing w:after="100"/>
      </w:pPr>
    </w:p>
    <w:p>
      <w:pPr>
        <w:spacing w:after="160" w:line="276"/>
        <w:jc w:val="left"/>
      </w:pPr>
      <w:r>
        <w:rPr>
          <w:rFonts w:ascii="Arial" w:cs="Arial" w:eastAsia="Arial" w:hAnsi="Arial"/>
          <w:b w:val="false"/>
          <w:bCs w:val="false"/>
          <w:i w:val="false"/>
          <w:iCs w:val="false"/>
          <w:color w:val="2C3E50"/>
          <w:sz w:val="22"/>
          <w:szCs w:val="22"/>
        </w:rPr>
        <w:t xml:space="preserve">Note: The 25% cap on increases would limit the first reset period to approximately $475,000 regardless of land FMV, but subsequent periods have no cap on the dollar increase (only on percentage).</w:t>
      </w:r>
    </w:p>
    <w:p>
      <w:pPr>
        <w:spacing w:after="200"/>
      </w:pPr>
    </w:p>
    <w:p>
      <w:pPr>
        <w:pStyle w:val="Heading2"/>
        <w:spacing w:before="300" w:after="160"/>
      </w:pPr>
      <w:r>
        <w:rPr>
          <w:rFonts w:ascii="Arial" w:cs="Arial" w:eastAsia="Arial" w:hAnsi="Arial"/>
          <w:b/>
          <w:bCs/>
          <w:color w:val="2874A6"/>
          <w:sz w:val="26"/>
          <w:szCs w:val="26"/>
        </w:rPr>
        <w:t xml:space="preserve">4.4 Comparison to Market</w:t>
      </w:r>
    </w:p>
    <w:p>
      <w:pPr>
        <w:spacing w:after="160" w:line="276"/>
        <w:jc w:val="left"/>
      </w:pPr>
      <w:r>
        <w:rPr>
          <w:rFonts w:ascii="Arial" w:cs="Arial" w:eastAsia="Arial" w:hAnsi="Arial"/>
          <w:b w:val="false"/>
          <w:bCs w:val="false"/>
          <w:i w:val="false"/>
          <w:iCs w:val="false"/>
          <w:color w:val="2C3E50"/>
          <w:sz w:val="22"/>
          <w:szCs w:val="22"/>
        </w:rPr>
        <w:t xml:space="preserve">NSIA's current rent escalation terms are somewhat unfavorable compared to market norms for long-term ground leases: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Term</w:t>
            </w:r>
          </w:p>
        </w:tc>
        <w:tc>
          <w:tcPr>
            <w:tcW w:type="dxa" w:w="293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NSIA Lease</w:t>
            </w:r>
          </w:p>
        </w:tc>
        <w:tc>
          <w:tcPr>
            <w:tcW w:type="dxa" w:w="293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Typical Market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Periodic rent increase</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15% every 10 years</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10-12% every 5-10 years</w:t>
            </w:r>
          </w:p>
        </w:tc>
      </w:tr>
      <w:tr>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CPI adjustment</w:t>
            </w:r>
          </w:p>
        </w:tc>
        <w:tc>
          <w:tcPr>
            <w:tcW w:type="dxa" w:w="293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None</w:t>
            </w:r>
          </w:p>
        </w:tc>
        <w:tc>
          <w:tcPr>
            <w:tcW w:type="dxa" w:w="293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Common as alternative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Building ownership at term</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Reverts to landlord</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Often negotiable</w:t>
            </w:r>
          </w:p>
        </w:tc>
      </w:tr>
      <w:tr>
        <w:tc>
          <w:tcPr>
            <w:tcW w:type="dxa" w:w="3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Reset mechanism</w:t>
            </w:r>
          </w:p>
        </w:tc>
        <w:tc>
          <w:tcPr>
            <w:tcW w:type="dxa" w:w="293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9% of FMV</w:t>
            </w:r>
          </w:p>
        </w:tc>
        <w:tc>
          <w:tcPr>
            <w:tcW w:type="dxa" w:w="293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Varies (5-8% typical)</w:t>
            </w:r>
          </w:p>
        </w:tc>
      </w:tr>
    </w:tbl>
    <w:p>
      <w:r>
        <w:br w:type="page"/>
      </w:r>
    </w:p>
    <w:p>
      <w:pPr>
        <w:pStyle w:val="Heading1"/>
        <w:spacing w:before="360" w:after="200"/>
      </w:pPr>
      <w:r>
        <w:rPr>
          <w:rFonts w:ascii="Arial" w:cs="Arial" w:eastAsia="Arial" w:hAnsi="Arial"/>
          <w:b/>
          <w:bCs/>
          <w:color w:val="1B4F72"/>
          <w:sz w:val="32"/>
          <w:szCs w:val="32"/>
        </w:rPr>
        <w:t xml:space="preserve">5. Insurance Coverage</w:t>
      </w:r>
    </w:p>
    <w:p>
      <w:pPr>
        <w:pStyle w:val="Heading2"/>
        <w:spacing w:before="300" w:after="160"/>
      </w:pPr>
      <w:r>
        <w:rPr>
          <w:rFonts w:ascii="Arial" w:cs="Arial" w:eastAsia="Arial" w:hAnsi="Arial"/>
          <w:b/>
          <w:bCs/>
          <w:color w:val="2874A6"/>
          <w:sz w:val="26"/>
          <w:szCs w:val="26"/>
        </w:rPr>
        <w:t xml:space="preserve">5.1 Current Policy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Carrier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West Bend Mutual Insurance Company</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Policy Number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A920490 03</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Policy Period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May 28, 2024 - May 28, 2025</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Total Annual Premium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$38,204</w:t>
            </w:r>
          </w:p>
        </w:tc>
      </w:tr>
      <w:tr>
        <w:tc>
          <w:tcPr>
            <w:tcW w:type="dxa" w:w="4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2C3E50"/>
                <w:sz w:val="20"/>
                <w:szCs w:val="20"/>
              </w:rPr>
              <w:t xml:space="preserve">Agent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Connor &amp; Gallagher Insurance Services</w:t>
            </w:r>
          </w:p>
        </w:tc>
      </w:tr>
    </w:tbl>
    <w:p>
      <w:pPr>
        <w:spacing w:after="200"/>
      </w:pPr>
    </w:p>
    <w:p>
      <w:pPr>
        <w:pStyle w:val="Heading3"/>
        <w:spacing w:before="240" w:after="120"/>
      </w:pPr>
      <w:r>
        <w:rPr>
          <w:rFonts w:ascii="Arial" w:cs="Arial" w:eastAsia="Arial" w:hAnsi="Arial"/>
          <w:b/>
          <w:bCs/>
          <w:color w:val="2C3E50"/>
          <w:sz w:val="22"/>
          <w:szCs w:val="22"/>
        </w:rPr>
        <w:t xml:space="preserve">Named Insureds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Entity</w:t>
            </w:r>
          </w:p>
        </w:tc>
        <w:tc>
          <w:tcPr>
            <w:tcW w:type="dxa" w:w="39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Role</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North Shore Ice Arena, LLC</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Primary Named Insured</w:t>
            </w:r>
          </w:p>
        </w:tc>
      </w:tr>
      <w:tr>
        <w:tc>
          <w:tcPr>
            <w:tcW w:type="dxa" w:w="5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Techny Land Corporations</w:t>
            </w:r>
          </w:p>
        </w:tc>
        <w:tc>
          <w:tcPr>
            <w:tcW w:type="dxa" w:w="3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Additional Named Insured (Lessor)</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NSFP Club Sports Consulting Group (Note: Club Sports Management Group dissolved 12/9/2022)</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Additional Named Insured (Operator)</w:t>
            </w:r>
          </w:p>
        </w:tc>
      </w:tr>
    </w:tbl>
    <w:p>
      <w:pPr>
        <w:spacing w:after="200"/>
      </w:pPr>
    </w:p>
    <w:p>
      <w:pPr>
        <w:pStyle w:val="Heading2"/>
        <w:spacing w:before="300" w:after="160"/>
      </w:pPr>
      <w:r>
        <w:rPr>
          <w:rFonts w:ascii="Arial" w:cs="Arial" w:eastAsia="Arial" w:hAnsi="Arial"/>
          <w:b/>
          <w:bCs/>
          <w:color w:val="2874A6"/>
          <w:sz w:val="26"/>
          <w:szCs w:val="26"/>
        </w:rPr>
        <w:t xml:space="preserve">5.2 Coverage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Coverage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Limit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Premium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Property Coverage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$17,546</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  Building</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$11,150,400</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  Business Personal Property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$1,500,000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  Business Income &amp; Extra Expense</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$1,100,000</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C3E50"/>
                <w:sz w:val="20"/>
                <w:szCs w:val="20"/>
              </w:rPr>
              <w:t xml:space="preserve">General Liability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$15,303</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  Each Occurrence</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$1,000,000</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  General Aggregate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$2,000,000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  Products/Completed Operations</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$2,000,000</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  Personal &amp; Advertising Injury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$1,000,000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  Damage to Rented Premises</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$300,000</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C3E50"/>
                <w:sz w:val="20"/>
                <w:szCs w:val="20"/>
              </w:rPr>
              <w:t xml:space="preserve">Commercial Auto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Various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$249</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bCs/>
                <w:color w:val="2C3E50"/>
                <w:sz w:val="20"/>
                <w:szCs w:val="20"/>
              </w:rPr>
              <w:t xml:space="preserve">Umbrella Liability</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$5,106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  Each Occurrence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$5,000,000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  Aggregate</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$5,000,000</w:t>
            </w:r>
          </w:p>
        </w:tc>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Total Premium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$38,204</w:t>
            </w:r>
          </w:p>
        </w:tc>
      </w:tr>
    </w:tbl>
    <w:p>
      <w:pPr>
        <w:spacing w:after="200"/>
      </w:pPr>
    </w:p>
    <w:p>
      <w:pPr>
        <w:pStyle w:val="Heading3"/>
        <w:spacing w:before="240" w:after="120"/>
      </w:pPr>
      <w:r>
        <w:rPr>
          <w:rFonts w:ascii="Arial" w:cs="Arial" w:eastAsia="Arial" w:hAnsi="Arial"/>
          <w:b/>
          <w:bCs/>
          <w:color w:val="2C3E50"/>
          <w:sz w:val="22"/>
          <w:szCs w:val="22"/>
        </w:rPr>
        <w:t xml:space="preserve">Property Coverage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Specification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Valuation Basis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Replacement Cost</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Coinsurance</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90%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Cause of Loss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Special Form (all-risk)</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Deductible</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$10,000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Wind/Hail Deductible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$50,000</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Inflation Guard</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4% annually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24"/>
              <w:bottom w:val="single" w:color="E67E22" w:sz="1"/>
              <w:right w:val="single" w:color="E67E22" w:sz="1"/>
            </w:tcBorders>
            <w:shd w:fill="FDEBD0" w:val="clear"/>
            <w:tcMar>
              <w:top w:type="dxa" w:w="120"/>
              <w:left w:type="dxa" w:w="200"/>
              <w:bottom w:type="dxa" w:w="120"/>
              <w:right w:type="dxa" w:w="200"/>
            </w:tcMar>
          </w:tcPr>
          <w:p>
            <w:pPr>
              <w:spacing w:after="80"/>
            </w:pPr>
            <w:r>
              <w:rPr>
                <w:rFonts w:ascii="Arial" w:cs="Arial" w:eastAsia="Arial" w:hAnsi="Arial"/>
                <w:b/>
                <w:bCs/>
                <w:color w:val="E67E22"/>
                <w:sz w:val="22"/>
                <w:szCs w:val="22"/>
              </w:rPr>
              <w:t xml:space="preserve">Insurance vs. Book Value Gap</w:t>
            </w:r>
          </w:p>
          <w:p>
            <w:r>
              <w:rPr>
                <w:rFonts w:ascii="Arial" w:cs="Arial" w:eastAsia="Arial" w:hAnsi="Arial"/>
                <w:color w:val="2C3E50"/>
                <w:sz w:val="20"/>
                <w:szCs w:val="20"/>
              </w:rPr>
              <w:t xml:space="preserve">Insurance replacement cost ($11.15M) is more than double the book value ($5.3M), reflecting both depreciation accounting and construction cost inflation. This valuation supports the $20-28M market value estimate used in lease negotiations analysis.</w:t>
            </w:r>
          </w:p>
        </w:tc>
      </w:tr>
    </w:tbl>
    <w:p>
      <w:r>
        <w:br w:type="page"/>
      </w:r>
    </w:p>
    <w:p>
      <w:pPr>
        <w:pStyle w:val="Heading1"/>
        <w:spacing w:before="360" w:after="200"/>
      </w:pPr>
      <w:r>
        <w:rPr>
          <w:rFonts w:ascii="Arial" w:cs="Arial" w:eastAsia="Arial" w:hAnsi="Arial"/>
          <w:b/>
          <w:bCs/>
          <w:color w:val="1B4F72"/>
          <w:sz w:val="32"/>
          <w:szCs w:val="32"/>
        </w:rPr>
        <w:t xml:space="preserve">6. Governance &amp; Stakeholder Analysis</w:t>
      </w:r>
    </w:p>
    <w:p>
      <w:pPr>
        <w:pStyle w:val="Heading2"/>
        <w:spacing w:before="300" w:after="160"/>
      </w:pPr>
      <w:r>
        <w:rPr>
          <w:rFonts w:ascii="Arial" w:cs="Arial" w:eastAsia="Arial" w:hAnsi="Arial"/>
          <w:b/>
          <w:bCs/>
          <w:color w:val="2874A6"/>
          <w:sz w:val="26"/>
          <w:szCs w:val="26"/>
        </w:rPr>
        <w:t xml:space="preserve">6.1 Entity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500"/>
        <w:gridCol w:w="374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Entity</w:t>
            </w:r>
          </w:p>
        </w:tc>
        <w:tc>
          <w:tcPr>
            <w:tcW w:type="dxa" w:w="25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Role</w:t>
            </w:r>
          </w:p>
        </w:tc>
        <w:tc>
          <w:tcPr>
            <w:tcW w:type="dxa" w:w="37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Obligations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North Shore Ice Arena, LLC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Operating entity</w:t>
            </w:r>
          </w:p>
        </w:tc>
        <w:tc>
          <w:tcPr>
            <w:tcW w:type="dxa" w:w="3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Lessee, bond issuer, facility operator</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Wilmette Hockey Association</w:t>
            </w:r>
          </w:p>
        </w:tc>
        <w:tc>
          <w:tcPr>
            <w:tcW w:type="dxa" w:w="2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50% Member</w:t>
            </w:r>
          </w:p>
        </w:tc>
        <w:tc>
          <w:tcPr>
            <w:tcW w:type="dxa" w:w="37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Bond guarantor, lease guarantor, Board appointees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Winnetka Hockey Club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50% Member</w:t>
            </w:r>
          </w:p>
        </w:tc>
        <w:tc>
          <w:tcPr>
            <w:tcW w:type="dxa" w:w="3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Bond guarantor, lease guarantor, Board appointees</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Techny Land Corporation</w:t>
            </w:r>
          </w:p>
        </w:tc>
        <w:tc>
          <w:tcPr>
            <w:tcW w:type="dxa" w:w="2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Lessor</w:t>
            </w:r>
          </w:p>
        </w:tc>
        <w:tc>
          <w:tcPr>
            <w:tcW w:type="dxa" w:w="37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Ground lease landlord, building beneficiary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Club Sports Consulting Group</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Operator</w:t>
            </w:r>
          </w:p>
        </w:tc>
        <w:tc>
          <w:tcPr>
            <w:tcW w:type="dxa" w:w="3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Day-to-day management per contract</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Amalgamated Bank of Chicago</w:t>
            </w:r>
          </w:p>
        </w:tc>
        <w:tc>
          <w:tcPr>
            <w:tcW w:type="dxa" w:w="2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Bond Trustee</w:t>
            </w:r>
          </w:p>
        </w:tc>
        <w:tc>
          <w:tcPr>
            <w:tcW w:type="dxa" w:w="37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Bondholders' representative</w:t>
            </w:r>
          </w:p>
        </w:tc>
      </w:tr>
    </w:tbl>
    <w:p>
      <w:pPr>
        <w:spacing w:after="200"/>
      </w:pPr>
    </w:p>
    <w:p>
      <w:pPr>
        <w:pStyle w:val="Heading2"/>
        <w:spacing w:before="300" w:after="160"/>
      </w:pPr>
      <w:r>
        <w:rPr>
          <w:rFonts w:ascii="Arial" w:cs="Arial" w:eastAsia="Arial" w:hAnsi="Arial"/>
          <w:b/>
          <w:bCs/>
          <w:color w:val="2874A6"/>
          <w:sz w:val="26"/>
          <w:szCs w:val="26"/>
        </w:rPr>
        <w:t xml:space="preserve">6.2 Decision-Making Authority</w:t>
      </w:r>
    </w:p>
    <w:p>
      <w:pPr>
        <w:spacing w:after="160" w:line="276"/>
        <w:jc w:val="left"/>
      </w:pPr>
      <w:r>
        <w:rPr>
          <w:rFonts w:ascii="Arial" w:cs="Arial" w:eastAsia="Arial" w:hAnsi="Arial"/>
          <w:b w:val="false"/>
          <w:bCs w:val="false"/>
          <w:i w:val="false"/>
          <w:iCs w:val="false"/>
          <w:color w:val="2C3E50"/>
          <w:sz w:val="22"/>
          <w:szCs w:val="22"/>
        </w:rPr>
        <w:t xml:space="preserve">Under the Operating Agreement, most Board decisions require majority approval from BOTH Member clubs (effectively 2 of 3 Managers from each club). However, certain strategic matters require unanimous approval of all 6 Managers: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Unanimous Vote Required</w:t>
            </w:r>
          </w:p>
        </w:tc>
        <w:tc>
          <w:tcPr>
            <w:tcW w:type="dxa" w:w="46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Rationale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Ground Lease amendments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Affects building reversion, rent terms</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Capital expenditures over $5,000</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Protects both clubs' capital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Non-operational debt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Expands guarantor exposure</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Ice arena capital over $7,500</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Facility-specific threshold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Dissolution or sale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Fundamental change</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Bond document amendments</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Affects guarantor obligations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24"/>
              <w:bottom w:val="single" w:color="E67E22" w:sz="1"/>
              <w:right w:val="single" w:color="E67E22" w:sz="1"/>
            </w:tcBorders>
            <w:shd w:fill="FDEBD0" w:val="clear"/>
            <w:tcMar>
              <w:top w:type="dxa" w:w="120"/>
              <w:left w:type="dxa" w:w="200"/>
              <w:bottom w:type="dxa" w:w="120"/>
              <w:right w:type="dxa" w:w="200"/>
            </w:tcMar>
          </w:tcPr>
          <w:p>
            <w:pPr>
              <w:spacing w:after="80"/>
            </w:pPr>
            <w:r>
              <w:rPr>
                <w:rFonts w:ascii="Arial" w:cs="Arial" w:eastAsia="Arial" w:hAnsi="Arial"/>
                <w:b/>
                <w:bCs/>
                <w:color w:val="E67E22"/>
                <w:sz w:val="22"/>
                <w:szCs w:val="22"/>
              </w:rPr>
              <w:t xml:space="preserve">Governance Implication</w:t>
            </w:r>
          </w:p>
          <w:p>
            <w:r>
              <w:rPr>
                <w:rFonts w:ascii="Arial" w:cs="Arial" w:eastAsia="Arial" w:hAnsi="Arial"/>
                <w:color w:val="2C3E50"/>
                <w:sz w:val="20"/>
                <w:szCs w:val="20"/>
              </w:rPr>
              <w:t xml:space="preserve">Any negotiated Ground Lease amendment requires unanimous Board approval. This means all 6 Managers—3 from each club—must agree to terms before they can be executed. The Board President should build consensus before formal negotiations with Techny Land.</w:t>
            </w:r>
          </w:p>
        </w:tc>
      </w:tr>
    </w:tbl>
    <w:p>
      <w:r>
        <w:br w:type="page"/>
      </w:r>
    </w:p>
    <w:p>
      <w:pPr>
        <w:pStyle w:val="Heading2"/>
        <w:spacing w:before="300" w:after="160"/>
      </w:pPr>
      <w:r>
        <w:rPr>
          <w:rFonts w:ascii="Arial" w:cs="Arial" w:eastAsia="Arial" w:hAnsi="Arial"/>
          <w:b/>
          <w:bCs/>
          <w:color w:val="2874A6"/>
          <w:sz w:val="26"/>
          <w:szCs w:val="26"/>
        </w:rPr>
        <w:t xml:space="preserve">6.3 Stakeholder Interests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Stakeholder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Primary Interest</w:t>
            </w:r>
          </w:p>
        </w:tc>
        <w:tc>
          <w:tcPr>
            <w:tcW w:type="dxa" w:w="40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Leverage/Constraint</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NSIA Board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Facility viability, mission continuity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Operating control, information access</w:t>
            </w:r>
          </w:p>
        </w:tc>
      </w:tr>
      <w:tr>
        <w:tc>
          <w:tcPr>
            <w:tcW w:type="dxa" w:w="21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WHA/WHC Members</w:t>
            </w:r>
          </w:p>
        </w:tc>
        <w:tc>
          <w:tcPr>
            <w:tcW w:type="dxa" w:w="3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Affordable ice time, guaranteed access</w:t>
            </w:r>
          </w:p>
        </w:tc>
        <w:tc>
          <w:tcPr>
            <w:tcW w:type="dxa" w:w="40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Guarantor obligations, capital calls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Techny Land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Rent income, building reversion value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Cannot terminate performing lease</w:t>
            </w:r>
          </w:p>
        </w:tc>
      </w:tr>
      <w:tr>
        <w:tc>
          <w:tcPr>
            <w:tcW w:type="dxa" w:w="21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Club Sports</w:t>
            </w:r>
          </w:p>
        </w:tc>
        <w:tc>
          <w:tcPr>
            <w:tcW w:type="dxa" w:w="3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Management fee, operational control</w:t>
            </w:r>
          </w:p>
        </w:tc>
        <w:tc>
          <w:tcPr>
            <w:tcW w:type="dxa" w:w="40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Contract terms, Board oversight</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Bond Trustee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Debt service, covenant compliance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Consent rights on major actions</w:t>
            </w:r>
          </w:p>
        </w:tc>
      </w:tr>
    </w:tbl>
    <w:p>
      <w:pPr>
        <w:spacing w:after="200"/>
      </w:pPr>
    </w:p>
    <w:p>
      <w:pPr>
        <w:pStyle w:val="Heading2"/>
        <w:spacing w:before="300" w:after="160"/>
      </w:pPr>
      <w:r>
        <w:rPr>
          <w:rFonts w:ascii="Arial" w:cs="Arial" w:eastAsia="Arial" w:hAnsi="Arial"/>
          <w:b/>
          <w:bCs/>
          <w:color w:val="2874A6"/>
          <w:sz w:val="26"/>
          <w:szCs w:val="26"/>
        </w:rPr>
        <w:t xml:space="preserve">6.4 Information Asymmetry</w:t>
      </w:r>
    </w:p>
    <w:p>
      <w:pPr>
        <w:spacing w:after="160" w:line="276"/>
        <w:jc w:val="left"/>
      </w:pPr>
      <w:r>
        <w:rPr>
          <w:rFonts w:ascii="Arial" w:cs="Arial" w:eastAsia="Arial" w:hAnsi="Arial"/>
          <w:b w:val="false"/>
          <w:bCs w:val="false"/>
          <w:i w:val="false"/>
          <w:iCs w:val="false"/>
          <w:color w:val="2C3E50"/>
          <w:sz w:val="22"/>
          <w:szCs w:val="22"/>
        </w:rPr>
        <w:t xml:space="preserve">The current operational structure creates significant information asymmetry between the Board and the operator: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Information Type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Board Access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Operator Access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Daily operations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Limited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Complete</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Financial details</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Quarterly summaries</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Real-time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Lessor communications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Minimal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Primary contact</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Vendor relationships</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Contract review only</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Complete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Historical records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Incomplete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20+ year continuity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24"/>
              <w:bottom w:val="single" w:color="27AE60" w:sz="1"/>
              <w:right w:val="single" w:color="27AE60" w:sz="1"/>
            </w:tcBorders>
            <w:shd w:fill="D5F5E3"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Recommended Action</w:t>
            </w:r>
          </w:p>
          <w:p>
            <w:r>
              <w:rPr>
                <w:rFonts w:ascii="Arial" w:cs="Arial" w:eastAsia="Arial" w:hAnsi="Arial"/>
                <w:color w:val="2C3E50"/>
                <w:sz w:val="20"/>
                <w:szCs w:val="20"/>
              </w:rPr>
              <w:t xml:space="preserve">The Board should formalize direct communication channels with Techny Land Corporation per Article 24 notice provisions in the Ground Lease. This establishes the Board's independent standing for strategic discussions without displacing the operator's role in day-to-day matters.</w:t>
            </w:r>
          </w:p>
        </w:tc>
      </w:tr>
    </w:tbl>
    <w:p>
      <w:r>
        <w:br w:type="page"/>
      </w:r>
    </w:p>
    <w:p>
      <w:pPr>
        <w:pStyle w:val="Heading1"/>
        <w:spacing w:before="360" w:after="200"/>
      </w:pPr>
      <w:r>
        <w:rPr>
          <w:rFonts w:ascii="Arial" w:cs="Arial" w:eastAsia="Arial" w:hAnsi="Arial"/>
          <w:b/>
          <w:bCs/>
          <w:color w:val="1B4F72"/>
          <w:sz w:val="32"/>
          <w:szCs w:val="32"/>
        </w:rPr>
        <w:t xml:space="preserve">7. Strategic Recommendations</w:t>
      </w:r>
    </w:p>
    <w:p>
      <w:pPr>
        <w:pStyle w:val="Heading2"/>
        <w:spacing w:before="300" w:after="160"/>
      </w:pPr>
      <w:r>
        <w:rPr>
          <w:rFonts w:ascii="Arial" w:cs="Arial" w:eastAsia="Arial" w:hAnsi="Arial"/>
          <w:b/>
          <w:bCs/>
          <w:color w:val="2874A6"/>
          <w:sz w:val="26"/>
          <w:szCs w:val="26"/>
        </w:rPr>
        <w:t xml:space="preserve">7.1 Immediate Actions (0-6 Months)</w:t>
      </w:r>
    </w:p>
    <w:p>
      <w:pPr>
        <w:pStyle w:val="ListParagraph"/>
        <w:numPr>
          <w:ilvl w:val="0"/>
          <w:numId w:val="2"/>
        </w:numPr>
        <w:spacing w:after="120"/>
      </w:pPr>
      <w:r>
        <w:rPr>
          <w:rFonts w:ascii="Arial" w:cs="Arial" w:eastAsia="Arial" w:hAnsi="Arial"/>
          <w:sz w:val="22"/>
          <w:szCs w:val="22"/>
        </w:rPr>
        <w:t xml:space="preserve">Establish direct Board-to-Lessor communication protocol via formal resolution</w:t>
      </w:r>
    </w:p>
    <w:p>
      <w:pPr>
        <w:pStyle w:val="ListParagraph"/>
        <w:numPr>
          <w:ilvl w:val="0"/>
          <w:numId w:val="2"/>
        </w:numPr>
        <w:spacing w:after="120"/>
      </w:pPr>
      <w:r>
        <w:rPr>
          <w:rFonts w:ascii="Arial" w:cs="Arial" w:eastAsia="Arial" w:hAnsi="Arial"/>
          <w:sz w:val="22"/>
          <w:szCs w:val="22"/>
        </w:rPr>
        <w:t xml:space="preserve">Request comprehensive information package from operator (contracts, correspondence, historical records)</w:t>
      </w:r>
    </w:p>
    <w:p>
      <w:pPr>
        <w:pStyle w:val="ListParagraph"/>
        <w:numPr>
          <w:ilvl w:val="0"/>
          <w:numId w:val="2"/>
        </w:numPr>
        <w:spacing w:after="120"/>
      </w:pPr>
      <w:r>
        <w:rPr>
          <w:rFonts w:ascii="Arial" w:cs="Arial" w:eastAsia="Arial" w:hAnsi="Arial"/>
          <w:sz w:val="22"/>
          <w:szCs w:val="22"/>
        </w:rPr>
        <w:t xml:space="preserve">Obtain current bond payoff statement from Amalgamated Bank</w:t>
      </w:r>
    </w:p>
    <w:p>
      <w:pPr>
        <w:pStyle w:val="ListParagraph"/>
        <w:numPr>
          <w:ilvl w:val="0"/>
          <w:numId w:val="2"/>
        </w:numPr>
        <w:spacing w:after="120"/>
      </w:pPr>
      <w:r>
        <w:rPr>
          <w:rFonts w:ascii="Arial" w:cs="Arial" w:eastAsia="Arial" w:hAnsi="Arial"/>
          <w:sz w:val="22"/>
          <w:szCs w:val="22"/>
        </w:rPr>
        <w:t xml:space="preserve">Commission independent land appraisal for 2040 planning purposes</w:t>
      </w:r>
    </w:p>
    <w:p>
      <w:pPr>
        <w:pStyle w:val="ListParagraph"/>
        <w:numPr>
          <w:ilvl w:val="0"/>
          <w:numId w:val="2"/>
        </w:numPr>
        <w:spacing w:after="200"/>
      </w:pPr>
      <w:r>
        <w:rPr>
          <w:rFonts w:ascii="Arial" w:cs="Arial" w:eastAsia="Arial" w:hAnsi="Arial"/>
          <w:sz w:val="22"/>
          <w:szCs w:val="22"/>
        </w:rPr>
        <w:t xml:space="preserve">Brief Member club boards on strategic situation and timeline</w:t>
      </w:r>
    </w:p>
    <w:p>
      <w:pPr>
        <w:pStyle w:val="Heading2"/>
        <w:spacing w:before="300" w:after="160"/>
      </w:pPr>
      <w:r>
        <w:rPr>
          <w:rFonts w:ascii="Arial" w:cs="Arial" w:eastAsia="Arial" w:hAnsi="Arial"/>
          <w:b/>
          <w:bCs/>
          <w:color w:val="2874A6"/>
          <w:sz w:val="26"/>
          <w:szCs w:val="26"/>
        </w:rPr>
        <w:t xml:space="preserve">7.2 Medium-Term Priorities (6-24 Months)</w:t>
      </w:r>
    </w:p>
    <w:p>
      <w:pPr>
        <w:pStyle w:val="ListParagraph"/>
        <w:numPr>
          <w:ilvl w:val="0"/>
          <w:numId w:val="2"/>
        </w:numPr>
        <w:spacing w:after="120"/>
      </w:pPr>
      <w:r>
        <w:rPr>
          <w:rFonts w:ascii="Arial" w:cs="Arial" w:eastAsia="Arial" w:hAnsi="Arial"/>
          <w:sz w:val="22"/>
          <w:szCs w:val="22"/>
        </w:rPr>
        <w:t xml:space="preserve">Engage real estate counsel with ground lease expertise for building reversion analysis</w:t>
      </w:r>
    </w:p>
    <w:p>
      <w:pPr>
        <w:pStyle w:val="ListParagraph"/>
        <w:numPr>
          <w:ilvl w:val="0"/>
          <w:numId w:val="2"/>
        </w:numPr>
        <w:spacing w:after="120"/>
      </w:pPr>
      <w:r>
        <w:rPr>
          <w:rFonts w:ascii="Arial" w:cs="Arial" w:eastAsia="Arial" w:hAnsi="Arial"/>
          <w:sz w:val="22"/>
          <w:szCs w:val="22"/>
        </w:rPr>
        <w:t xml:space="preserve">Develop financial model for early bond retirement scenarios</w:t>
      </w:r>
    </w:p>
    <w:p>
      <w:pPr>
        <w:pStyle w:val="ListParagraph"/>
        <w:numPr>
          <w:ilvl w:val="0"/>
          <w:numId w:val="2"/>
        </w:numPr>
        <w:spacing w:after="120"/>
      </w:pPr>
      <w:r>
        <w:rPr>
          <w:rFonts w:ascii="Arial" w:cs="Arial" w:eastAsia="Arial" w:hAnsi="Arial"/>
          <w:sz w:val="22"/>
          <w:szCs w:val="22"/>
        </w:rPr>
        <w:t xml:space="preserve">Initiate informal dialogue with Techny Land regarding long-term partnership options</w:t>
      </w:r>
    </w:p>
    <w:p>
      <w:pPr>
        <w:pStyle w:val="ListParagraph"/>
        <w:numPr>
          <w:ilvl w:val="0"/>
          <w:numId w:val="2"/>
        </w:numPr>
        <w:spacing w:after="120"/>
      </w:pPr>
      <w:r>
        <w:rPr>
          <w:rFonts w:ascii="Arial" w:cs="Arial" w:eastAsia="Arial" w:hAnsi="Arial"/>
          <w:sz w:val="22"/>
          <w:szCs w:val="22"/>
        </w:rPr>
        <w:t xml:space="preserve">Evaluate operator contract terms and market alternatives</w:t>
      </w:r>
    </w:p>
    <w:p>
      <w:pPr>
        <w:pStyle w:val="ListParagraph"/>
        <w:numPr>
          <w:ilvl w:val="0"/>
          <w:numId w:val="2"/>
        </w:numPr>
        <w:spacing w:after="200"/>
      </w:pPr>
      <w:r>
        <w:rPr>
          <w:rFonts w:ascii="Arial" w:cs="Arial" w:eastAsia="Arial" w:hAnsi="Arial"/>
          <w:sz w:val="22"/>
          <w:szCs w:val="22"/>
        </w:rPr>
        <w:t xml:space="preserve">Build reserve fund for strategic flexibility</w:t>
      </w:r>
    </w:p>
    <w:p>
      <w:pPr>
        <w:pStyle w:val="Heading2"/>
        <w:spacing w:before="300" w:after="160"/>
      </w:pPr>
      <w:r>
        <w:rPr>
          <w:rFonts w:ascii="Arial" w:cs="Arial" w:eastAsia="Arial" w:hAnsi="Arial"/>
          <w:b/>
          <w:bCs/>
          <w:color w:val="2874A6"/>
          <w:sz w:val="26"/>
          <w:szCs w:val="26"/>
        </w:rPr>
        <w:t xml:space="preserve">7.3 Long-Term Strategic Options (2-15 Years)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Option</w:t>
            </w:r>
          </w:p>
        </w:tc>
        <w:tc>
          <w:tcPr>
            <w:tcW w:type="dxa" w:w="351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Description</w:t>
            </w:r>
          </w:p>
        </w:tc>
        <w:tc>
          <w:tcPr>
            <w:tcW w:type="dxa" w:w="351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Key Considerations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Negotiate building buyout</w:t>
            </w:r>
          </w:p>
        </w:tc>
        <w:tc>
          <w:tcPr>
            <w:tcW w:type="dxa" w:w="35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Purchase building ownership rights from Lessor</w:t>
            </w:r>
          </w:p>
        </w:tc>
        <w:tc>
          <w:tcPr>
            <w:tcW w:type="dxa" w:w="35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Requires significant capital; removes reversion risk</w:t>
            </w:r>
          </w:p>
        </w:tc>
      </w:tr>
      <w:tr>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Extend lease with modifications</w:t>
            </w:r>
          </w:p>
        </w:tc>
        <w:tc>
          <w:tcPr>
            <w:tcW w:type="dxa" w:w="351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Seek longer term with improved reversion terms</w:t>
            </w:r>
          </w:p>
        </w:tc>
        <w:tc>
          <w:tcPr>
            <w:tcW w:type="dxa" w:w="351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Leverage relationship and facility investment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Early bond retirement</w:t>
            </w:r>
          </w:p>
        </w:tc>
        <w:tc>
          <w:tcPr>
            <w:tcW w:type="dxa" w:w="35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Pay off bonds before maturity</w:t>
            </w:r>
          </w:p>
        </w:tc>
        <w:tc>
          <w:tcPr>
            <w:tcW w:type="dxa" w:w="35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Eliminates interest expense; increases flexibility</w:t>
            </w:r>
          </w:p>
        </w:tc>
      </w:tr>
      <w:tr>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Land purchase</w:t>
            </w:r>
          </w:p>
        </w:tc>
        <w:tc>
          <w:tcPr>
            <w:tcW w:type="dxa" w:w="351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Acquire underlying land from Techny Land</w:t>
            </w:r>
          </w:p>
        </w:tc>
        <w:tc>
          <w:tcPr>
            <w:tcW w:type="dxa" w:w="351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Most comprehensive solution; highest capital requirement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Joint venture restructure</w:t>
            </w:r>
          </w:p>
        </w:tc>
        <w:tc>
          <w:tcPr>
            <w:tcW w:type="dxa" w:w="35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Partner with Lessor on facility ownership</w:t>
            </w:r>
          </w:p>
        </w:tc>
        <w:tc>
          <w:tcPr>
            <w:tcW w:type="dxa" w:w="35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Aligns incentives; shares capital burden</w:t>
            </w:r>
          </w:p>
        </w:tc>
      </w:tr>
    </w:tbl>
    <w:p>
      <w:r>
        <w:br w:type="page"/>
      </w:r>
    </w:p>
    <w:p>
      <w:pPr>
        <w:pStyle w:val="Heading1"/>
        <w:spacing w:before="360" w:after="200"/>
      </w:pPr>
      <w:r>
        <w:rPr>
          <w:rFonts w:ascii="Arial" w:cs="Arial" w:eastAsia="Arial" w:hAnsi="Arial"/>
          <w:b/>
          <w:bCs/>
          <w:color w:val="1B4F72"/>
          <w:sz w:val="32"/>
          <w:szCs w:val="32"/>
        </w:rPr>
        <w:t xml:space="preserve">Appendix: Key Dates Calendar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800"/>
        <w:gridCol w:w="322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Date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Event</w:t>
            </w:r>
          </w:p>
        </w:tc>
        <w:tc>
          <w:tcPr>
            <w:tcW w:type="dxa" w:w="322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Required Action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Annually, May 28</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Insurance renewal</w:t>
            </w:r>
          </w:p>
        </w:tc>
        <w:tc>
          <w:tcPr>
            <w:tcW w:type="dxa" w:w="32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Review coverage adequacy</w:t>
            </w:r>
          </w:p>
        </w:tc>
      </w:tr>
      <w:tr>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Annually, December 1</w:t>
            </w:r>
          </w:p>
        </w:tc>
        <w:tc>
          <w:tcPr>
            <w:tcW w:type="dxa" w:w="3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Bond interest payment</w:t>
            </w:r>
          </w:p>
        </w:tc>
        <w:tc>
          <w:tcPr>
            <w:tcW w:type="dxa" w:w="32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Ensure debt service fund adequate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Annually, June 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Bond principal payment</w:t>
            </w:r>
          </w:p>
        </w:tc>
        <w:tc>
          <w:tcPr>
            <w:tcW w:type="dxa" w:w="32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Confirm sinking fund balance</w:t>
            </w:r>
          </w:p>
        </w:tc>
      </w:tr>
      <w:tr>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August 31, 2030</w:t>
            </w:r>
          </w:p>
        </w:tc>
        <w:tc>
          <w:tcPr>
            <w:tcW w:type="dxa" w:w="3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Rent increase (15%)</w:t>
            </w:r>
          </w:p>
        </w:tc>
        <w:tc>
          <w:tcPr>
            <w:tcW w:type="dxa" w:w="32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Budget adjustment required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December 1, 2038</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Bond maturity</w:t>
            </w:r>
          </w:p>
        </w:tc>
        <w:tc>
          <w:tcPr>
            <w:tcW w:type="dxa" w:w="32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Final payment or refinancing</w:t>
            </w:r>
          </w:p>
        </w:tc>
      </w:tr>
      <w:tr>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August 31, 2040</w:t>
            </w:r>
          </w:p>
        </w:tc>
        <w:tc>
          <w:tcPr>
            <w:tcW w:type="dxa" w:w="3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Rent reset to 9% FMV</w:t>
            </w:r>
          </w:p>
        </w:tc>
        <w:tc>
          <w:tcPr>
            <w:tcW w:type="dxa" w:w="32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Appraisal process; major budget impact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August 31, 2048</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10-year renewal decision window opens</w:t>
            </w:r>
          </w:p>
        </w:tc>
        <w:tc>
          <w:tcPr>
            <w:tcW w:type="dxa" w:w="32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Board strategic review</w:t>
            </w:r>
          </w:p>
        </w:tc>
      </w:tr>
      <w:tr>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August 31, 2050</w:t>
            </w:r>
          </w:p>
        </w:tc>
        <w:tc>
          <w:tcPr>
            <w:tcW w:type="dxa" w:w="3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Rent adjustment (post-2040 formula)</w:t>
            </w:r>
          </w:p>
        </w:tc>
        <w:tc>
          <w:tcPr>
            <w:tcW w:type="dxa" w:w="32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Monitor land values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August 31, 2058</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First renewal option deadline</w:t>
            </w:r>
          </w:p>
        </w:tc>
        <w:tc>
          <w:tcPr>
            <w:tcW w:type="dxa" w:w="32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Must exercise 10 years before expiration</w:t>
            </w:r>
          </w:p>
        </w:tc>
      </w:tr>
      <w:tr>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August 31, 2060</w:t>
            </w:r>
          </w:p>
        </w:tc>
        <w:tc>
          <w:tcPr>
            <w:tcW w:type="dxa" w:w="3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Rent adjustment</w:t>
            </w:r>
          </w:p>
        </w:tc>
        <w:tc>
          <w:tcPr>
            <w:tcW w:type="dxa" w:w="32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Post-renewal terms apply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August 31, 2068</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Initial term expires</w:t>
            </w:r>
          </w:p>
        </w:tc>
        <w:tc>
          <w:tcPr>
            <w:tcW w:type="dxa" w:w="32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Renew or building reverts</w:t>
            </w:r>
          </w:p>
        </w:tc>
      </w:tr>
      <w:tr>
        <w:tc>
          <w:tcPr>
            <w:tcW w:type="dxa" w:w="23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August 31, 2078</w:t>
            </w:r>
          </w:p>
        </w:tc>
        <w:tc>
          <w:tcPr>
            <w:tcW w:type="dxa" w:w="3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First renewal term expires</w:t>
            </w:r>
          </w:p>
        </w:tc>
        <w:tc>
          <w:tcPr>
            <w:tcW w:type="dxa" w:w="32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Second renewal or reversion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unction bold() { [native code] }"/>
                <w:bCs w:val="function bold() { [native code] }"/>
                <w:color w:val="2C3E50"/>
                <w:sz w:val="20"/>
                <w:szCs w:val="20"/>
              </w:rPr>
              <w:t xml:space="preserve">August 31, 2088</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Maximum lease term expires</w:t>
            </w:r>
          </w:p>
        </w:tc>
        <w:tc>
          <w:tcPr>
            <w:tcW w:type="dxa" w:w="32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unction bold() { [native code] }"/>
                <w:bCs w:val="function bold() { [native code] }"/>
                <w:color w:val="2C3E50"/>
                <w:sz w:val="20"/>
                <w:szCs w:val="20"/>
              </w:rPr>
              <w:t xml:space="preserve">Building reverts to Lessor</w:t>
            </w:r>
          </w:p>
        </w:tc>
      </w:tr>
    </w:tbl>
    <w:p>
      <w:pPr>
        <w:spacing w:after="400"/>
      </w:pPr>
    </w:p>
    <w:p>
      <w:pPr>
        <w:spacing w:before="400"/>
        <w:jc w:val="center"/>
      </w:pPr>
      <w:r>
        <w:rPr>
          <w:rFonts w:ascii="Arial" w:cs="Arial" w:eastAsia="Arial" w:hAnsi="Arial"/>
          <w:i/>
          <w:iCs/>
          <w:color w:val="2C3E50"/>
          <w:sz w:val="22"/>
          <w:szCs w:val="22"/>
        </w:rPr>
        <w:t xml:space="preserve">— End of Report —</w:t>
      </w:r>
    </w:p>
    <w:p>
      <w:pPr>
        <w:spacing w:after="200"/>
      </w:pPr>
    </w:p>
    <w:p>
      <w:pPr>
        <w:jc w:val="center"/>
      </w:pPr>
      <w:r>
        <w:rPr>
          <w:rFonts w:ascii="Arial" w:cs="Arial" w:eastAsia="Arial" w:hAnsi="Arial"/>
          <w:i/>
          <w:iCs/>
          <w:color w:val="2C3E50"/>
          <w:sz w:val="18"/>
          <w:szCs w:val="18"/>
        </w:rPr>
        <w:t xml:space="preserve">This analysis is provided for Board discussion purposes and should be reviewed with qualified legal and financial advisors before taking action.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C3E50"/>
        <w:sz w:val="18"/>
        <w:szCs w:val="18"/>
      </w:rPr>
      <w:t xml:space="preserve">NSIA Integrated Financial Analysis | Page </w:t>
    </w:r>
    <w:r>
      <w:rPr>
        <w:rFonts w:ascii="Arial" w:cs="Arial" w:eastAsia="Arial" w:hAnsi="Arial"/>
        <w:color w:val="2C3E50"/>
        <w:sz w:val="18"/>
        <w:szCs w:val="18"/>
      </w:rPr>
      <w:fldChar w:fldCharType="begin"/>
      <w:instrText xml:space="preserve">PAGE</w:instrText>
      <w:fldChar w:fldCharType="separate"/>
      <w:fldChar w:fldCharType="end"/>
    </w:r>
    <w:r>
      <w:rPr>
        <w:rFonts w:ascii="Arial" w:cs="Arial" w:eastAsia="Arial" w:hAnsi="Arial"/>
        <w:color w:val="2C3E50"/>
        <w:sz w:val="18"/>
        <w:szCs w:val="18"/>
      </w:rPr>
      <w:t xml:space="preserve"> of </w:t>
    </w:r>
    <w:r>
      <w:rPr>
        <w:rFonts w:ascii="Arial" w:cs="Arial" w:eastAsia="Arial" w:hAnsi="Arial"/>
        <w:color w:val="2C3E5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C3E50"/>
        <w:sz w:val="18"/>
        <w:szCs w:val="18"/>
      </w:rPr>
      <w:t xml:space="preserve">CONFIDENTIAL - Board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874A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2026-01-30T03:00:31.765Z</dcterms:created>
  <dcterms:modified xsi:type="dcterms:W3CDTF">2026-01-30T03:00:31.766Z</dcterms:modified>
</cp:coreProperties>
</file>

<file path=docProps/custom.xml><?xml version="1.0" encoding="utf-8"?>
<Properties xmlns="http://schemas.openxmlformats.org/officeDocument/2006/custom-properties" xmlns:vt="http://schemas.openxmlformats.org/officeDocument/2006/docPropsVTypes"/>
</file>