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north-shore-ice-arena"/>
    <w:p>
      <w:pPr>
        <w:pStyle w:val="Heading1"/>
      </w:pPr>
      <w:r>
        <w:t xml:space="preserve">NORTH SHORE ICE ARENA</w:t>
      </w:r>
    </w:p>
    <w:p>
      <w:pPr>
        <w:pStyle w:val="FirstParagraph"/>
      </w:pPr>
      <w:r>
        <w:rPr>
          <w:bCs/>
          <w:b/>
        </w:rPr>
        <w:t xml:space="preserve">Board of Directors</w:t>
      </w:r>
    </w:p>
    <w:p>
      <w:r>
        <w:pict>
          <v:rect style="width:0;height:1.5pt" o:hralign="center" o:hrstd="t" o:hr="t"/>
        </w:pict>
      </w:r>
    </w:p>
    <w:p>
      <w:pPr>
        <w:pStyle w:val="FirstParagraph"/>
      </w:pPr>
      <w:r>
        <w:rPr>
          <w:bCs/>
          <w:b/>
        </w:rPr>
        <w:t xml:space="preserve">Date:</w:t>
      </w:r>
      <w:r>
        <w:t xml:space="preserve"> January 30, 2026</w:t>
      </w:r>
    </w:p>
    <w:p>
      <w:pPr>
        <w:pStyle w:val="BodyText"/>
      </w:pPr>
      <w:r>
        <w:rPr>
          <w:bCs/>
          <w:b/>
        </w:rPr>
        <w:t xml:space="preserve">Via Email</w:t>
      </w:r>
    </w:p>
    <w:p>
      <w:pPr>
        <w:pStyle w:val="BodyText"/>
      </w:pPr>
      <w:r>
        <w:rPr>
          <w:bCs/>
          <w:b/>
        </w:rPr>
        <w:t xml:space="preserve">To:</w:t>
      </w:r>
      <w:r>
        <w:br/>
        <w:t xml:space="preserve">Don LaPato</w:t>
        <w:br/>
        <w:t xml:space="preserve">Club Sports Consulting Group / Club Sports Management Group</w:t>
      </w:r>
    </w:p>
    <w:p>
      <w:pPr>
        <w:pStyle w:val="BodyText"/>
      </w:pPr>
      <w:r>
        <w:t xml:space="preserve">Mary A. Smigielski, Esq.</w:t>
        <w:br/>
        <w:t xml:space="preserve">Partner, Lewis Brisbois</w:t>
        <w:br/>
        <w:t xml:space="preserve">Chicago, Illinois</w:t>
      </w:r>
    </w:p>
    <w:p>
      <w:pPr>
        <w:pStyle w:val="BodyText"/>
      </w:pPr>
      <w:r>
        <w:rPr>
          <w:bCs/>
          <w:b/>
        </w:rPr>
        <w:t xml:space="preserve">From:</w:t>
      </w:r>
      <w:r>
        <w:br/>
        <w:t xml:space="preserve">Pete [Last Name]</w:t>
        <w:br/>
        <w:t xml:space="preserve">Board President, North Shore Ice Arena</w:t>
      </w:r>
    </w:p>
    <w:p>
      <w:pPr>
        <w:pStyle w:val="BodyText"/>
      </w:pPr>
      <w:r>
        <w:rPr>
          <w:bCs/>
          <w:b/>
        </w:rPr>
        <w:t xml:space="preserve">Re:</w:t>
      </w:r>
      <w:r>
        <w:t xml:space="preserve"> NSIA Board Records Request — Clarification of Legal Obligations and Request for Reconsideration</w:t>
      </w:r>
    </w:p>
    <w:p>
      <w:r>
        <w:pict>
          <v:rect style="width:0;height:1.5pt" o:hralign="center" o:hrstd="t" o:hr="t"/>
        </w:pict>
      </w:r>
    </w:p>
    <w:p>
      <w:pPr>
        <w:pStyle w:val="FirstParagraph"/>
      </w:pPr>
      <w:r>
        <w:t xml:space="preserve">Dear Don and Ms. Smigielski:</w:t>
      </w:r>
    </w:p>
    <w:p>
      <w:pPr>
        <w:pStyle w:val="BodyText"/>
      </w:pPr>
      <w:r>
        <w:t xml:space="preserve">Thank you for your response dated [date]. I write to clarify the nature of the Board’s request and to explain why NSIA requires the information we have requested — not as a matter of curiosity, but as a matter of legal obligation.</w:t>
      </w:r>
    </w:p>
    <w:p>
      <w:pPr>
        <w:pStyle w:val="BodyText"/>
      </w:pPr>
      <w:r>
        <w:t xml:space="preserve">I want to be clear at the outset: </w:t>
      </w:r>
      <w:r>
        <w:rPr>
          <w:bCs/>
          <w:b/>
        </w:rPr>
        <w:t xml:space="preserve">this is not an adversarial inquiry.</w:t>
      </w:r>
      <w:r>
        <w:t xml:space="preserve"> Don has served NSIA for nearly two decades, and the Board values that relationship. However, the Board has independent legal obligations that we cannot fulfill without certain information. This letter explains those obligations and requests that you reconsider your position.</w:t>
      </w:r>
    </w:p>
    <w:p>
      <w:r>
        <w:pict>
          <v:rect style="width:0;height:1.5pt" o:hralign="center" o:hrstd="t" o:hr="t"/>
        </w:pict>
      </w:r>
    </w:p>
    <w:bookmarkStart w:id="20" w:name="X4288041edac1496593948dd8d83d0edae94ef22"/>
    <w:p>
      <w:pPr>
        <w:pStyle w:val="Heading2"/>
      </w:pPr>
      <w:r>
        <w:t xml:space="preserve">I. What We Are Asking For — And What We Are Not</w:t>
      </w:r>
    </w:p>
    <w:p>
      <w:pPr>
        <w:pStyle w:val="FirstParagraph"/>
      </w:pPr>
      <w:r>
        <w:rPr>
          <w:bCs/>
          <w:b/>
        </w:rPr>
        <w:t xml:space="preserve">We are NOT asking for:</w:t>
      </w:r>
      <w:r>
        <w:t xml:space="preserve"> - Individual employee salaries - Personal compensation details of CSCG/CSMG employees - CSCG’s internal financial records - Confidential employment files</w:t>
      </w:r>
    </w:p>
    <w:p>
      <w:pPr>
        <w:pStyle w:val="BodyText"/>
      </w:pPr>
      <w:r>
        <w:rPr>
          <w:bCs/>
          <w:b/>
        </w:rPr>
        <w:t xml:space="preserve">We ARE asking for:</w:t>
      </w:r>
      <w:r>
        <w:t xml:space="preserve"> - The total amount NSIA paid to CSCG (Note: CSMG dissolved 12/9/2022) in the most recent fiscal year - A breakdown of those payments by category (management fees, staffing services, other) - Confirmation of which entity is the employer of record for rink staff - Information necessary to complete NSIA’s IRS Form 990 accurately</w:t>
      </w:r>
    </w:p>
    <w:p>
      <w:pPr>
        <w:pStyle w:val="BodyText"/>
      </w:pPr>
      <w:r>
        <w:t xml:space="preserve">The distinction is critical. We are not seeking CSCG’s payroll records. We are seeking </w:t>
      </w:r>
      <w:r>
        <w:rPr>
          <w:bCs/>
          <w:b/>
        </w:rPr>
        <w:t xml:space="preserve">NSIA’s payment records</w:t>
      </w:r>
      <w:r>
        <w:t xml:space="preserve"> — specifically, how much money flowed from NSIA to CSCG/CSMG and for what purposes.</w:t>
      </w:r>
    </w:p>
    <w:p>
      <w:pPr>
        <w:pStyle w:val="BodyText"/>
      </w:pPr>
      <w:r>
        <w:rPr>
          <w:bCs/>
          <w:b/>
        </w:rPr>
        <w:t xml:space="preserve">There is no law that prevents a contractor from disclosing the aggregate amount a client paid them.</w:t>
      </w:r>
    </w:p>
    <w:p>
      <w:r>
        <w:pict>
          <v:rect style="width:0;height:1.5pt" o:hralign="center" o:hrstd="t" o:hr="t"/>
        </w:pict>
      </w:r>
    </w:p>
    <w:bookmarkEnd w:id="20"/>
    <w:bookmarkStart w:id="25" w:name="ii.-why-nsia-requires-this-information"/>
    <w:p>
      <w:pPr>
        <w:pStyle w:val="Heading2"/>
      </w:pPr>
      <w:r>
        <w:t xml:space="preserve">II. Why NSIA Requires This Information</w:t>
      </w:r>
    </w:p>
    <w:bookmarkStart w:id="21" w:name="a.-irs-form-990-disclosure-requirements"/>
    <w:p>
      <w:pPr>
        <w:pStyle w:val="Heading3"/>
      </w:pPr>
      <w:r>
        <w:t xml:space="preserve">A. IRS Form 990 Disclosure Requirements</w:t>
      </w:r>
    </w:p>
    <w:p>
      <w:pPr>
        <w:pStyle w:val="FirstParagraph"/>
      </w:pPr>
      <w:r>
        <w:t xml:space="preserve">As a 501(c)(3) tax-exempt organization, NSIA is required to file IRS Form 990 annually. The Form 990 includes specific disclosure requirements:</w:t>
      </w:r>
    </w:p>
    <w:p>
      <w:pPr>
        <w:pStyle w:val="BodyText"/>
      </w:pPr>
      <w:r>
        <w:rPr>
          <w:bCs/>
          <w:b/>
        </w:rPr>
        <w:t xml:space="preserve">Part VII, Section B</w:t>
      </w:r>
      <w:r>
        <w:t xml:space="preserve"> requires disclosure of the five highest-compensated independent contractors who received more than $100,000 from the organization.</w:t>
      </w:r>
    </w:p>
    <w:p>
      <w:pPr>
        <w:pStyle w:val="BodyText"/>
      </w:pPr>
      <w:r>
        <w:t xml:space="preserve">Based on NSIA’s budget, total payments to CSCG/CSMG appear to include: - Management Fee: $42,000 - Payroll/Staffing Services: $366,742 - </w:t>
      </w:r>
      <w:r>
        <w:rPr>
          <w:bCs/>
          <w:b/>
        </w:rPr>
        <w:t xml:space="preserve">Potential Total: $408,742+</w:t>
      </w:r>
    </w:p>
    <w:p>
      <w:pPr>
        <w:pStyle w:val="BodyText"/>
      </w:pPr>
      <w:r>
        <w:t xml:space="preserve">If CSCG (Note: CSMG dissolved 12/9/2022) received more than $100,000 from NSIA — and it appears they did — they must be listed on the Form 990. </w:t>
      </w:r>
      <w:r>
        <w:rPr>
          <w:bCs/>
          <w:b/>
        </w:rPr>
        <w:t xml:space="preserve">They are not currently listed.</w:t>
      </w:r>
    </w:p>
    <w:p>
      <w:pPr>
        <w:pStyle w:val="BodyText"/>
      </w:pPr>
      <w:r>
        <w:t xml:space="preserve">The Board cannot certify the accuracy of a Form 990 filing without knowing whether our contractor payments exceed the disclosure threshold. Refusing to provide this information places the Board in an impossible position.</w:t>
      </w:r>
    </w:p>
    <w:bookmarkEnd w:id="21"/>
    <w:bookmarkStart w:id="22" w:name="Xbf4e2891ce4db018d83bb6064b16bd1f50f0ef5"/>
    <w:p>
      <w:pPr>
        <w:pStyle w:val="Heading3"/>
      </w:pPr>
      <w:r>
        <w:t xml:space="preserve">B. Related Party Transaction Disclosure (Schedule L)</w:t>
      </w:r>
    </w:p>
    <w:p>
      <w:pPr>
        <w:pStyle w:val="FirstParagraph"/>
      </w:pPr>
      <w:r>
        <w:t>Form 990, Schedule L requires disclosure of business transactions with “interested persons,” including: - Officers, directors, trustees, or key employees - Family members of the above - Entities owned or controlled by the above</w:t>
      </w:r>
    </w:p>
    <w:p>
      <w:pPr>
        <w:pStyle w:val="BodyText"/>
      </w:pPr>
      <w:r>
        <w:t xml:space="preserve">Don LaPato is listed on NSIA’s Form 990 as “Manager.” Don owns or controls CSCG/CSMG. Don’s son, Mike LaPato, is compensated through the CSCG contract. </w:t>
      </w:r>
      <w:r>
        <w:rPr>
          <w:bCs/>
          <w:b/>
        </w:rPr>
        <w:t xml:space="preserve">This is a related party transaction that likely requires Schedule L disclosure.</w:t>
      </w:r>
    </w:p>
    <w:p>
      <w:pPr>
        <w:pStyle w:val="BodyText"/>
      </w:pPr>
      <w:r>
        <w:t xml:space="preserve">Schedule L has never been filed for NSIA. The Board needs to understand the compensation flowing to related parties to determine whether disclosure is required.</w:t>
      </w:r>
    </w:p>
    <w:bookmarkEnd w:id="22"/>
    <w:bookmarkStart w:id="23" w:name="c.-board-fiduciary-duty"/>
    <w:p>
      <w:pPr>
        <w:pStyle w:val="Heading3"/>
      </w:pPr>
      <w:r>
        <w:t xml:space="preserve">C. Board Fiduciary Duty</w:t>
      </w:r>
    </w:p>
    <w:p>
      <w:pPr>
        <w:pStyle w:val="FirstParagraph"/>
      </w:pPr>
      <w:r>
        <w:t>As Board members of a nonprofit corporation, we have a fiduciary duty to: - Ensure organizational funds are used appropriately - Oversee significant contracts and expenditures - Maintain adequate records for tax and regulatory compliance - Disclose and properly manage conflicts of interest</w:t>
      </w:r>
    </w:p>
    <w:p>
      <w:pPr>
        <w:pStyle w:val="BodyText"/>
      </w:pPr>
      <w:r>
        <w:t xml:space="preserve">A $400,000+ annual contractor relationship — particularly one involving related parties — falls squarely within the Board’s oversight responsibility. We are not asking for information we have no right to see. We are asking for information we are legally obligated to verify.</w:t>
      </w:r>
    </w:p>
    <w:bookmarkEnd w:id="23"/>
    <w:bookmarkStart w:id="24" w:name="d.-form-990-signing-liability"/>
    <w:p>
      <w:pPr>
        <w:pStyle w:val="Heading3"/>
      </w:pPr>
      <w:r>
        <w:t xml:space="preserve">D. Form 990 Signing Liability</w:t>
      </w:r>
    </w:p>
    <w:p>
      <w:pPr>
        <w:pStyle w:val="FirstParagraph"/>
      </w:pPr>
      <w:r>
        <w:t>The Form 990 is signed under penalty of perjury. The signing officer certifies that the return is “true, correct, and complete” to the best of their knowledge.</w:t>
      </w:r>
    </w:p>
    <w:p>
      <w:pPr>
        <w:pStyle w:val="BodyText"/>
      </w:pPr>
      <w:r>
        <w:t xml:space="preserve">If the Board knows that a major contractor may not be properly disclosed, we cannot in good conscience sign a return that omits that information. Continuing to file returns that we have reason to believe are incomplete exposes individual Board members to personal liability.</w:t>
      </w:r>
    </w:p>
    <w:p>
      <w:r>
        <w:pict>
          <v:rect style="width:0;height:1.5pt" o:hralign="center" o:hrstd="t" o:hr="t"/>
        </w:pict>
      </w:r>
    </w:p>
    <w:bookmarkEnd w:id="24"/>
    <w:bookmarkEnd w:id="25"/>
    <w:bookmarkStart w:id="30" w:name="Xf1a24764fc0b944a18c328892215dc34bcf2b96"/>
    <w:p>
      <w:pPr>
        <w:pStyle w:val="Heading2"/>
      </w:pPr>
      <w:r>
        <w:t xml:space="preserve">III. NSIA’s Contractual Right to Financial Records</w:t>
      </w:r>
    </w:p>
    <w:p>
      <w:pPr>
        <w:pStyle w:val="FirstParagraph"/>
      </w:pPr>
      <w:r>
        <w:t xml:space="preserve">Beyond the legal and regulatory requirements described above, </w:t>
      </w:r>
      <w:r>
        <w:rPr>
          <w:bCs/>
          <w:b/>
        </w:rPr>
        <w:t xml:space="preserve">NSIA has an explicit contractual right to the information we are requesting</w:t>
      </w:r>
      <w:r>
        <w:t xml:space="preserve"> under the Professional Management Services Agreement dated December 1, 2007.</w:t>
      </w:r>
    </w:p>
    <w:bookmarkStart w:id="26" w:name="a.-article-7.3-records-access"/>
    <w:p>
      <w:pPr>
        <w:pStyle w:val="Heading3"/>
      </w:pPr>
      <w:r>
        <w:t xml:space="preserve">A. Article 7.3 — Records Access</w:t>
      </w:r>
    </w:p>
    <w:p>
      <w:pPr>
        <w:pStyle w:val="FirstParagraph"/>
      </w:pPr>
      <w:r>
        <w:t xml:space="preserve">The Management Agreement provides:</w:t>
      </w:r>
    </w:p>
    <w:p>
      <w:pPr>
        <w:pStyle w:val="BlockText"/>
      </w:pPr>
      <w:r>
        <w:t xml:space="preserve">“CSCG shall keep and maintain all financial records used to prepare the Facility’s monthly financial statements, </w:t>
      </w:r>
      <w:r>
        <w:rPr>
          <w:bCs/>
          <w:b/>
        </w:rPr>
        <w:t xml:space="preserve">which records shall be available for Owner’s inspection at all reasonable times during normal business hours.</w:t>
      </w:r>
      <w:r>
        <w:t xml:space="preserve">”</w:t>
      </w:r>
    </w:p>
    <w:p>
      <w:pPr>
        <w:pStyle w:val="FirstParagraph"/>
      </w:pPr>
      <w:r>
        <w:t xml:space="preserve">This provision is unambiguous: NSIA has the right to inspect all financial records related to Facility operations at any time. There is no exception for payroll records, staffing costs, or any other category of financial information.</w:t>
      </w:r>
    </w:p>
    <w:bookmarkEnd w:id="26"/>
    <w:bookmarkStart w:id="27" w:name="b.-article-7.1-financial-reporting"/>
    <w:p>
      <w:pPr>
        <w:pStyle w:val="Heading3"/>
      </w:pPr>
      <w:r>
        <w:t xml:space="preserve">B. Article 7.1 — Financial Reporting</w:t>
      </w:r>
    </w:p>
    <w:p>
      <w:pPr>
        <w:pStyle w:val="FirstParagraph"/>
      </w:pPr>
      <w:r>
        <w:t xml:space="preserve">The Agreement further requires:</w:t>
      </w:r>
    </w:p>
    <w:p>
      <w:pPr>
        <w:pStyle w:val="BlockText"/>
      </w:pPr>
      <w:r>
        <w:t xml:space="preserve">“CSCG shall submit to Owner, financial reports for the Facility no less than twenty-four (24) hours prior to any regularly scheduled monthly Owner board meeting. Such reports shall include </w:t>
      </w:r>
      <w:r>
        <w:rPr>
          <w:bCs/>
          <w:b/>
        </w:rPr>
        <w:t xml:space="preserve">a balance sheet and statement of revenues and expenditures</w:t>
      </w:r>
      <w:r>
        <w:t xml:space="preserve"> (budget to actual) for the current month, year to date and previous fiscal year, </w:t>
      </w:r>
      <w:r>
        <w:rPr>
          <w:bCs/>
          <w:b/>
        </w:rPr>
        <w:t xml:space="preserve">a statement of cash flows and a copy of the general ledger.</w:t>
      </w:r>
      <w:r>
        <w:t xml:space="preserve">”</w:t>
      </w:r>
    </w:p>
    <w:p>
      <w:pPr>
        <w:pStyle w:val="FirstParagraph"/>
      </w:pPr>
      <w:r>
        <w:t xml:space="preserve">The Board is entitled to complete financial transparency, including the general ledger — which would show all payments to contractors, including CSCG itself.</w:t>
      </w:r>
    </w:p>
    <w:bookmarkEnd w:id="27"/>
    <w:bookmarkStart w:id="28" w:name="X1b11b5ad125eed97d6e3672dde349cfe3b2a17d"/>
    <w:p>
      <w:pPr>
        <w:pStyle w:val="Heading3"/>
      </w:pPr>
      <w:r>
        <w:t xml:space="preserve">C. Article 10.1 — Compensation Paid from NSIA Funds</w:t>
      </w:r>
    </w:p>
    <w:p>
      <w:pPr>
        <w:pStyle w:val="FirstParagraph"/>
      </w:pPr>
      <w:r>
        <w:t xml:space="preserve">The Agreement explicitly provides that while staff are employees of CSCG, their compensation is paid from NSIA funds:</w:t>
      </w:r>
    </w:p>
    <w:p>
      <w:pPr>
        <w:pStyle w:val="BlockText"/>
      </w:pPr>
      <w:r>
        <w:t xml:space="preserve">“All employee compensation and benefits including payroll, taxes and insurance shall be Facility operating expenses. </w:t>
      </w:r>
      <w:r>
        <w:rPr>
          <w:bCs/>
          <w:b/>
        </w:rPr>
        <w:t xml:space="preserve">Compensation shall be paid out of Owner’s operating account.</w:t>
      </w:r>
      <w:r>
        <w:t xml:space="preserve">”</w:t>
      </w:r>
    </w:p>
    <w:p>
      <w:pPr>
        <w:pStyle w:val="FirstParagraph"/>
      </w:pPr>
      <w:r>
        <w:t xml:space="preserve">Because all compensation flows from NSIA’s accounts, NSIA has an absolute right to know how its funds are being disbursed — regardless of who the technical employer may be.</w:t>
      </w:r>
    </w:p>
    <w:bookmarkEnd w:id="28"/>
    <w:bookmarkStart w:id="29" w:name="d.-implications-of-records-refusal"/>
    <w:p>
      <w:pPr>
        <w:pStyle w:val="Heading3"/>
      </w:pPr>
      <w:r>
        <w:t xml:space="preserve">D. Implications of Records Refusal</w:t>
      </w:r>
    </w:p>
    <w:p>
      <w:pPr>
        <w:pStyle w:val="FirstParagraph"/>
      </w:pPr>
      <w:r>
        <w:t xml:space="preserve">The refusal to provide financial records that NSIA is contractually entitled to inspect raises serious concerns:</w:t>
      </w:r>
    </w:p>
    <w:p>
      <w:pPr>
        <w:numPr>
          <w:ilvl w:val="0"/>
          <w:numId w:val="1001"/>
        </w:numPr>
      </w:pPr>
      <w:r>
        <w:rPr>
          <w:bCs/>
          <w:b/>
        </w:rPr>
        <w:t xml:space="preserve">Potential Breach of Contract</w:t>
      </w:r>
      <w:r>
        <w:t xml:space="preserve"> — Article 7.3 grants NSIA inspection rights. Refusing access may constitute a material breach under Article 14.1.</w:t>
      </w:r>
    </w:p>
    <w:p>
      <w:pPr>
        <w:numPr>
          <w:ilvl w:val="0"/>
          <w:numId w:val="1001"/>
        </w:numPr>
      </w:pPr>
      <w:r>
        <w:rPr>
          <w:bCs/>
          <w:b/>
        </w:rPr>
        <w:t xml:space="preserve">Termination Rights</w:t>
      </w:r>
      <w:r>
        <w:t xml:space="preserve"> — Under Article 14.3, if a breach is not cured within 30 days of notice, the non-defaulting party may terminate the Agreement.</w:t>
      </w:r>
    </w:p>
    <w:p>
      <w:pPr>
        <w:numPr>
          <w:ilvl w:val="0"/>
          <w:numId w:val="1001"/>
        </w:numPr>
      </w:pPr>
      <w:r>
        <w:rPr>
          <w:bCs/>
          <w:b/>
        </w:rPr>
        <w:t xml:space="preserve">Remedies</w:t>
      </w:r>
      <w:r>
        <w:t xml:space="preserve"> — Under Article 14.4, NSIA may pursue all remedies available under the Agreement and applicable law.</w:t>
      </w:r>
    </w:p>
    <w:p>
      <w:pPr>
        <w:pStyle w:val="FirstParagraph"/>
      </w:pPr>
      <w:r>
        <w:t xml:space="preserve">We are not presently asserting a breach or seeking termination. However, the Board must note that continued refusal to provide records that NSIA is contractually entitled to inspect would need to be evaluated in that context.</w:t>
      </w:r>
    </w:p>
    <w:p>
      <w:r>
        <w:pict>
          <v:rect style="width:0;height:1.5pt" o:hralign="center" o:hrstd="t" o:hr="t"/>
        </w:pict>
      </w:r>
    </w:p>
    <w:bookmarkEnd w:id="29"/>
    <w:bookmarkEnd w:id="30"/>
    <w:bookmarkStart w:id="31" w:name="X8d51ccf3d3519169fcb5dc2152f17e76c8bcf1a"/>
    <w:p>
      <w:pPr>
        <w:pStyle w:val="Heading2"/>
      </w:pPr>
      <w:r>
        <w:t>IV. Why “Payroll Privacy” Is Not a Valid Objection</w:t>
      </w:r>
    </w:p>
    <w:p>
      <w:pPr>
        <w:pStyle w:val="FirstParagraph"/>
      </w:pPr>
      <w:r>
        <w:t xml:space="preserve">We understand that individual employee compensation may be sensitive. However, the Board’s request does not require disclosure of individual salaries. We are asking for:</w:t>
      </w:r>
    </w:p>
    <w:p>
      <w:pPr>
        <w:numPr>
          <w:ilvl w:val="0"/>
          <w:numId w:val="1002"/>
        </w:numPr>
      </w:pPr>
      <w:r>
        <w:rPr>
          <w:bCs/>
          <w:b/>
        </w:rPr>
        <w:t xml:space="preserve">Total payments from NSIA to CSCG</w:t>
      </w:r>
      <w:r>
        <w:t xml:space="preserve"> — This is NSIA’s expenditure data, not CSCG’s internal data.</w:t>
      </w:r>
    </w:p>
    <w:p>
      <w:pPr>
        <w:numPr>
          <w:ilvl w:val="0"/>
          <w:numId w:val="1002"/>
        </w:numPr>
      </w:pPr>
      <w:r>
        <w:rPr>
          <w:bCs/>
          <w:b/>
        </w:rPr>
        <w:t xml:space="preserve">Total payments from NSIA to CSMG</w:t>
      </w:r>
      <w:r>
        <w:t xml:space="preserve"> — Same as above.</w:t>
      </w:r>
    </w:p>
    <w:p>
      <w:pPr>
        <w:numPr>
          <w:ilvl w:val="0"/>
          <w:numId w:val="1002"/>
        </w:numPr>
      </w:pPr>
      <w:r>
        <w:rPr>
          <w:bCs/>
          <w:b/>
        </w:rPr>
        <w:t xml:space="preserve">Breakdown by category</w:t>
      </w:r>
      <w:r>
        <w:t xml:space="preserve"> — Management fees vs. staffing services vs. other. No individual names required.</w:t>
      </w:r>
    </w:p>
    <w:p>
      <w:pPr>
        <w:numPr>
          <w:ilvl w:val="0"/>
          <w:numId w:val="1002"/>
        </w:numPr>
      </w:pPr>
      <w:r>
        <w:rPr>
          <w:bCs/>
          <w:b/>
        </w:rPr>
        <w:t xml:space="preserve">Confirmation of employer of record</w:t>
      </w:r>
      <w:r>
        <w:t xml:space="preserve"> — Which entity issues W-2s to rink employees? This is not confidential information.</w:t>
      </w:r>
    </w:p>
    <w:p>
      <w:pPr>
        <w:pStyle w:val="FirstParagraph"/>
      </w:pPr>
      <w:r>
        <w:rPr>
          <w:bCs/>
          <w:b/>
        </w:rPr>
        <w:t xml:space="preserve">No employment law, privacy statute, or contractual provision prevents a contractor from telling its client how much the client paid them.</w:t>
      </w:r>
      <w:r>
        <w:t xml:space="preserve"> Indeed, the Management Agreement expressly grants NSIA the right to inspect all financial records.</w:t>
      </w:r>
    </w:p>
    <w:p>
      <w:pPr>
        <w:pStyle w:val="BodyText"/>
      </w:pPr>
      <w:r>
        <w:t xml:space="preserve">If there is a specific legal authority that counsel believes prohibits this disclosure, we respectfully request that it be identified in writing so that we may evaluate it with our own legal advisors. Please also explain how any such authority would override NSIA’s express contractual rights under Article 7.3.</w:t>
      </w:r>
    </w:p>
    <w:p>
      <w:r>
        <w:pict>
          <v:rect style="width:0;height:1.5pt" o:hralign="center" o:hrstd="t" o:hr="t"/>
        </w:pict>
      </w:r>
    </w:p>
    <w:bookmarkEnd w:id="31"/>
    <w:bookmarkStart w:id="32" w:name="Xe42adbeb03ff25e344a2fcf71d66cf7db24814f"/>
    <w:p>
      <w:pPr>
        <w:pStyle w:val="Heading2"/>
      </w:pPr>
      <w:r>
        <w:t xml:space="preserve">V. The Current Budget Does Not Satisfy Our Request</w:t>
      </w:r>
    </w:p>
    <w:p>
      <w:pPr>
        <w:pStyle w:val="FirstParagraph"/>
      </w:pPr>
      <w:r>
        <w:t>Don’s response indicated that payroll has been “broken down by department” in the budget. While we appreciate that information, it does not answer the Board’s core questions:</w:t>
      </w:r>
    </w:p>
    <w:tbl>
      <w:tblPr>
        <w:tblStyle w:val="Table"/>
        <w:tblW w:type="pct" w:w="5000"/>
        <w:tblLook w:firstRow="1" w:lastRow="0" w:firstColumn="0" w:lastColumn="0" w:noHBand="0" w:noVBand="0" w:val="0020"/>
        <w:jc w:val="start"/>
      </w:tblPr>
      <w:tblGrid>
        <w:gridCol w:w="3643"/>
        <w:gridCol w:w="4276"/>
      </w:tblGrid>
      <w:tr>
        <w:trPr>
          <w:tblHeader w:val="true"/>
        </w:trPr>
        <w:tc>
          <w:tcPr/>
          <w:p>
            <w:pPr>
              <w:pStyle w:val="Compact"/>
              <w:jc w:val="left"/>
            </w:pPr>
            <w:r>
              <w:t xml:space="preserve">What the Budget Shows</w:t>
            </w:r>
          </w:p>
        </w:tc>
        <w:tc>
          <w:tcPr/>
          <w:p>
            <w:pPr>
              <w:pStyle w:val="Compact"/>
              <w:jc w:val="left"/>
            </w:pPr>
            <w:r>
              <w:t xml:space="preserve">What We Still Need to Know</w:t>
            </w:r>
          </w:p>
        </w:tc>
      </w:tr>
      <w:tr>
        <w:tc>
          <w:tcPr/>
          <w:p>
            <w:pPr>
              <w:pStyle w:val="Compact"/>
              <w:jc w:val="left"/>
            </w:pPr>
            <w:r>
              <w:t xml:space="preserve">Payroll by department</w:t>
            </w:r>
          </w:p>
        </w:tc>
        <w:tc>
          <w:tcPr/>
          <w:p>
            <w:pPr>
              <w:pStyle w:val="Compact"/>
              <w:jc w:val="left"/>
            </w:pPr>
            <w:r>
              <w:t xml:space="preserve">Total amount paid to CSCG/CSMG</w:t>
            </w:r>
          </w:p>
        </w:tc>
      </w:tr>
      <w:tr>
        <w:tc>
          <w:tcPr/>
          <w:p>
            <w:pPr>
              <w:pStyle w:val="Compact"/>
              <w:jc w:val="left"/>
            </w:pPr>
            <w:r>
              <w:t xml:space="preserve">$42K management fee</w:t>
            </w:r>
          </w:p>
        </w:tc>
        <w:tc>
          <w:tcPr/>
          <w:p>
            <w:pPr>
              <w:pStyle w:val="Compact"/>
              <w:jc w:val="left"/>
            </w:pPr>
            <w:r>
              <w:t xml:space="preserve">Whether other payments flow to CSCG/CSMG</w:t>
            </w:r>
          </w:p>
        </w:tc>
      </w:tr>
      <w:tr>
        <w:tc>
          <w:tcPr/>
          <w:p>
            <w:pPr>
              <w:pStyle w:val="Compact"/>
              <w:jc w:val="left"/>
            </w:pPr>
            <w:r>
              <w:t xml:space="preserve">Line items</w:t>
            </w:r>
          </w:p>
        </w:tc>
        <w:tc>
          <w:tcPr/>
          <w:p>
            <w:pPr>
              <w:pStyle w:val="Compact"/>
              <w:jc w:val="left"/>
            </w:pPr>
            <w:r>
              <w:t xml:space="preserve">Which entity receives each payment</w:t>
            </w:r>
          </w:p>
        </w:tc>
      </w:tr>
      <w:tr>
        <w:tc>
          <w:tcPr/>
          <w:p>
            <w:pPr>
              <w:pStyle w:val="Compact"/>
              <w:jc w:val="left"/>
            </w:pPr>
            <w:r>
              <w:t xml:space="preserve">Expense categories</w:t>
            </w:r>
          </w:p>
        </w:tc>
        <w:tc>
          <w:tcPr/>
          <w:p>
            <w:pPr>
              <w:pStyle w:val="Compact"/>
              <w:jc w:val="left"/>
            </w:pPr>
            <w:r>
              <w:t xml:space="preserve">Whether total exceeds $100K disclosure threshold</w:t>
            </w:r>
          </w:p>
        </w:tc>
      </w:tr>
    </w:tbl>
    <w:p>
      <w:pPr>
        <w:pStyle w:val="BodyText"/>
      </w:pPr>
      <w:r>
        <w:t xml:space="preserve">The budget shows NSIA’s expenses. It does not show </w:t>
      </w:r>
      <w:r>
        <w:rPr>
          <w:bCs/>
          <w:b/>
        </w:rPr>
        <w:t xml:space="preserve">who receives those payments</w:t>
      </w:r>
      <w:r>
        <w:t xml:space="preserve"> or confirm the total flowing to related-party contractors.</w:t>
      </w:r>
    </w:p>
    <w:p>
      <w:r>
        <w:pict>
          <v:rect style="width:0;height:1.5pt" o:hralign="center" o:hrstd="t" o:hr="t"/>
        </w:pict>
      </w:r>
    </w:p>
    <w:bookmarkEnd w:id="32"/>
    <w:bookmarkStart w:id="33" w:name="Xba0cee2cd23ea6babeedd53fa7b274401c19731"/>
    <w:p>
      <w:pPr>
        <w:pStyle w:val="Heading2"/>
      </w:pPr>
      <w:r>
        <w:t xml:space="preserve">VI. What Happens If This Information Is Not Provided</w:t>
      </w:r>
    </w:p>
    <w:p>
      <w:pPr>
        <w:pStyle w:val="FirstParagraph"/>
      </w:pPr>
      <w:r>
        <w:t xml:space="preserve">If the Board cannot verify total contractor payments:</w:t>
      </w:r>
    </w:p>
    <w:p>
      <w:pPr>
        <w:numPr>
          <w:ilvl w:val="0"/>
          <w:numId w:val="1003"/>
        </w:numPr>
      </w:pPr>
      <w:r>
        <w:rPr>
          <w:bCs/>
          <w:b/>
        </w:rPr>
        <w:t xml:space="preserve">We cannot sign the Form 990</w:t>
      </w:r>
      <w:r>
        <w:t xml:space="preserve"> — The Board will not certify a return we have reason to believe is incomplete.</w:t>
      </w:r>
    </w:p>
    <w:p>
      <w:pPr>
        <w:numPr>
          <w:ilvl w:val="0"/>
          <w:numId w:val="1003"/>
        </w:numPr>
      </w:pPr>
      <w:r>
        <w:rPr>
          <w:bCs/>
          <w:b/>
        </w:rPr>
        <w:t xml:space="preserve">We may need to amend prior filings</w:t>
      </w:r>
      <w:r>
        <w:t xml:space="preserve"> — If CSCG/CSMG should have been disclosed and was not, prior returns may require amendment.</w:t>
      </w:r>
    </w:p>
    <w:p>
      <w:pPr>
        <w:numPr>
          <w:ilvl w:val="0"/>
          <w:numId w:val="1003"/>
        </w:numPr>
      </w:pPr>
      <w:r>
        <w:rPr>
          <w:bCs/>
          <w:b/>
        </w:rPr>
        <w:t xml:space="preserve">We will need to engage independent verification</w:t>
      </w:r>
      <w:r>
        <w:t xml:space="preserve"> — The Board may need to retain a forensic accountant to reconstruct payment flows from bank records.</w:t>
      </w:r>
    </w:p>
    <w:p>
      <w:pPr>
        <w:numPr>
          <w:ilvl w:val="0"/>
          <w:numId w:val="1003"/>
        </w:numPr>
      </w:pPr>
      <w:r>
        <w:rPr>
          <w:bCs/>
          <w:b/>
        </w:rPr>
        <w:t xml:space="preserve">We will need to evaluate the management agreement</w:t>
      </w:r>
      <w:r>
        <w:t xml:space="preserve"> — Refusal to provide records necessary for NSIA’s legal compliance — and records NSIA is contractually entitled to under Article 7.3 — may constitute a material breach under Article 14.1, triggering NSIA’s rights under Articles 14.2-14.4.</w:t>
      </w:r>
    </w:p>
    <w:p>
      <w:pPr>
        <w:numPr>
          <w:ilvl w:val="0"/>
          <w:numId w:val="1003"/>
        </w:numPr>
      </w:pPr>
      <w:r>
        <w:rPr>
          <w:bCs/>
          <w:b/>
        </w:rPr>
        <w:t xml:space="preserve">We may need to notify stakeholders</w:t>
      </w:r>
      <w:r>
        <w:t xml:space="preserve"> — The Wilmette Hockey Association and Winnetka Hockey Club, as bond guarantors and majority revenue sources, have a legitimate interest in NSIA’s governance and compliance.</w:t>
      </w:r>
    </w:p>
    <w:p>
      <w:pPr>
        <w:pStyle w:val="FirstParagraph"/>
      </w:pPr>
      <w:r>
        <w:t xml:space="preserve">None of these outcomes serve anyone’s interests. We would prefer to resolve this cooperatively.</w:t>
      </w:r>
    </w:p>
    <w:p>
      <w:r>
        <w:pict>
          <v:rect style="width:0;height:1.5pt" o:hralign="center" o:hrstd="t" o:hr="t"/>
        </w:pict>
      </w:r>
    </w:p>
    <w:bookmarkEnd w:id="33"/>
    <w:bookmarkStart w:id="40" w:name="Xe266caeceb61a1ab734a71b212ff527541f440d"/>
    <w:p>
      <w:pPr>
        <w:pStyle w:val="Heading2"/>
      </w:pPr>
      <w:r>
        <w:t xml:space="preserve">VII. Questions Regarding Form 990 Preparation</w:t>
      </w:r>
    </w:p>
    <w:p>
      <w:pPr>
        <w:pStyle w:val="FirstParagraph"/>
      </w:pPr>
      <w:r>
        <w:t xml:space="preserve">In reviewing NSIA’s Form 990 filings, the Board has identified several areas that require explanation. We request written responses to the following questions:</w:t>
      </w:r>
    </w:p>
    <w:bookmarkStart w:id="34" w:name="X2d9bdfba92d90e505dbe3bfb5ba93c7f74c565d"/>
    <w:p>
      <w:pPr>
        <w:pStyle w:val="Heading3"/>
      </w:pPr>
      <w:r>
        <w:t xml:space="preserve">A. Part VII, Section B — Independent Contractor Disclosure</w:t>
      </w:r>
    </w:p>
    <w:p>
      <w:pPr>
        <w:numPr>
          <w:ilvl w:val="0"/>
          <w:numId w:val="1004"/>
        </w:numPr>
      </w:pPr>
      <w:r>
        <w:t xml:space="preserve">Who prepared or provided the information for Part VII, Section B (Five highest compensated independent contractors)?</w:t>
      </w:r>
    </w:p>
    <w:p>
      <w:pPr>
        <w:numPr>
          <w:ilvl w:val="0"/>
          <w:numId w:val="1004"/>
        </w:numPr>
      </w:pPr>
      <w:r>
        <w:t xml:space="preserve">What analysis was performed to identify contractors receiving more than $100,000?</w:t>
      </w:r>
    </w:p>
    <w:p>
      <w:pPr>
        <w:numPr>
          <w:ilvl w:val="0"/>
          <w:numId w:val="1004"/>
        </w:numPr>
      </w:pPr>
      <w:r>
        <w:t xml:space="preserve">Please provide the list of all contractors considered and the amounts paid to each.</w:t>
      </w:r>
    </w:p>
    <w:p>
      <w:pPr>
        <w:numPr>
          <w:ilvl w:val="0"/>
          <w:numId w:val="1004"/>
        </w:numPr>
      </w:pPr>
      <w:r>
        <w:t xml:space="preserve">Why is Club Sports Consulting Group not listed, given that total payments appear to exceed $400,000?</w:t>
      </w:r>
    </w:p>
    <w:p>
      <w:pPr>
        <w:numPr>
          <w:ilvl w:val="0"/>
          <w:numId w:val="1004"/>
        </w:numPr>
      </w:pPr>
      <w:r>
        <w:t xml:space="preserve">Why is Club Sports Management Group not listed?</w:t>
      </w:r>
    </w:p>
    <w:p>
      <w:pPr>
        <w:numPr>
          <w:ilvl w:val="0"/>
          <w:numId w:val="1004"/>
        </w:numPr>
      </w:pPr>
      <w:r>
        <w:t xml:space="preserve">If payments to CSCG and CSMG were considered separately, please explain the legal basis for not aggregating payments to related entities under common control.</w:t>
      </w:r>
    </w:p>
    <w:bookmarkEnd w:id="34"/>
    <w:bookmarkStart w:id="35" w:name="Xe8499cdeb1441a46c49782f155e1272ad08dc89"/>
    <w:p>
      <w:pPr>
        <w:pStyle w:val="Heading3"/>
      </w:pPr>
      <w:r>
        <w:t xml:space="preserve">B. Part VII, Section A — Officers, Directors, and Key Employees</w:t>
      </w:r>
    </w:p>
    <w:p>
      <w:pPr>
        <w:numPr>
          <w:ilvl w:val="0"/>
          <w:numId w:val="1005"/>
        </w:numPr>
        <w:pStyle w:val="Compact"/>
      </w:pPr>
      <w:r>
        <w:t>Don LaPato is listed as “Manager” with $0 in reportable compensation. Please confirm:</w:t>
      </w:r>
    </w:p>
    <w:p>
      <w:pPr>
        <w:numPr>
          <w:ilvl w:val="1"/>
          <w:numId w:val="1006"/>
        </w:numPr>
        <w:pStyle w:val="Compact"/>
      </w:pPr>
      <w:r>
        <w:t xml:space="preserve">Does Don receive any compensation from NSIA directly?</w:t>
      </w:r>
    </w:p>
    <w:p>
      <w:pPr>
        <w:numPr>
          <w:ilvl w:val="1"/>
          <w:numId w:val="1006"/>
        </w:numPr>
        <w:pStyle w:val="Compact"/>
      </w:pPr>
      <w:r>
        <w:t xml:space="preserve">Does Don receive any compensation from CSCG or CSMG that is attributable to the NSIA contract?</w:t>
      </w:r>
    </w:p>
    <w:p>
      <w:pPr>
        <w:numPr>
          <w:ilvl w:val="1"/>
          <w:numId w:val="1006"/>
        </w:numPr>
        <w:pStyle w:val="Compact"/>
      </w:pPr>
      <w:r>
        <w:t xml:space="preserve">If Don receives compensation through CSCG/CSMG for NSIA-related work, should this be reported as indirect compensation?</w:t>
      </w:r>
    </w:p>
    <w:p>
      <w:pPr>
        <w:numPr>
          <w:ilvl w:val="0"/>
          <w:numId w:val="1005"/>
        </w:numPr>
        <w:pStyle w:val="Compact"/>
      </w:pPr>
      <w:r>
        <w:t>Mike LaPato serves as Operations Manager. Was consideration given to listing Mike as a “key employee” in Part VII, Section A? If not, why not?</w:t>
      </w:r>
    </w:p>
    <w:bookmarkEnd w:id="35"/>
    <w:bookmarkStart w:id="36" w:name="Xbf895d4e0afa4ef5d0ef6affb96f077b29f133f"/>
    <w:p>
      <w:pPr>
        <w:pStyle w:val="Heading3"/>
      </w:pPr>
      <w:r>
        <w:t xml:space="preserve">C. Schedule L — Transactions with Interested Persons</w:t>
      </w:r>
    </w:p>
    <w:p>
      <w:pPr>
        <w:numPr>
          <w:ilvl w:val="0"/>
          <w:numId w:val="1007"/>
        </w:numPr>
      </w:pPr>
      <w:r>
        <w:t xml:space="preserve">Who determined that Schedule L was not required to be filed?</w:t>
      </w:r>
    </w:p>
    <w:p>
      <w:pPr>
        <w:numPr>
          <w:ilvl w:val="0"/>
          <w:numId w:val="1007"/>
        </w:numPr>
      </w:pPr>
      <w:r>
        <w:t xml:space="preserve">What analysis was performed regarding transactions with interested persons?</w:t>
      </w:r>
    </w:p>
    <w:p>
      <w:pPr>
        <w:numPr>
          <w:ilvl w:val="0"/>
          <w:numId w:val="1007"/>
        </w:numPr>
      </w:pPr>
      <w:r>
        <w:t xml:space="preserve">Given that:</w:t>
      </w:r>
    </w:p>
    <w:p>
      <w:pPr>
        <w:numPr>
          <w:ilvl w:val="1"/>
          <w:numId w:val="1008"/>
        </w:numPr>
        <w:pStyle w:val="Compact"/>
      </w:pPr>
      <w:r>
        <w:t xml:space="preserve">Don LaPato is listed as an officer/manager of NSIA</w:t>
      </w:r>
    </w:p>
    <w:p>
      <w:pPr>
        <w:numPr>
          <w:ilvl w:val="1"/>
          <w:numId w:val="1008"/>
        </w:numPr>
        <w:pStyle w:val="Compact"/>
      </w:pPr>
      <w:r>
        <w:t xml:space="preserve">Don LaPato owns or controls CSCG and CSMG</w:t>
      </w:r>
    </w:p>
    <w:p>
      <w:pPr>
        <w:numPr>
          <w:ilvl w:val="1"/>
          <w:numId w:val="1008"/>
        </w:numPr>
        <w:pStyle w:val="Compact"/>
      </w:pPr>
      <w:r>
        <w:t xml:space="preserve">NSIA pays CSCG/CSMG over $400,000 annually</w:t>
      </w:r>
    </w:p>
    <w:p>
      <w:pPr>
        <w:numPr>
          <w:ilvl w:val="1"/>
          <w:numId w:val="1008"/>
        </w:numPr>
        <w:pStyle w:val="Compact"/>
      </w:pPr>
      <w:r>
        <w:t xml:space="preserve">Mike LaPato (Don’s son) receives compensation from this arrangement</w:t>
      </w:r>
    </w:p>
    <w:p>
      <w:pPr>
        <w:numPr>
          <w:ilvl w:val="0"/>
          <w:numId w:val="1000"/>
        </w:numPr>
      </w:pPr>
      <w:r>
        <w:t xml:space="preserve">Please explain why this does not constitute a business transaction with an interested person requiring Schedule L disclosure.</w:t>
      </w:r>
    </w:p>
    <w:p>
      <w:pPr>
        <w:numPr>
          <w:ilvl w:val="0"/>
          <w:numId w:val="1007"/>
        </w:numPr>
      </w:pPr>
      <w:r>
        <w:t xml:space="preserve">Has NSIA ever filed Schedule L? If not, please explain why related party transactions have never required disclosure.</w:t>
      </w:r>
    </w:p>
    <w:bookmarkEnd w:id="36"/>
    <w:bookmarkStart w:id="37" w:name="d.-schedule-o-supplemental-information"/>
    <w:p>
      <w:pPr>
        <w:pStyle w:val="Heading3"/>
      </w:pPr>
      <w:r>
        <w:t xml:space="preserve">D. Schedule O — Supplemental Information</w:t>
      </w:r>
    </w:p>
    <w:p>
      <w:pPr>
        <w:numPr>
          <w:ilvl w:val="0"/>
          <w:numId w:val="1009"/>
        </w:numPr>
      </w:pPr>
      <w:r>
        <w:t xml:space="preserve">Does Schedule O contain any explanation of the CSCG/CSMG management arrangement?</w:t>
      </w:r>
    </w:p>
    <w:p>
      <w:pPr>
        <w:numPr>
          <w:ilvl w:val="0"/>
          <w:numId w:val="1009"/>
        </w:numPr>
      </w:pPr>
      <w:r>
        <w:t xml:space="preserve">Does Schedule O disclose the conflict of interest arising from Don LaPato’s dual role as NSIA Manager and CSCG/CSMG principal?</w:t>
      </w:r>
    </w:p>
    <w:bookmarkEnd w:id="37"/>
    <w:bookmarkStart w:id="38" w:name="e.-form-990-accuracy-generally"/>
    <w:p>
      <w:pPr>
        <w:pStyle w:val="Heading3"/>
      </w:pPr>
      <w:r>
        <w:t xml:space="preserve">E. Form 990 Accuracy Generally</w:t>
      </w:r>
    </w:p>
    <w:p>
      <w:pPr>
        <w:numPr>
          <w:ilvl w:val="0"/>
          <w:numId w:val="1010"/>
        </w:numPr>
      </w:pPr>
      <w:r>
        <w:t xml:space="preserve">Who is responsible for ensuring the accuracy and completeness of NSIA’s Form 990 filings?</w:t>
      </w:r>
    </w:p>
    <w:p>
      <w:pPr>
        <w:numPr>
          <w:ilvl w:val="0"/>
          <w:numId w:val="1010"/>
        </w:numPr>
      </w:pPr>
      <w:r>
        <w:t xml:space="preserve">What documentation exists to support the determinations made in each section?</w:t>
      </w:r>
    </w:p>
    <w:p>
      <w:pPr>
        <w:numPr>
          <w:ilvl w:val="0"/>
          <w:numId w:val="1010"/>
        </w:numPr>
      </w:pPr>
      <w:r>
        <w:t xml:space="preserve">Has NSIA’s Form 990 ever been reviewed by an independent tax professional (separate from the auditor)?</w:t>
      </w:r>
    </w:p>
    <w:p>
      <w:pPr>
        <w:numPr>
          <w:ilvl w:val="0"/>
          <w:numId w:val="1010"/>
        </w:numPr>
      </w:pPr>
      <w:r>
        <w:t xml:space="preserve">Given the concerns raised in this letter, does CSCG/CSMG believe NSIA’s prior Form 990 filings are accurate and complete? If any corrections are needed, please identify them.</w:t>
      </w:r>
    </w:p>
    <w:bookmarkEnd w:id="38"/>
    <w:bookmarkStart w:id="39" w:name="X89966e0d715c8a73788d0e0543336e328cc3fda"/>
    <w:p>
      <w:pPr>
        <w:pStyle w:val="Heading3"/>
      </w:pPr>
      <w:r>
        <w:t xml:space="preserve">F. Compensation Approval Process and Reasonableness</w:t>
      </w:r>
    </w:p>
    <w:p>
      <w:pPr>
        <w:pStyle w:val="FirstParagraph"/>
      </w:pPr>
      <w:r>
        <w:t>As you are aware, the IRS requires that compensation paid by a 501(c)(3) organization be “reasonable” — meaning comparable to what similar organizations pay for similar services. The IRS also prohibits “excess benefit transactions” with disqualified persons, which include family members of officers and directors. Given that Mike LaPato is the son of Don LaPato (who is listed as NSIA’s Manager), compensation paid to Mike from NSIA funds is subject to these requirements.</w:t>
      </w:r>
    </w:p>
    <w:p>
      <w:pPr>
        <w:numPr>
          <w:ilvl w:val="0"/>
          <w:numId w:val="1011"/>
        </w:numPr>
      </w:pPr>
      <w:r>
        <w:t xml:space="preserve">Has NSIA’s Board ever reviewed or approved Mike LaPato’s compensation, including base salary and any bonuses or incentive compensation?</w:t>
      </w:r>
    </w:p>
    <w:p>
      <w:pPr>
        <w:numPr>
          <w:ilvl w:val="0"/>
          <w:numId w:val="1011"/>
        </w:numPr>
      </w:pPr>
      <w:r>
        <w:t xml:space="preserve">What comparability data, if any, was used to establish that Mike LaPato’s total compensation is reasonable for his position as Operations Manager?</w:t>
      </w:r>
    </w:p>
    <w:p>
      <w:pPr>
        <w:numPr>
          <w:ilvl w:val="0"/>
          <w:numId w:val="1011"/>
        </w:numPr>
      </w:pPr>
      <w:r>
        <w:t>Does CSCG/CSMG have a process for ensuring that compensation paid to related parties (such as Mike LaPato) from NSIA funds meets the IRS “reasonableness” standard and is properly documented?</w:t>
      </w:r>
    </w:p>
    <w:p>
      <w:pPr>
        <w:numPr>
          <w:ilvl w:val="0"/>
          <w:numId w:val="1011"/>
        </w:numPr>
      </w:pPr>
      <w:r>
        <w:t xml:space="preserve">Has Mike LaPato received any bonuses, incentive compensation, or other payments beyond base salary that were paid from NSIA funds? If so:</w:t>
      </w:r>
    </w:p>
    <w:p>
      <w:pPr>
        <w:numPr>
          <w:ilvl w:val="1"/>
          <w:numId w:val="1012"/>
        </w:numPr>
        <w:pStyle w:val="Compact"/>
      </w:pPr>
      <w:r>
        <w:t xml:space="preserve">What was the amount of each such payment?</w:t>
      </w:r>
    </w:p>
    <w:p>
      <w:pPr>
        <w:numPr>
          <w:ilvl w:val="1"/>
          <w:numId w:val="1012"/>
        </w:numPr>
        <w:pStyle w:val="Compact"/>
      </w:pPr>
      <w:r>
        <w:t xml:space="preserve">What was the basis or justification for each payment?</w:t>
      </w:r>
    </w:p>
    <w:p>
      <w:pPr>
        <w:numPr>
          <w:ilvl w:val="1"/>
          <w:numId w:val="1012"/>
        </w:numPr>
        <w:pStyle w:val="Compact"/>
      </w:pPr>
      <w:r>
        <w:t xml:space="preserve">Who approved each payment?</w:t>
      </w:r>
    </w:p>
    <w:p>
      <w:pPr>
        <w:numPr>
          <w:ilvl w:val="1"/>
          <w:numId w:val="1012"/>
        </w:numPr>
        <w:pStyle w:val="Compact"/>
      </w:pPr>
      <w:r>
        <w:t xml:space="preserve">Was the Board informed?</w:t>
      </w:r>
    </w:p>
    <w:p>
      <w:pPr>
        <w:numPr>
          <w:ilvl w:val="0"/>
          <w:numId w:val="1011"/>
        </w:numPr>
      </w:pPr>
      <w:r>
        <w:t xml:space="preserve">Has Don LaPato received any bonuses, incentive compensation, profit distributions, or other payments from CSCG/CSMG that are attributable to the NSIA contract? If so, please provide the same information as requested in Question 22.</w:t>
      </w:r>
    </w:p>
    <w:p>
      <w:pPr>
        <w:numPr>
          <w:ilvl w:val="0"/>
          <w:numId w:val="1011"/>
        </w:numPr>
      </w:pPr>
      <w:r>
        <w:t>Is NSIA aware that the IRS provides a “rebuttable presumption of reasonableness” safe harbor for compensation that is: (a) approved by independent Board members, (b) based on comparability data, and (c) documented concurrently? Has NSIA ever followed this process for compensation paid to related parties?</w:t>
      </w:r>
    </w:p>
    <w:p>
      <w:pPr>
        <w:numPr>
          <w:ilvl w:val="0"/>
          <w:numId w:val="1011"/>
        </w:numPr>
      </w:pPr>
      <w:r>
        <w:t xml:space="preserve">Given the related party nature of the CSCG/CSMG arrangement, what controls exist to ensure that NSIA funds are not used to provide excess benefits to disqualified persons?</w:t>
      </w:r>
    </w:p>
    <w:p>
      <w:r>
        <w:pict>
          <v:rect style="width:0;height:1.5pt" o:hralign="center" o:hrstd="t" o:hr="t"/>
        </w:pict>
      </w:r>
    </w:p>
    <w:bookmarkEnd w:id="39"/>
    <w:bookmarkEnd w:id="40"/>
    <w:bookmarkStart w:id="41" w:name="viii.-specific-requests"/>
    <w:p>
      <w:pPr>
        <w:pStyle w:val="Heading2"/>
      </w:pPr>
      <w:r>
        <w:t xml:space="preserve">VIII. Specific Requests</w:t>
      </w:r>
    </w:p>
    <w:p>
      <w:pPr>
        <w:pStyle w:val="FirstParagraph"/>
      </w:pPr>
      <w:r>
        <w:t xml:space="preserve">We ask that you reconsider the refusal to provide information and respond to the following by </w:t>
      </w:r>
      <w:r>
        <w:rPr>
          <w:bCs/>
          <w:b/>
        </w:rPr>
        <w:t xml:space="preserve">February 14, 2026</w:t>
      </w:r>
      <w:r>
        <w:t xml:space="preserve">:</w:t>
      </w:r>
    </w:p>
    <w:p>
      <w:pPr>
        <w:numPr>
          <w:ilvl w:val="0"/>
          <w:numId w:val="1013"/>
        </w:numPr>
      </w:pPr>
      <w:r>
        <w:rPr>
          <w:bCs/>
          <w:b/>
        </w:rPr>
        <w:t xml:space="preserve">Total amount paid by NSIA to Club Sports Consulting Group in FY2025</w:t>
      </w:r>
      <w:r>
        <w:t xml:space="preserve">, broken down by:</w:t>
      </w:r>
    </w:p>
    <w:p>
      <w:pPr>
        <w:numPr>
          <w:ilvl w:val="1"/>
          <w:numId w:val="1014"/>
        </w:numPr>
        <w:pStyle w:val="Compact"/>
      </w:pPr>
      <w:r>
        <w:t xml:space="preserve">Management fees</w:t>
      </w:r>
    </w:p>
    <w:p>
      <w:pPr>
        <w:numPr>
          <w:ilvl w:val="1"/>
          <w:numId w:val="1014"/>
        </w:numPr>
        <w:pStyle w:val="Compact"/>
      </w:pPr>
      <w:r>
        <w:t xml:space="preserve">Staffing/payroll services</w:t>
      </w:r>
    </w:p>
    <w:p>
      <w:pPr>
        <w:numPr>
          <w:ilvl w:val="1"/>
          <w:numId w:val="1014"/>
        </w:numPr>
        <w:pStyle w:val="Compact"/>
      </w:pPr>
      <w:r>
        <w:t xml:space="preserve">Other (specify)</w:t>
      </w:r>
    </w:p>
    <w:p>
      <w:pPr>
        <w:numPr>
          <w:ilvl w:val="0"/>
          <w:numId w:val="1013"/>
        </w:numPr>
      </w:pPr>
      <w:r>
        <w:rPr>
          <w:bCs/>
          <w:b/>
        </w:rPr>
        <w:t xml:space="preserve">Total amount paid by NSIA to Club Sports Management Group in FY2025</w:t>
      </w:r>
      <w:r>
        <w:t xml:space="preserve">, broken down by the same categories.</w:t>
      </w:r>
    </w:p>
    <w:p>
      <w:pPr>
        <w:numPr>
          <w:ilvl w:val="0"/>
          <w:numId w:val="1013"/>
        </w:numPr>
      </w:pPr>
      <w:r>
        <w:rPr>
          <w:bCs/>
          <w:b/>
        </w:rPr>
        <w:t xml:space="preserve">Confirmation of which entity</w:t>
      </w:r>
      <w:r>
        <w:t xml:space="preserve"> (CSCG or CSMG) is the employer of record for rink staff.</w:t>
      </w:r>
    </w:p>
    <w:p>
      <w:pPr>
        <w:numPr>
          <w:ilvl w:val="0"/>
          <w:numId w:val="1013"/>
        </w:numPr>
      </w:pPr>
      <w:r>
        <w:rPr>
          <w:bCs/>
          <w:b/>
        </w:rPr>
        <w:t xml:space="preserve">If you maintain that this information cannot be disclosed</w:t>
      </w:r>
      <w:r>
        <w:t xml:space="preserve">, please identify the specific legal authority (statute, regulation, or contractual provision) that prohibits a contractor from disclosing aggregate payments received from a client, and explain how such authority supersedes:</w:t>
      </w:r>
    </w:p>
    <w:p>
      <w:pPr>
        <w:numPr>
          <w:ilvl w:val="1"/>
          <w:numId w:val="1015"/>
        </w:numPr>
        <w:pStyle w:val="Compact"/>
      </w:pPr>
      <w:r>
        <w:t xml:space="preserve">NSIA’s express contractual right to inspect all financial records under Article 7.3 of the Management Agreement</w:t>
      </w:r>
    </w:p>
    <w:p>
      <w:pPr>
        <w:numPr>
          <w:ilvl w:val="1"/>
          <w:numId w:val="1015"/>
        </w:numPr>
        <w:pStyle w:val="Compact"/>
      </w:pPr>
      <w:r>
        <w:t xml:space="preserve">NSIA’s right to receive the general ledger under Article 7.1</w:t>
      </w:r>
    </w:p>
    <w:p>
      <w:pPr>
        <w:numPr>
          <w:ilvl w:val="1"/>
          <w:numId w:val="1015"/>
        </w:numPr>
        <w:pStyle w:val="Compact"/>
      </w:pPr>
      <w:r>
        <w:t xml:space="preserve">The Board’s fiduciary duty to oversee organizational expenditures</w:t>
      </w:r>
    </w:p>
    <w:p>
      <w:pPr>
        <w:numPr>
          <w:ilvl w:val="1"/>
          <w:numId w:val="1015"/>
        </w:numPr>
        <w:pStyle w:val="Compact"/>
      </w:pPr>
      <w:r>
        <w:t xml:space="preserve">NSIA’s obligation to accurately complete IRS Form 990</w:t>
      </w:r>
    </w:p>
    <w:p>
      <w:pPr>
        <w:numPr>
          <w:ilvl w:val="0"/>
          <w:numId w:val="1013"/>
        </w:numPr>
      </w:pPr>
      <w:r>
        <w:rPr>
          <w:bCs/>
          <w:b/>
        </w:rPr>
        <w:t xml:space="preserve">Confirmation that CSCG has not entered into any contracts exceeding $3,500 without prior Board approval</w:t>
      </w:r>
      <w:r>
        <w:t xml:space="preserve">, as required by Article 8.1(B) of the Management Agreement.</w:t>
      </w:r>
    </w:p>
    <w:p>
      <w:r>
        <w:pict>
          <v:rect style="width:0;height:1.5pt" o:hralign="center" o:hrstd="t" o:hr="t"/>
        </w:pict>
      </w:r>
    </w:p>
    <w:bookmarkEnd w:id="41"/>
    <w:bookmarkStart w:id="42" w:name="ix.-our-intent"/>
    <w:p>
      <w:pPr>
        <w:pStyle w:val="Heading2"/>
      </w:pPr>
      <w:r>
        <w:t xml:space="preserve">IX. Our Intent</w:t>
      </w:r>
    </w:p>
    <w:p>
      <w:pPr>
        <w:pStyle w:val="FirstParagraph"/>
      </w:pPr>
      <w:r>
        <w:t xml:space="preserve">We want to be clear about the Board’s intent:</w:t>
      </w:r>
    </w:p>
    <w:p>
      <w:pPr>
        <w:numPr>
          <w:ilvl w:val="0"/>
          <w:numId w:val="1016"/>
        </w:numPr>
      </w:pPr>
      <w:r>
        <w:rPr>
          <w:bCs/>
          <w:b/>
        </w:rPr>
        <w:t xml:space="preserve">We are not accusing anyone of wrongdoing.</w:t>
      </w:r>
      <w:r>
        <w:t xml:space="preserve"> We are asking for documentation.</w:t>
      </w:r>
    </w:p>
    <w:p>
      <w:pPr>
        <w:numPr>
          <w:ilvl w:val="0"/>
          <w:numId w:val="1016"/>
        </w:numPr>
      </w:pPr>
      <w:r>
        <w:rPr>
          <w:bCs/>
          <w:b/>
        </w:rPr>
        <w:t xml:space="preserve">We are not seeking to terminate the CSCG relationship.</w:t>
      </w:r>
      <w:r>
        <w:t xml:space="preserve"> We are seeking to ensure it is properly documented and disclosed.</w:t>
      </w:r>
    </w:p>
    <w:p>
      <w:pPr>
        <w:numPr>
          <w:ilvl w:val="0"/>
          <w:numId w:val="1016"/>
        </w:numPr>
      </w:pPr>
      <w:r>
        <w:rPr>
          <w:bCs/>
          <w:b/>
        </w:rPr>
        <w:t xml:space="preserve">We are not asking for confidential employee data.</w:t>
      </w:r>
      <w:r>
        <w:t xml:space="preserve"> We are asking for NSIA’s own payment records.</w:t>
      </w:r>
    </w:p>
    <w:p>
      <w:pPr>
        <w:numPr>
          <w:ilvl w:val="0"/>
          <w:numId w:val="1016"/>
        </w:numPr>
      </w:pPr>
      <w:r>
        <w:rPr>
          <w:bCs/>
          <w:b/>
        </w:rPr>
        <w:t xml:space="preserve">We are fulfilling our legal obligations.</w:t>
      </w:r>
      <w:r>
        <w:t xml:space="preserve"> The Board cannot delegate its fiduciary duty or its responsibility for accurate tax filings.</w:t>
      </w:r>
    </w:p>
    <w:p>
      <w:pPr>
        <w:pStyle w:val="FirstParagraph"/>
      </w:pPr>
      <w:r>
        <w:t xml:space="preserve">Don has been instrumental to NSIA since its founding. The Board recognizes and appreciates that history. But the Board also has obligations that exist independent of any individual — obligations to the IRS, to our Member organizations, and to the standards that govern nonprofit corporations.</w:t>
      </w:r>
    </w:p>
    <w:p>
      <w:pPr>
        <w:pStyle w:val="BodyText"/>
      </w:pPr>
      <w:r>
        <w:t xml:space="preserve">We hope this letter clarifies why we are asking for this information and why we believe it should be provided. We remain open to discussing this matter further and to finding a path forward that serves everyone’s interests.</w:t>
      </w:r>
    </w:p>
    <w:p>
      <w:r>
        <w:pict>
          <v:rect style="width:0;height:1.5pt" o:hralign="center" o:hrstd="t" o:hr="t"/>
        </w:pict>
      </w:r>
    </w:p>
    <w:p>
      <w:pPr>
        <w:pStyle w:val="FirstParagraph"/>
      </w:pPr>
      <w:r>
        <w:t xml:space="preserve">Respectfully,</w:t>
      </w:r>
    </w:p>
    <w:p>
      <w:r>
        <w:pict>
          <v:rect style="width:0;height:1.5pt" o:hralign="center" o:hrstd="t" o:hr="t"/>
        </w:pict>
      </w:r>
    </w:p>
    <w:p>
      <w:pPr>
        <w:pStyle w:val="FirstParagraph"/>
      </w:pPr>
      <w:r>
        <w:t xml:space="preserve">Pete [Last Name]</w:t>
        <w:br/>
        <w:t xml:space="preserve">Board President</w:t>
        <w:br/>
        <w:t xml:space="preserve">North Shore Ice Arena</w:t>
      </w:r>
    </w:p>
    <w:p>
      <w:r>
        <w:pict>
          <v:rect style="width:0;height:1.5pt" o:hralign="center" o:hrstd="t" o:hr="t"/>
        </w:pict>
      </w:r>
    </w:p>
    <w:p>
      <w:pPr>
        <w:pStyle w:val="FirstParagraph"/>
      </w:pPr>
      <w:r>
        <w:rPr>
          <w:bCs/>
          <w:b/>
        </w:rPr>
        <w:t xml:space="preserve">cc:</w:t>
      </w:r>
      <w:r>
        <w:br/>
        <w:t xml:space="preserve">NSIA Board of Directors</w:t>
        <w:br/>
        <w:t xml:space="preserve">[NSIA Legal Counsel, if retained]</w:t>
      </w:r>
    </w:p>
    <w:p>
      <w:r>
        <w:pict>
          <v:rect style="width:0;height:1.5pt" o:hralign="center" o:hrstd="t" o:hr="t"/>
        </w:pict>
      </w:r>
    </w:p>
    <w:bookmarkEnd w:id="42"/>
    <w:bookmarkStart w:id="43" w:name="enclosures"/>
    <w:p>
      <w:pPr>
        <w:pStyle w:val="Heading2"/>
      </w:pPr>
      <w:r>
        <w:t xml:space="preserve">Enclosures</w:t>
      </w:r>
    </w:p>
    <w:p>
      <w:pPr>
        <w:numPr>
          <w:ilvl w:val="0"/>
          <w:numId w:val="1017"/>
        </w:numPr>
        <w:pStyle w:val="Compact"/>
      </w:pPr>
      <w:r>
        <w:t xml:space="preserve">Summary of IRS Form 990 Disclosure Requirements</w:t>
      </w:r>
    </w:p>
    <w:p>
      <w:pPr>
        <w:numPr>
          <w:ilvl w:val="0"/>
          <w:numId w:val="1017"/>
        </w:numPr>
        <w:pStyle w:val="Compact"/>
      </w:pPr>
      <w:r>
        <w:t xml:space="preserve">NSIA’s Previous Records Request (dated [date])</w:t>
      </w:r>
    </w:p>
    <w:p>
      <w:pPr>
        <w:numPr>
          <w:ilvl w:val="0"/>
          <w:numId w:val="1017"/>
        </w:numPr>
        <w:pStyle w:val="Compact"/>
      </w:pPr>
      <w:r>
        <w:t xml:space="preserve">Professional Management Services Agreement (December 1, 2007) — relevant excerpts</w:t>
      </w:r>
    </w:p>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6">
    <w:abstractNumId w:val="991"/>
  </w:num>
  <w:num w:numId="1007">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8">
    <w:abstractNumId w:val="991"/>
  </w:num>
  <w:num w:numId="1009">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0">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1">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2026-01-30T17:47:12Z</dcterms:created>
  <dcterms:modified xsi:type="dcterms:W3CDTF">2026-01-30T17:47:12Z</dcterms:modified>
</cp:coreProperties>
</file>

<file path=docProps/custom.xml><?xml version="1.0" encoding="utf-8"?>
<Properties xmlns="http://schemas.openxmlformats.org/officeDocument/2006/custom-properties" xmlns:vt="http://schemas.openxmlformats.org/officeDocument/2006/docPropsVTypes"/>
</file>