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b9a651c735e09c673278bd338dbbe7b7fff20a"/>
    <w:p>
      <w:pPr>
        <w:pStyle w:val="Heading1"/>
      </w:pPr>
      <w:r>
        <w:t xml:space="preserve">NSIA — CSCG Management Agreement Disclosure Language</w:t>
      </w:r>
    </w:p>
    <w:p>
      <w:pPr>
        <w:pStyle w:val="FirstParagraph"/>
      </w:pPr>
      <w:r>
        <w:rPr>
          <w:bCs/>
          <w:b/>
        </w:rPr>
        <w:t xml:space="preserve">Prepared for:</w:t>
      </w:r>
      <w:r>
        <w:t xml:space="preserve"> </w:t>
      </w:r>
      <w:r>
        <w:t xml:space="preserve">North Shore Ice Arena, LLC Board of Directors</w:t>
      </w:r>
      <w:r>
        <w:br/>
      </w:r>
      <w:r>
        <w:rPr>
          <w:bCs/>
          <w:b/>
        </w:rPr>
        <w:t xml:space="preserve">Date:</w:t>
      </w:r>
      <w:r>
        <w:t xml:space="preserve"> </w:t>
      </w:r>
      <w:r>
        <w:t xml:space="preserve">February 2, 2026</w:t>
      </w:r>
      <w:r>
        <w:br/>
      </w:r>
      <w:r>
        <w:rPr>
          <w:bCs/>
          <w:b/>
        </w:rPr>
        <w:t xml:space="preserve">Re:</w:t>
      </w:r>
      <w:r>
        <w:t xml:space="preserve"> </w:t>
      </w:r>
      <w:r>
        <w:t xml:space="preserve">Proposed disclosure language for audited financial statements and Form 990</w:t>
      </w:r>
    </w:p>
    <w:p>
      <w:r>
        <w:pict>
          <v:rect style="width:0;height:1.5pt" o:hralign="center" o:hrstd="t" o:hr="t"/>
        </w:pict>
      </w:r>
    </w:p>
    <w:bookmarkStart w:id="20" w:name="background"/>
    <w:p>
      <w:pPr>
        <w:pStyle w:val="Heading2"/>
      </w:pPr>
      <w:r>
        <w:t xml:space="preserve">Background</w:t>
      </w:r>
    </w:p>
    <w:p>
      <w:pPr>
        <w:pStyle w:val="FirstParagraph"/>
      </w:pPr>
      <w:r>
        <w:t xml:space="preserve">North Shore Ice Arena, LLC (NSIA) has a Professional Management Services Agreement with Club Sports Consulting Group (CSCG) dated December 1, 2007. Under this agreement, CSCG provides comprehensive operational management of the ice arena facility, including employment of all facility personnel.</w:t>
      </w:r>
    </w:p>
    <w:p>
      <w:pPr>
        <w:pStyle w:val="BodyText"/>
      </w:pPr>
      <w:r>
        <w:t xml:space="preserve">The current audited financial statements disclose only the $42,000 annual management fee on the Statement of Functional Expenses. However, the nature and scope of the CSCG relationship warrants fuller disclosure in both the financial statement notes and Form 990.</w:t>
      </w:r>
    </w:p>
    <w:p>
      <w:pPr>
        <w:pStyle w:val="BodyText"/>
      </w:pPr>
      <w:r>
        <w:rPr>
          <w:bCs/>
          <w:b/>
        </w:rPr>
        <w:t xml:space="preserve">Key facts supporting disclosure: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 (FY2025)</w:t>
            </w:r>
          </w:p>
        </w:tc>
      </w:tr>
      <w:tr>
        <w:tc>
          <w:tcPr/>
          <w:p>
            <w:pPr>
              <w:pStyle w:val="Compact"/>
              <w:jc w:val="left"/>
            </w:pPr>
            <w:r>
              <w:t xml:space="preserve">Management fee</w:t>
            </w:r>
          </w:p>
        </w:tc>
        <w:tc>
          <w:tcPr/>
          <w:p>
            <w:pPr>
              <w:pStyle w:val="Compact"/>
              <w:jc w:val="left"/>
            </w:pPr>
            <w:r>
              <w:t xml:space="preserve">$42,000</w:t>
            </w:r>
          </w:p>
        </w:tc>
      </w:tr>
      <w:tr>
        <w:tc>
          <w:tcPr/>
          <w:p>
            <w:pPr>
              <w:pStyle w:val="Compact"/>
              <w:jc w:val="left"/>
            </w:pPr>
            <w:r>
              <w:t xml:space="preserve">Staffing cost reimbursement (CSCG employees)</w:t>
            </w:r>
          </w:p>
        </w:tc>
        <w:tc>
          <w:tcPr/>
          <w:p>
            <w:pPr>
              <w:pStyle w:val="Compact"/>
              <w:jc w:val="left"/>
            </w:pPr>
            <w:r>
              <w:t xml:space="preserve">$381,840</w:t>
            </w:r>
          </w:p>
        </w:tc>
      </w:tr>
      <w:tr>
        <w:tc>
          <w:tcPr/>
          <w:p>
            <w:pPr>
              <w:pStyle w:val="Compact"/>
              <w:jc w:val="left"/>
            </w:pPr>
            <w:r>
              <w:rPr>
                <w:bCs/>
                <w:b/>
              </w:rPr>
              <w:t xml:space="preserve">Total CSCG relationship</w:t>
            </w:r>
          </w:p>
        </w:tc>
        <w:tc>
          <w:tcPr/>
          <w:p>
            <w:pPr>
              <w:pStyle w:val="Compact"/>
              <w:jc w:val="left"/>
            </w:pPr>
            <w:r>
              <w:rPr>
                <w:bCs/>
                <w:b/>
              </w:rPr>
              <w:t xml:space="preserve">$423,840</w:t>
            </w:r>
          </w:p>
        </w:tc>
      </w:tr>
    </w:tbl>
    <w:p>
      <w:pPr>
        <w:pStyle w:val="BodyText"/>
      </w:pPr>
      <w:r>
        <w:t xml:space="preserve">CSCG employees include rink managers, operations staff, and front desk personnel. NSIA has no direct employees at the facility.</w:t>
      </w:r>
    </w:p>
    <w:p>
      <w:r>
        <w:pict>
          <v:rect style="width:0;height:1.5pt" o:hralign="center" o:hrstd="t" o:hr="t"/>
        </w:pict>
      </w:r>
    </w:p>
    <w:bookmarkEnd w:id="20"/>
    <w:bookmarkStart w:id="22" w:name="Xac0987151b9c242a2679734ccd5189b68d9b5d4"/>
    <w:p>
      <w:pPr>
        <w:pStyle w:val="Heading2"/>
      </w:pPr>
      <w:r>
        <w:t xml:space="preserve">Part 1: Proposed Note to Financial Statements</w:t>
      </w:r>
    </w:p>
    <w:bookmarkStart w:id="21" w:name="note-xx-management-agreement"/>
    <w:p>
      <w:pPr>
        <w:pStyle w:val="Heading3"/>
      </w:pPr>
      <w:r>
        <w:t xml:space="preserve">NOTE XX — MANAGEMENT AGREEMENT</w:t>
      </w:r>
    </w:p>
    <w:p>
      <w:pPr>
        <w:pStyle w:val="FirstParagraph"/>
      </w:pPr>
      <w:r>
        <w:t xml:space="preserve">The Organization has a professional management services agreement with Club Sports Consulting Group, an Illinois Corporation (CSCG), dated December 1, 2007, for the day-to-day operation of the ice arena facility. The agreement automatically renews annually unless terminated by either party with 90 days written notice.</w:t>
      </w:r>
    </w:p>
    <w:p>
      <w:pPr>
        <w:pStyle w:val="BodyText"/>
      </w:pPr>
      <w:r>
        <w:t xml:space="preserve">Under the agreement, CSCG has complete authority over day-to-day operations, including:</w:t>
      </w:r>
    </w:p>
    <w:p>
      <w:pPr>
        <w:numPr>
          <w:ilvl w:val="0"/>
          <w:numId w:val="1001"/>
        </w:numPr>
        <w:pStyle w:val="Compact"/>
      </w:pPr>
      <w:r>
        <w:t xml:space="preserve">Staffing the facility with CSCG employees, including a full-time manager</w:t>
      </w:r>
    </w:p>
    <w:p>
      <w:pPr>
        <w:numPr>
          <w:ilvl w:val="0"/>
          <w:numId w:val="1001"/>
        </w:numPr>
        <w:pStyle w:val="Compact"/>
      </w:pPr>
      <w:r>
        <w:t xml:space="preserve">Hiring, firing, and supervising all employees and contractors</w:t>
      </w:r>
    </w:p>
    <w:p>
      <w:pPr>
        <w:numPr>
          <w:ilvl w:val="0"/>
          <w:numId w:val="1001"/>
        </w:numPr>
        <w:pStyle w:val="Compact"/>
      </w:pPr>
      <w:r>
        <w:t xml:space="preserve">Collecting all revenues and depositing into the Organization’s accounts</w:t>
      </w:r>
    </w:p>
    <w:p>
      <w:pPr>
        <w:numPr>
          <w:ilvl w:val="0"/>
          <w:numId w:val="1001"/>
        </w:numPr>
        <w:pStyle w:val="Compact"/>
      </w:pPr>
      <w:r>
        <w:t xml:space="preserve">Paying all operating expenses from the Organization’s operating account</w:t>
      </w:r>
    </w:p>
    <w:p>
      <w:pPr>
        <w:numPr>
          <w:ilvl w:val="0"/>
          <w:numId w:val="1001"/>
        </w:numPr>
        <w:pStyle w:val="Compact"/>
      </w:pPr>
      <w:r>
        <w:t xml:space="preserve">Payroll and accounting services</w:t>
      </w:r>
    </w:p>
    <w:p>
      <w:pPr>
        <w:numPr>
          <w:ilvl w:val="0"/>
          <w:numId w:val="1001"/>
        </w:numPr>
        <w:pStyle w:val="Compact"/>
      </w:pPr>
      <w:r>
        <w:t xml:space="preserve">Program development and operations</w:t>
      </w:r>
    </w:p>
    <w:p>
      <w:pPr>
        <w:numPr>
          <w:ilvl w:val="0"/>
          <w:numId w:val="1001"/>
        </w:numPr>
        <w:pStyle w:val="Compact"/>
      </w:pPr>
      <w:r>
        <w:t xml:space="preserve">Maintenance and repairs</w:t>
      </w:r>
    </w:p>
    <w:p>
      <w:pPr>
        <w:numPr>
          <w:ilvl w:val="0"/>
          <w:numId w:val="1001"/>
        </w:numPr>
        <w:pStyle w:val="Compact"/>
      </w:pPr>
      <w:r>
        <w:t xml:space="preserve">Establishing rates and hours of operation</w:t>
      </w:r>
    </w:p>
    <w:p>
      <w:pPr>
        <w:pStyle w:val="FirstParagraph"/>
      </w:pPr>
      <w:r>
        <w:t xml:space="preserve">CSCG is a signatory on the Organization’s operating bank account. CSCG may enter into vendor, service, or occupancy contracts up to one year and purchase contracts up to $3,500 without prior approval from the Organization.</w:t>
      </w:r>
    </w:p>
    <w:p>
      <w:pPr>
        <w:pStyle w:val="BodyText"/>
      </w:pPr>
      <w:r>
        <w:t xml:space="preserve">All personnel employed at the facility are employees of CSCG, not the Organization. The Organization reimburses CSCG for all staffing costs, which are paid from the Organization’s operating account.</w:t>
      </w:r>
    </w:p>
    <w:p>
      <w:pPr>
        <w:pStyle w:val="BodyText"/>
      </w:pPr>
      <w:r>
        <w:t xml:space="preserve">For the year ended June 30, 2025, amounts paid to or through CSCG were as follows: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Management fee</w:t>
            </w:r>
          </w:p>
        </w:tc>
        <w:tc>
          <w:tcPr/>
          <w:p>
            <w:pPr>
              <w:pStyle w:val="Compact"/>
              <w:jc w:val="left"/>
            </w:pPr>
            <w:r>
              <w:t xml:space="preserve">$42,000</w:t>
            </w:r>
          </w:p>
        </w:tc>
      </w:tr>
      <w:tr>
        <w:tc>
          <w:tcPr/>
          <w:p>
            <w:pPr>
              <w:pStyle w:val="Compact"/>
              <w:jc w:val="left"/>
            </w:pPr>
            <w:r>
              <w:t xml:space="preserve">Staffing cost reimbursement (CSCG employees)</w:t>
            </w:r>
          </w:p>
        </w:tc>
        <w:tc>
          <w:tcPr/>
          <w:p>
            <w:pPr>
              <w:pStyle w:val="Compact"/>
              <w:jc w:val="left"/>
            </w:pPr>
            <w:r>
              <w:t xml:space="preserve">$381,840</w:t>
            </w:r>
          </w:p>
        </w:tc>
      </w:tr>
      <w:tr>
        <w:tc>
          <w:tcPr/>
          <w:p>
            <w:pPr>
              <w:pStyle w:val="Compact"/>
              <w:jc w:val="left"/>
            </w:pPr>
            <w:r>
              <w:rPr>
                <w:bCs/>
                <w:b/>
              </w:rPr>
              <w:t xml:space="preserve">Total</w:t>
            </w:r>
          </w:p>
        </w:tc>
        <w:tc>
          <w:tcPr/>
          <w:p>
            <w:pPr>
              <w:pStyle w:val="Compact"/>
              <w:jc w:val="left"/>
            </w:pPr>
            <w:r>
              <w:rPr>
                <w:bCs/>
                <w:b/>
              </w:rPr>
              <w:t xml:space="preserve">$423,840</w:t>
            </w:r>
          </w:p>
        </w:tc>
      </w:tr>
    </w:tbl>
    <w:p>
      <w:pPr>
        <w:pStyle w:val="BodyText"/>
      </w:pPr>
      <w:r>
        <w:t xml:space="preserve">The management fee has remained unchanged at $42,000 annually since the agreement’s inception in 2008. There are no family or business relationships between CSCG principals and the Organization’s board members, officers, or key employees.</w:t>
      </w:r>
    </w:p>
    <w:p>
      <w:r>
        <w:pict>
          <v:rect style="width:0;height:1.5pt" o:hralign="center" o:hrstd="t" o:hr="t"/>
        </w:pict>
      </w:r>
    </w:p>
    <w:bookmarkEnd w:id="21"/>
    <w:bookmarkEnd w:id="22"/>
    <w:bookmarkStart w:id="28" w:name="X0d25a77f9a55b2b0ff1036ab627f5a2e076f656"/>
    <w:p>
      <w:pPr>
        <w:pStyle w:val="Heading2"/>
      </w:pPr>
      <w:r>
        <w:t xml:space="preserve">Part 2: Proposed Form 990 Schedule O Narrative</w:t>
      </w:r>
    </w:p>
    <w:bookmarkStart w:id="27" w:name="Xe97022d112f7ca7b89abc78ae5dc00bb8c27300"/>
    <w:p>
      <w:pPr>
        <w:pStyle w:val="Heading3"/>
      </w:pPr>
      <w:r>
        <w:t xml:space="preserve">Part VI, Line 3 — Delegation of Management Duties</w:t>
      </w:r>
    </w:p>
    <w:p>
      <w:pPr>
        <w:pStyle w:val="FirstParagraph"/>
      </w:pPr>
      <w:r>
        <w:rPr>
          <w:bCs/>
          <w:b/>
        </w:rPr>
        <w:t xml:space="preserve">Yes.</w:t>
      </w:r>
      <w:r>
        <w:t xml:space="preserve"> </w:t>
      </w:r>
      <w:r>
        <w:t xml:space="preserve">The Organization has delegated management duties to Club Sports Consulting Group (CSCG) under a Professional Management Services Agreement dated December 1, 2007.</w:t>
      </w:r>
    </w:p>
    <w:bookmarkStart w:id="23" w:name="nature-of-the-arrangement"/>
    <w:p>
      <w:pPr>
        <w:pStyle w:val="Heading4"/>
      </w:pPr>
      <w:r>
        <w:t xml:space="preserve">Nature of the Arrangement</w:t>
      </w:r>
    </w:p>
    <w:p>
      <w:pPr>
        <w:pStyle w:val="FirstParagraph"/>
      </w:pPr>
      <w:r>
        <w:t xml:space="preserve">Under the agreement, CSCG has complete authority over day-to-day operations of the Organization’s ice arena facility. CSCG’s responsibilities include staffing the facility with CSCG employees, hiring and supervising personnel, collecting revenues, paying operating expenses, program development, maintenance, and establishing rates and hours of operation.</w:t>
      </w:r>
    </w:p>
    <w:p>
      <w:pPr>
        <w:pStyle w:val="BodyText"/>
      </w:pPr>
      <w:r>
        <w:t xml:space="preserve">All personnel employed at the facility — including rink managers, operations staff, and front desk staff — are employees of CSCG, not the Organization. CSCG is a signatory on the Organization’s operating bank account and has authority to enter into vendor contracts up to one year and purchase contracts up to $3,500 without prior board approval.</w:t>
      </w:r>
    </w:p>
    <w:bookmarkEnd w:id="23"/>
    <w:bookmarkStart w:id="24" w:name="compensation"/>
    <w:p>
      <w:pPr>
        <w:pStyle w:val="Heading4"/>
      </w:pPr>
      <w:r>
        <w:t xml:space="preserve">Compensation</w:t>
      </w:r>
    </w:p>
    <w:p>
      <w:pPr>
        <w:pStyle w:val="FirstParagraph"/>
      </w:pPr>
      <w:r>
        <w:t xml:space="preserve">For the fiscal year ended June 30, 2025:</w:t>
      </w:r>
    </w:p>
    <w:p>
      <w:pPr>
        <w:numPr>
          <w:ilvl w:val="0"/>
          <w:numId w:val="1002"/>
        </w:numPr>
        <w:pStyle w:val="Compact"/>
      </w:pPr>
      <w:r>
        <w:t xml:space="preserve">Management fee paid to CSCG: $42,000</w:t>
      </w:r>
    </w:p>
    <w:p>
      <w:pPr>
        <w:numPr>
          <w:ilvl w:val="0"/>
          <w:numId w:val="1002"/>
        </w:numPr>
        <w:pStyle w:val="Compact"/>
      </w:pPr>
      <w:r>
        <w:t xml:space="preserve">Staffing costs reimbursed to CSCG for facility employees: $381,840</w:t>
      </w:r>
    </w:p>
    <w:p>
      <w:pPr>
        <w:numPr>
          <w:ilvl w:val="0"/>
          <w:numId w:val="1002"/>
        </w:numPr>
        <w:pStyle w:val="Compact"/>
      </w:pPr>
      <w:r>
        <w:t xml:space="preserve">Total payments to or through CSCG: $423,840</w:t>
      </w:r>
    </w:p>
    <w:p>
      <w:pPr>
        <w:pStyle w:val="FirstParagraph"/>
      </w:pPr>
      <w:r>
        <w:t xml:space="preserve">The $42,000 management fee has remained unchanged since the agreement commenced in August 2008.</w:t>
      </w:r>
    </w:p>
    <w:bookmarkEnd w:id="24"/>
    <w:bookmarkStart w:id="25" w:name="board-oversight"/>
    <w:p>
      <w:pPr>
        <w:pStyle w:val="Heading4"/>
      </w:pPr>
      <w:r>
        <w:t xml:space="preserve">Board Oversight</w:t>
      </w:r>
    </w:p>
    <w:p>
      <w:pPr>
        <w:pStyle w:val="FirstParagraph"/>
      </w:pPr>
      <w:r>
        <w:t xml:space="preserve">The Board of Directors retains oversight of the management arrangement. Per the agreement, CSCG submits monthly financial reports including balance sheet, statement of revenues and expenditures, statement of cash flows, and general ledger. CSCG prepares and submits an annual operating budget for board approval. The board retains authority over capital expenditures, contracts exceeding one year, purchases exceeding $3,500, and strategic decisions.</w:t>
      </w:r>
    </w:p>
    <w:bookmarkEnd w:id="25"/>
    <w:bookmarkStart w:id="26" w:name="related-party-disclosure"/>
    <w:p>
      <w:pPr>
        <w:pStyle w:val="Heading4"/>
      </w:pPr>
      <w:r>
        <w:t xml:space="preserve">Related Party Disclosure</w:t>
      </w:r>
    </w:p>
    <w:p>
      <w:pPr>
        <w:pStyle w:val="FirstParagraph"/>
      </w:pPr>
      <w:r>
        <w:t xml:space="preserve">There are no family or business relationships between CSCG principals and any of the Organization’s board members, officers, or key employees.</w:t>
      </w:r>
    </w:p>
    <w:p>
      <w:r>
        <w:pict>
          <v:rect style="width:0;height:1.5pt" o:hralign="center" o:hrstd="t" o:hr="t"/>
        </w:pict>
      </w:r>
    </w:p>
    <w:bookmarkEnd w:id="26"/>
    <w:bookmarkEnd w:id="27"/>
    <w:bookmarkEnd w:id="28"/>
    <w:bookmarkStart w:id="29" w:name="part-3-contract-references"/>
    <w:p>
      <w:pPr>
        <w:pStyle w:val="Heading2"/>
      </w:pPr>
      <w:r>
        <w:t xml:space="preserve">Part 3: Contract References</w:t>
      </w:r>
    </w:p>
    <w:p>
      <w:pPr>
        <w:pStyle w:val="FirstParagraph"/>
      </w:pPr>
      <w:r>
        <w:t xml:space="preserve">The following provisions from the CSCG Professional Management Services Agreement (December 1, 2007) support the disclosure requirements:</w:t>
      </w:r>
    </w:p>
    <w:tbl>
      <w:tblPr>
        <w:tblStyle w:val="Table"/>
        <w:tblW w:type="pct" w:w="5000"/>
        <w:tblLook w:firstRow="1" w:lastRow="0" w:firstColumn="0" w:lastColumn="0" w:noHBand="0" w:noVBand="0" w:val="0020"/>
        <w:jc w:val="start"/>
      </w:tblPr>
      <w:tblGrid>
        <w:gridCol w:w="1620"/>
        <w:gridCol w:w="1980"/>
        <w:gridCol w:w="4320"/>
      </w:tblGrid>
      <w:tr>
        <w:trPr>
          <w:tblHeader w:val="true"/>
        </w:trPr>
        <w:tc>
          <w:tcPr/>
          <w:p>
            <w:pPr>
              <w:pStyle w:val="Compact"/>
              <w:jc w:val="left"/>
            </w:pPr>
            <w:r>
              <w:t xml:space="preserve">Article</w:t>
            </w:r>
          </w:p>
        </w:tc>
        <w:tc>
          <w:tcPr/>
          <w:p>
            <w:pPr>
              <w:pStyle w:val="Compact"/>
              <w:jc w:val="left"/>
            </w:pPr>
            <w:r>
              <w:t xml:space="preserve">Provision</w:t>
            </w:r>
          </w:p>
        </w:tc>
        <w:tc>
          <w:tcPr/>
          <w:p>
            <w:pPr>
              <w:pStyle w:val="Compact"/>
              <w:jc w:val="left"/>
            </w:pPr>
            <w:r>
              <w:t xml:space="preserve">Disclosure Implication</w:t>
            </w:r>
          </w:p>
        </w:tc>
      </w:tr>
      <w:tr>
        <w:tc>
          <w:tcPr/>
          <w:p>
            <w:pPr>
              <w:pStyle w:val="Compact"/>
              <w:jc w:val="left"/>
            </w:pPr>
            <w:r>
              <w:t xml:space="preserve">1.1(B)</w:t>
            </w:r>
          </w:p>
        </w:tc>
        <w:tc>
          <w:tcPr/>
          <w:p>
            <w:pPr>
              <w:pStyle w:val="Compact"/>
              <w:jc w:val="left"/>
            </w:pPr>
            <w:r>
              <w:t xml:space="preserve">“</w:t>
            </w:r>
            <w:r>
              <w:t xml:space="preserve">Fully staff the Facility with its own employees including a full time manager acceptable to Owner</w:t>
            </w:r>
            <w:r>
              <w:t xml:space="preserve">”</w:t>
            </w:r>
          </w:p>
        </w:tc>
        <w:tc>
          <w:tcPr/>
          <w:p>
            <w:pPr>
              <w:pStyle w:val="Compact"/>
              <w:jc w:val="left"/>
            </w:pPr>
            <w:r>
              <w:t xml:space="preserve">Employees are CSCG’s, not NSIA’s</w:t>
            </w:r>
          </w:p>
        </w:tc>
      </w:tr>
      <w:tr>
        <w:tc>
          <w:tcPr/>
          <w:p>
            <w:pPr>
              <w:pStyle w:val="Compact"/>
              <w:jc w:val="left"/>
            </w:pPr>
            <w:r>
              <w:t xml:space="preserve">4.1</w:t>
            </w:r>
          </w:p>
        </w:tc>
        <w:tc>
          <w:tcPr/>
          <w:p>
            <w:pPr>
              <w:pStyle w:val="Compact"/>
              <w:jc w:val="left"/>
            </w:pPr>
            <w:r>
              <w:t xml:space="preserve">“</w:t>
            </w:r>
            <w:r>
              <w:t xml:space="preserve">CSCG shall be responsible for and have complete authority over the day to day operation of the Facility</w:t>
            </w:r>
            <w:r>
              <w:t xml:space="preserve">”</w:t>
            </w:r>
          </w:p>
        </w:tc>
        <w:tc>
          <w:tcPr/>
          <w:p>
            <w:pPr>
              <w:pStyle w:val="Compact"/>
              <w:jc w:val="left"/>
            </w:pPr>
            <w:r>
              <w:t xml:space="preserve">Delegated management authority</w:t>
            </w:r>
          </w:p>
        </w:tc>
      </w:tr>
      <w:tr>
        <w:tc>
          <w:tcPr/>
          <w:p>
            <w:pPr>
              <w:pStyle w:val="Compact"/>
              <w:jc w:val="left"/>
            </w:pPr>
            <w:r>
              <w:t xml:space="preserve">4.2</w:t>
            </w:r>
          </w:p>
        </w:tc>
        <w:tc>
          <w:tcPr/>
          <w:p>
            <w:pPr>
              <w:pStyle w:val="Compact"/>
              <w:jc w:val="left"/>
            </w:pPr>
            <w:r>
              <w:t xml:space="preserve">“</w:t>
            </w:r>
            <w:r>
              <w:t xml:space="preserve">hiring, firing and supervising all employees and contractors, payroll and accounting services, maintenance and repairs, program development and operation</w:t>
            </w:r>
            <w:r>
              <w:t xml:space="preserve">”</w:t>
            </w:r>
          </w:p>
        </w:tc>
        <w:tc>
          <w:tcPr/>
          <w:p>
            <w:pPr>
              <w:pStyle w:val="Compact"/>
              <w:jc w:val="left"/>
            </w:pPr>
            <w:r>
              <w:t xml:space="preserve">Comprehensive operational control</w:t>
            </w:r>
          </w:p>
        </w:tc>
      </w:tr>
      <w:tr>
        <w:tc>
          <w:tcPr/>
          <w:p>
            <w:pPr>
              <w:pStyle w:val="Compact"/>
              <w:jc w:val="left"/>
            </w:pPr>
            <w:r>
              <w:t xml:space="preserve">4.3</w:t>
            </w:r>
          </w:p>
        </w:tc>
        <w:tc>
          <w:tcPr/>
          <w:p>
            <w:pPr>
              <w:pStyle w:val="Compact"/>
              <w:jc w:val="left"/>
            </w:pPr>
            <w:r>
              <w:t xml:space="preserve">“</w:t>
            </w:r>
            <w:r>
              <w:t xml:space="preserve">establish and adjust the days and hours of operation and all rates and charges</w:t>
            </w:r>
            <w:r>
              <w:t xml:space="preserve">”</w:t>
            </w:r>
          </w:p>
        </w:tc>
        <w:tc>
          <w:tcPr/>
          <w:p>
            <w:pPr>
              <w:pStyle w:val="Compact"/>
              <w:jc w:val="left"/>
            </w:pPr>
            <w:r>
              <w:t xml:space="preserve">Pricing authority</w:t>
            </w:r>
          </w:p>
        </w:tc>
      </w:tr>
      <w:tr>
        <w:tc>
          <w:tcPr/>
          <w:p>
            <w:pPr>
              <w:pStyle w:val="Compact"/>
              <w:jc w:val="left"/>
            </w:pPr>
            <w:r>
              <w:t xml:space="preserve">6.1</w:t>
            </w:r>
          </w:p>
        </w:tc>
        <w:tc>
          <w:tcPr/>
          <w:p>
            <w:pPr>
              <w:pStyle w:val="Compact"/>
              <w:jc w:val="left"/>
            </w:pPr>
            <w:r>
              <w:t xml:space="preserve">“</w:t>
            </w:r>
            <w:r>
              <w:t xml:space="preserve">CSCG shall be a signatory on the Owner’s operating account</w:t>
            </w:r>
            <w:r>
              <w:t xml:space="preserve">”</w:t>
            </w:r>
          </w:p>
        </w:tc>
        <w:tc>
          <w:tcPr/>
          <w:p>
            <w:pPr>
              <w:pStyle w:val="Compact"/>
              <w:jc w:val="left"/>
            </w:pPr>
            <w:r>
              <w:t xml:space="preserve">Bank signatory authority</w:t>
            </w:r>
          </w:p>
        </w:tc>
      </w:tr>
      <w:tr>
        <w:tc>
          <w:tcPr/>
          <w:p>
            <w:pPr>
              <w:pStyle w:val="Compact"/>
              <w:jc w:val="left"/>
            </w:pPr>
            <w:r>
              <w:t xml:space="preserve">6.2</w:t>
            </w:r>
          </w:p>
        </w:tc>
        <w:tc>
          <w:tcPr/>
          <w:p>
            <w:pPr>
              <w:pStyle w:val="Compact"/>
              <w:jc w:val="left"/>
            </w:pPr>
            <w:r>
              <w:t xml:space="preserve">“</w:t>
            </w:r>
            <w:r>
              <w:t xml:space="preserve">CSCG shall collect all gross revenues…and deposit same into Owner’s general account</w:t>
            </w:r>
            <w:r>
              <w:t xml:space="preserve">”</w:t>
            </w:r>
          </w:p>
        </w:tc>
        <w:tc>
          <w:tcPr/>
          <w:p>
            <w:pPr>
              <w:pStyle w:val="Compact"/>
              <w:jc w:val="left"/>
            </w:pPr>
            <w:r>
              <w:t xml:space="preserve">Revenue collection</w:t>
            </w:r>
          </w:p>
        </w:tc>
      </w:tr>
      <w:tr>
        <w:tc>
          <w:tcPr/>
          <w:p>
            <w:pPr>
              <w:pStyle w:val="Compact"/>
              <w:jc w:val="left"/>
            </w:pPr>
            <w:r>
              <w:t xml:space="preserve">6.3</w:t>
            </w:r>
          </w:p>
        </w:tc>
        <w:tc>
          <w:tcPr/>
          <w:p>
            <w:pPr>
              <w:pStyle w:val="Compact"/>
              <w:jc w:val="left"/>
            </w:pPr>
            <w:r>
              <w:t xml:space="preserve">“</w:t>
            </w:r>
            <w:r>
              <w:t xml:space="preserve">All operating expenses of the Facility shall be paid by CSCG from Owner’s operating account</w:t>
            </w:r>
            <w:r>
              <w:t xml:space="preserve">”</w:t>
            </w:r>
          </w:p>
        </w:tc>
        <w:tc>
          <w:tcPr/>
          <w:p>
            <w:pPr>
              <w:pStyle w:val="Compact"/>
              <w:jc w:val="left"/>
            </w:pPr>
            <w:r>
              <w:t xml:space="preserve">Disbursement authority</w:t>
            </w:r>
          </w:p>
        </w:tc>
      </w:tr>
      <w:tr>
        <w:tc>
          <w:tcPr/>
          <w:p>
            <w:pPr>
              <w:pStyle w:val="Compact"/>
              <w:jc w:val="left"/>
            </w:pPr>
            <w:r>
              <w:t xml:space="preserve">8.1</w:t>
            </w:r>
          </w:p>
        </w:tc>
        <w:tc>
          <w:tcPr/>
          <w:p>
            <w:pPr>
              <w:pStyle w:val="Compact"/>
              <w:jc w:val="left"/>
            </w:pPr>
            <w:r>
              <w:t xml:space="preserve">CSCG can enter contracts up to 1 year and purchases up to $3,500 without prior approval</w:t>
            </w:r>
          </w:p>
        </w:tc>
        <w:tc>
          <w:tcPr/>
          <w:p>
            <w:pPr>
              <w:pStyle w:val="Compact"/>
              <w:jc w:val="left"/>
            </w:pPr>
            <w:r>
              <w:t xml:space="preserve">Contract authority</w:t>
            </w:r>
          </w:p>
        </w:tc>
      </w:tr>
      <w:tr>
        <w:tc>
          <w:tcPr/>
          <w:p>
            <w:pPr>
              <w:pStyle w:val="Compact"/>
              <w:jc w:val="left"/>
            </w:pPr>
            <w:r>
              <w:t xml:space="preserve">10.1</w:t>
            </w:r>
          </w:p>
        </w:tc>
        <w:tc>
          <w:tcPr/>
          <w:p>
            <w:pPr>
              <w:pStyle w:val="Compact"/>
              <w:jc w:val="left"/>
            </w:pPr>
            <w:r>
              <w:t xml:space="preserve">“</w:t>
            </w:r>
            <w:r>
              <w:t xml:space="preserve">All personnel employed at the Facility shall be employees of CSCG and not of Owner</w:t>
            </w:r>
            <w:r>
              <w:t xml:space="preserve">”</w:t>
            </w:r>
          </w:p>
        </w:tc>
        <w:tc>
          <w:tcPr/>
          <w:p>
            <w:pPr>
              <w:pStyle w:val="Compact"/>
              <w:jc w:val="left"/>
            </w:pPr>
            <w:r>
              <w:t xml:space="preserve">Explicit employee relationship</w:t>
            </w:r>
          </w:p>
        </w:tc>
      </w:tr>
    </w:tbl>
    <w:p>
      <w:r>
        <w:pict>
          <v:rect style="width:0;height:1.5pt" o:hralign="center" o:hrstd="t" o:hr="t"/>
        </w:pict>
      </w:r>
    </w:p>
    <w:bookmarkEnd w:id="29"/>
    <w:bookmarkStart w:id="31" w:name="X1fd24bebd771164772de4df4da3b7ee85d9a578"/>
    <w:p>
      <w:pPr>
        <w:pStyle w:val="Heading2"/>
      </w:pPr>
      <w:r>
        <w:t xml:space="preserve">Part 4: Why the Payroll Explanation Matters</w:t>
      </w:r>
    </w:p>
    <w:p>
      <w:pPr>
        <w:pStyle w:val="FirstParagraph"/>
      </w:pPr>
      <w:r>
        <w:t xml:space="preserve">The financial statements currently show $367,742 in</w:t>
      </w:r>
      <w:r>
        <w:t xml:space="preserve"> </w:t>
      </w:r>
      <w:r>
        <w:t xml:space="preserve">“</w:t>
      </w:r>
      <w:r>
        <w:t xml:space="preserve">Payroll</w:t>
      </w:r>
      <w:r>
        <w:t xml:space="preserve">”</w:t>
      </w:r>
      <w:r>
        <w:t xml:space="preserve"> </w:t>
      </w:r>
      <w:r>
        <w:t xml:space="preserve">expense on the Statement of Functional Expenses. Anyone reading that — a board member, a donor, the IRS, the public — would reasonably conclude NSIA employs people and pays them wages.</w:t>
      </w:r>
    </w:p>
    <w:p>
      <w:pPr>
        <w:pStyle w:val="BodyText"/>
      </w:pPr>
      <w:r>
        <w:rPr>
          <w:bCs/>
          <w:b/>
        </w:rPr>
        <w:t xml:space="preserve">What’s actually happening:</w:t>
      </w:r>
      <w:r>
        <w:t xml:space="preserve"> </w:t>
      </w:r>
      <w:r>
        <w:t xml:space="preserve">NSIA has no employees. That $367,742 isn’t W-2 wages paid to NSIA staff — it’s a reimbursement to CSCG for</w:t>
      </w:r>
      <w:r>
        <w:t xml:space="preserve"> </w:t>
      </w:r>
      <w:r>
        <w:rPr>
          <w:iCs/>
          <w:i/>
        </w:rPr>
        <w:t xml:space="preserve">their</w:t>
      </w:r>
      <w:r>
        <w:t xml:space="preserve"> </w:t>
      </w:r>
      <w:r>
        <w:t xml:space="preserve">employees who work at the facility. The Zamboni drivers, front desk staff, and rink managers all receive paychecks from CSCG, not NSIA.</w:t>
      </w:r>
    </w:p>
    <w:bookmarkStart w:id="30" w:name="why-this-distinction-matters"/>
    <w:p>
      <w:pPr>
        <w:pStyle w:val="Heading3"/>
      </w:pPr>
      <w:r>
        <w:t xml:space="preserve">Why This Distinction Matters</w:t>
      </w:r>
    </w:p>
    <w:p>
      <w:pPr>
        <w:pStyle w:val="FirstParagraph"/>
      </w:pPr>
      <w:r>
        <w:rPr>
          <w:bCs/>
          <w:b/>
        </w:rPr>
        <w:t xml:space="preserve">Liability exposure:</w:t>
      </w:r>
      <w:r>
        <w:t xml:space="preserve"> </w:t>
      </w:r>
      <w:r>
        <w:t xml:space="preserve">If someone thinks NSIA has employees, they might assume NSIA carries the employment liability (workers comp claims, wrongful termination suits, wage disputes). In reality, CSCG carries that exposure.</w:t>
      </w:r>
    </w:p>
    <w:p>
      <w:pPr>
        <w:pStyle w:val="BodyText"/>
      </w:pPr>
      <w:r>
        <w:rPr>
          <w:bCs/>
          <w:b/>
        </w:rPr>
        <w:t xml:space="preserve">Operational understanding:</w:t>
      </w:r>
      <w:r>
        <w:t xml:space="preserve"> </w:t>
      </w:r>
      <w:r>
        <w:t xml:space="preserve">A reader comparing NSIA to other rinks would see the low</w:t>
      </w:r>
      <w:r>
        <w:t xml:space="preserve"> </w:t>
      </w:r>
      <w:r>
        <w:t xml:space="preserve">“</w:t>
      </w:r>
      <w:r>
        <w:t xml:space="preserve">payroll</w:t>
      </w:r>
      <w:r>
        <w:t xml:space="preserve">”</w:t>
      </w:r>
      <w:r>
        <w:t xml:space="preserve"> </w:t>
      </w:r>
      <w:r>
        <w:t xml:space="preserve">ratio (16% of revenue vs. 40-50% at park district rinks) and not understand why. The truth is NSIA outsourced its entire workforce to a management company — a fundamentally different operating model.</w:t>
      </w:r>
    </w:p>
    <w:p>
      <w:pPr>
        <w:pStyle w:val="BodyText"/>
      </w:pPr>
      <w:r>
        <w:rPr>
          <w:bCs/>
          <w:b/>
        </w:rPr>
        <w:t xml:space="preserve">The $42,000 illusion:</w:t>
      </w:r>
      <w:r>
        <w:t xml:space="preserve"> </w:t>
      </w:r>
      <w:r>
        <w:t xml:space="preserve">Right now, the only CSCG-related disclosure is the $42,000 management fee. That makes it look like CSCG is a minor vendor. In reality, $424,000 flows through that relationship — ten times what’s currently visible.</w:t>
      </w:r>
    </w:p>
    <w:p>
      <w:pPr>
        <w:pStyle w:val="BodyText"/>
      </w:pPr>
      <w:r>
        <w:rPr>
          <w:bCs/>
          <w:b/>
        </w:rPr>
        <w:t xml:space="preserve">IRS scrutiny:</w:t>
      </w:r>
      <w:r>
        <w:t xml:space="preserve"> </w:t>
      </w:r>
      <w:r>
        <w:t xml:space="preserve">Form 990 asks specifically about delegated management. If you answer</w:t>
      </w:r>
      <w:r>
        <w:t xml:space="preserve"> </w:t>
      </w:r>
      <w:r>
        <w:t xml:space="preserve">“</w:t>
      </w:r>
      <w:r>
        <w:t xml:space="preserve">Yes</w:t>
      </w:r>
      <w:r>
        <w:t xml:space="preserve">”</w:t>
      </w:r>
      <w:r>
        <w:t xml:space="preserve"> </w:t>
      </w:r>
      <w:r>
        <w:t xml:space="preserve">but your financials only show a $42,000 fee, there’s an inconsistency. The IRS could reasonably ask:</w:t>
      </w:r>
      <w:r>
        <w:t xml:space="preserve"> </w:t>
      </w:r>
      <w:r>
        <w:t xml:space="preserve">“</w:t>
      </w:r>
      <w:r>
        <w:t xml:space="preserve">You delegated management to a company for $42,000? What exactly are they doing for that?</w:t>
      </w:r>
      <w:r>
        <w:t xml:space="preserve">”</w:t>
      </w:r>
    </w:p>
    <w:p>
      <w:pPr>
        <w:pStyle w:val="BodyText"/>
      </w:pPr>
      <w:r>
        <w:t xml:space="preserve">The proposed disclosure fixes this by explaining that</w:t>
      </w:r>
      <w:r>
        <w:t xml:space="preserve"> </w:t>
      </w:r>
      <w:r>
        <w:t xml:space="preserve">“</w:t>
      </w:r>
      <w:r>
        <w:t xml:space="preserve">Payroll</w:t>
      </w:r>
      <w:r>
        <w:t xml:space="preserve">”</w:t>
      </w:r>
      <w:r>
        <w:t xml:space="preserve"> </w:t>
      </w:r>
      <w:r>
        <w:t xml:space="preserve">is actually staffing cost reimbursement to CSCG, and that all facility personnel are CSCG employees operating under NSIA’s management agreement.</w:t>
      </w:r>
    </w:p>
    <w:p>
      <w:r>
        <w:pict>
          <v:rect style="width:0;height:1.5pt" o:hralign="center" o:hrstd="t" o:hr="t"/>
        </w:pict>
      </w:r>
    </w:p>
    <w:bookmarkEnd w:id="30"/>
    <w:bookmarkEnd w:id="31"/>
    <w:bookmarkStart w:id="34" w:name="part-5-why-disclosure-is-required"/>
    <w:p>
      <w:pPr>
        <w:pStyle w:val="Heading2"/>
      </w:pPr>
      <w:r>
        <w:t xml:space="preserve">Part 5: Why Disclosure is Required</w:t>
      </w:r>
    </w:p>
    <w:bookmarkStart w:id="32" w:name="X8232e68cc875eef073904dce7a4d803dcff3fd2"/>
    <w:p>
      <w:pPr>
        <w:pStyle w:val="Heading3"/>
      </w:pPr>
      <w:r>
        <w:t xml:space="preserve">Comparison to WHC / Park District Relationship</w:t>
      </w:r>
    </w:p>
    <w:p>
      <w:pPr>
        <w:pStyle w:val="FirstParagraph"/>
      </w:pPr>
      <w:r>
        <w:t xml:space="preserve">A question was raised comparing the CSCG relationship to Winnetka Hockey Club’s purchase of ice time from Winnetka Park District. The relationships are fundamentally different:</w:t>
      </w:r>
    </w:p>
    <w:tbl>
      <w:tblPr>
        <w:tblStyle w:val="Table"/>
        <w:tblW w:type="pct" w:w="5000"/>
        <w:tblLook w:firstRow="1" w:lastRow="0" w:firstColumn="0" w:lastColumn="0" w:noHBand="0" w:noVBand="0" w:val="0020"/>
        <w:jc w:val="start"/>
      </w:tblPr>
      <w:tblGrid>
        <w:gridCol w:w="1508"/>
        <w:gridCol w:w="3960"/>
        <w:gridCol w:w="2451"/>
      </w:tblGrid>
      <w:tr>
        <w:trPr>
          <w:tblHeader w:val="true"/>
        </w:trPr>
        <w:tc>
          <w:tcPr/>
          <w:p>
            <w:pPr>
              <w:pStyle w:val="Compact"/>
              <w:jc w:val="left"/>
            </w:pPr>
            <w:r>
              <w:t xml:space="preserve">Factor</w:t>
            </w:r>
          </w:p>
        </w:tc>
        <w:tc>
          <w:tcPr/>
          <w:p>
            <w:pPr>
              <w:pStyle w:val="Compact"/>
              <w:jc w:val="left"/>
            </w:pPr>
            <w:r>
              <w:t xml:space="preserve">WHC / Park District</w:t>
            </w:r>
          </w:p>
        </w:tc>
        <w:tc>
          <w:tcPr/>
          <w:p>
            <w:pPr>
              <w:pStyle w:val="Compact"/>
              <w:jc w:val="left"/>
            </w:pPr>
            <w:r>
              <w:t xml:space="preserve">NSIA / CSCG</w:t>
            </w:r>
          </w:p>
        </w:tc>
      </w:tr>
      <w:tr>
        <w:tc>
          <w:tcPr/>
          <w:p>
            <w:pPr>
              <w:pStyle w:val="Compact"/>
              <w:jc w:val="left"/>
            </w:pPr>
            <w:r>
              <w:t xml:space="preserve">Nature of transaction</w:t>
            </w:r>
          </w:p>
        </w:tc>
        <w:tc>
          <w:tcPr/>
          <w:p>
            <w:pPr>
              <w:pStyle w:val="Compact"/>
              <w:jc w:val="left"/>
            </w:pPr>
            <w:r>
              <w:t xml:space="preserve">Purchase of commodity (ice time)</w:t>
            </w:r>
          </w:p>
        </w:tc>
        <w:tc>
          <w:tcPr/>
          <w:p>
            <w:pPr>
              <w:pStyle w:val="Compact"/>
              <w:jc w:val="left"/>
            </w:pPr>
            <w:r>
              <w:t xml:space="preserve">Operational outsourcing</w:t>
            </w:r>
          </w:p>
        </w:tc>
      </w:tr>
      <w:tr>
        <w:tc>
          <w:tcPr/>
          <w:p>
            <w:pPr>
              <w:pStyle w:val="Compact"/>
              <w:jc w:val="left"/>
            </w:pPr>
            <w:r>
              <w:t xml:space="preserve">Authority to act</w:t>
            </w:r>
          </w:p>
        </w:tc>
        <w:tc>
          <w:tcPr/>
          <w:p>
            <w:pPr>
              <w:pStyle w:val="Compact"/>
              <w:jc w:val="left"/>
            </w:pPr>
            <w:r>
              <w:t xml:space="preserve">None — arm’s length purchase</w:t>
            </w:r>
          </w:p>
        </w:tc>
        <w:tc>
          <w:tcPr/>
          <w:p>
            <w:pPr>
              <w:pStyle w:val="Compact"/>
              <w:jc w:val="left"/>
            </w:pPr>
            <w:r>
              <w:t xml:space="preserve">Complete day-to-day operational authority</w:t>
            </w:r>
          </w:p>
        </w:tc>
      </w:tr>
      <w:tr>
        <w:tc>
          <w:tcPr/>
          <w:p>
            <w:pPr>
              <w:pStyle w:val="Compact"/>
              <w:jc w:val="left"/>
            </w:pPr>
            <w:r>
              <w:t xml:space="preserve">Employment relationship</w:t>
            </w:r>
          </w:p>
        </w:tc>
        <w:tc>
          <w:tcPr/>
          <w:p>
            <w:pPr>
              <w:pStyle w:val="Compact"/>
              <w:jc w:val="left"/>
            </w:pPr>
            <w:r>
              <w:t xml:space="preserve">Park District employees serve Park District</w:t>
            </w:r>
          </w:p>
        </w:tc>
        <w:tc>
          <w:tcPr/>
          <w:p>
            <w:pPr>
              <w:pStyle w:val="Compact"/>
              <w:jc w:val="left"/>
            </w:pPr>
            <w:r>
              <w:t xml:space="preserve">CSCG employees serve NSIA facility</w:t>
            </w:r>
          </w:p>
        </w:tc>
      </w:tr>
      <w:tr>
        <w:tc>
          <w:tcPr/>
          <w:p>
            <w:pPr>
              <w:pStyle w:val="Compact"/>
              <w:jc w:val="left"/>
            </w:pPr>
            <w:r>
              <w:t xml:space="preserve">Bank account access</w:t>
            </w:r>
          </w:p>
        </w:tc>
        <w:tc>
          <w:tcPr/>
          <w:p>
            <w:pPr>
              <w:pStyle w:val="Compact"/>
              <w:jc w:val="left"/>
            </w:pPr>
            <w:r>
              <w:t xml:space="preserve">None</w:t>
            </w:r>
          </w:p>
        </w:tc>
        <w:tc>
          <w:tcPr/>
          <w:p>
            <w:pPr>
              <w:pStyle w:val="Compact"/>
              <w:jc w:val="left"/>
            </w:pPr>
            <w:r>
              <w:t xml:space="preserve">CSCG is signatory on NSIA operating account</w:t>
            </w:r>
          </w:p>
        </w:tc>
      </w:tr>
      <w:tr>
        <w:tc>
          <w:tcPr/>
          <w:p>
            <w:pPr>
              <w:pStyle w:val="Compact"/>
              <w:jc w:val="left"/>
            </w:pPr>
            <w:r>
              <w:t xml:space="preserve">Contract authority</w:t>
            </w:r>
          </w:p>
        </w:tc>
        <w:tc>
          <w:tcPr/>
          <w:p>
            <w:pPr>
              <w:pStyle w:val="Compact"/>
              <w:jc w:val="left"/>
            </w:pPr>
            <w:r>
              <w:t xml:space="preserve">None</w:t>
            </w:r>
          </w:p>
        </w:tc>
        <w:tc>
          <w:tcPr/>
          <w:p>
            <w:pPr>
              <w:pStyle w:val="Compact"/>
              <w:jc w:val="left"/>
            </w:pPr>
            <w:r>
              <w:t xml:space="preserve">CSCG can execute contracts up to 1 year</w:t>
            </w:r>
          </w:p>
        </w:tc>
      </w:tr>
      <w:tr>
        <w:tc>
          <w:tcPr/>
          <w:p>
            <w:pPr>
              <w:pStyle w:val="Compact"/>
              <w:jc w:val="left"/>
            </w:pPr>
            <w:r>
              <w:t xml:space="preserve">Revenue collection</w:t>
            </w:r>
          </w:p>
        </w:tc>
        <w:tc>
          <w:tcPr/>
          <w:p>
            <w:pPr>
              <w:pStyle w:val="Compact"/>
              <w:jc w:val="left"/>
            </w:pPr>
            <w:r>
              <w:t xml:space="preserve">None</w:t>
            </w:r>
          </w:p>
        </w:tc>
        <w:tc>
          <w:tcPr/>
          <w:p>
            <w:pPr>
              <w:pStyle w:val="Compact"/>
              <w:jc w:val="left"/>
            </w:pPr>
            <w:r>
              <w:t xml:space="preserve">CSCG collects all NSIA revenues</w:t>
            </w:r>
          </w:p>
        </w:tc>
      </w:tr>
      <w:tr>
        <w:tc>
          <w:tcPr/>
          <w:p>
            <w:pPr>
              <w:pStyle w:val="Compact"/>
              <w:jc w:val="left"/>
            </w:pPr>
            <w:r>
              <w:t xml:space="preserve">Expense payment</w:t>
            </w:r>
          </w:p>
        </w:tc>
        <w:tc>
          <w:tcPr/>
          <w:p>
            <w:pPr>
              <w:pStyle w:val="Compact"/>
              <w:jc w:val="left"/>
            </w:pPr>
            <w:r>
              <w:t xml:space="preserve">None</w:t>
            </w:r>
          </w:p>
        </w:tc>
        <w:tc>
          <w:tcPr/>
          <w:p>
            <w:pPr>
              <w:pStyle w:val="Compact"/>
              <w:jc w:val="left"/>
            </w:pPr>
            <w:r>
              <w:t xml:space="preserve">CSCG pays all NSIA operating expenses</w:t>
            </w:r>
          </w:p>
        </w:tc>
      </w:tr>
    </w:tbl>
    <w:p>
      <w:pPr>
        <w:pStyle w:val="BodyText"/>
      </w:pPr>
      <w:r>
        <w:t xml:space="preserve">The Park District sells WHC ice time. CSCG</w:t>
      </w:r>
      <w:r>
        <w:t xml:space="preserve"> </w:t>
      </w:r>
      <w:r>
        <w:rPr>
          <w:iCs/>
          <w:i/>
        </w:rPr>
        <w:t xml:space="preserve">operates</w:t>
      </w:r>
      <w:r>
        <w:t xml:space="preserve"> </w:t>
      </w:r>
      <w:r>
        <w:t xml:space="preserve">NSIA.</w:t>
      </w:r>
    </w:p>
    <w:bookmarkEnd w:id="32"/>
    <w:bookmarkStart w:id="33" w:name="irs-disclosure-requirements"/>
    <w:p>
      <w:pPr>
        <w:pStyle w:val="Heading3"/>
      </w:pPr>
      <w:r>
        <w:t xml:space="preserve">IRS Disclosure Requirements</w:t>
      </w:r>
    </w:p>
    <w:p>
      <w:pPr>
        <w:pStyle w:val="FirstParagraph"/>
      </w:pPr>
      <w:r>
        <w:t xml:space="preserve">Form 990 Part VI, Line 3 specifically asks:</w:t>
      </w:r>
      <w:r>
        <w:t xml:space="preserve"> </w:t>
      </w:r>
      <w:r>
        <w:t xml:space="preserve">“</w:t>
      </w:r>
      <w:r>
        <w:t xml:space="preserve">Did the organization delegate control over management duties customarily performed by or under the direct supervision of officers, directors, trustees, or key employees to a management company or other person?</w:t>
      </w:r>
      <w:r>
        <w:t xml:space="preserve">”</w:t>
      </w:r>
    </w:p>
    <w:p>
      <w:pPr>
        <w:pStyle w:val="BodyText"/>
      </w:pPr>
      <w:r>
        <w:t xml:space="preserve">When the answer is</w:t>
      </w:r>
      <w:r>
        <w:t xml:space="preserve"> </w:t>
      </w:r>
      <w:r>
        <w:t xml:space="preserve">“</w:t>
      </w:r>
      <w:r>
        <w:t xml:space="preserve">Yes,</w:t>
      </w:r>
      <w:r>
        <w:t xml:space="preserve">”</w:t>
      </w:r>
      <w:r>
        <w:t xml:space="preserve"> </w:t>
      </w:r>
      <w:r>
        <w:t xml:space="preserve">organizations must explain the arrangement in Schedule O. The purpose is transparency — the public has a right to understand who is actually operating a tax-exempt organization.</w:t>
      </w:r>
    </w:p>
    <w:p>
      <w:r>
        <w:pict>
          <v:rect style="width:0;height:1.5pt" o:hralign="center" o:hrstd="t" o:hr="t"/>
        </w:pict>
      </w:r>
    </w:p>
    <w:bookmarkEnd w:id="33"/>
    <w:bookmarkEnd w:id="34"/>
    <w:bookmarkStart w:id="35" w:name="part-6-recommended-actions"/>
    <w:p>
      <w:pPr>
        <w:pStyle w:val="Heading2"/>
      </w:pPr>
      <w:r>
        <w:t xml:space="preserve">Part 6: Recommended Actions</w:t>
      </w:r>
    </w:p>
    <w:p>
      <w:pPr>
        <w:numPr>
          <w:ilvl w:val="0"/>
          <w:numId w:val="1003"/>
        </w:numPr>
      </w:pPr>
      <w:r>
        <w:rPr>
          <w:bCs/>
          <w:b/>
        </w:rPr>
        <w:t xml:space="preserve">Miller Verchota:</w:t>
      </w:r>
      <w:r>
        <w:t xml:space="preserve"> </w:t>
      </w:r>
      <w:r>
        <w:t xml:space="preserve">Review proposed financial statement note language and confirm it meets GAAP disclosure requirements for the FY2025 audit.</w:t>
      </w:r>
    </w:p>
    <w:p>
      <w:pPr>
        <w:numPr>
          <w:ilvl w:val="0"/>
          <w:numId w:val="1003"/>
        </w:numPr>
      </w:pPr>
      <w:r>
        <w:rPr>
          <w:bCs/>
          <w:b/>
        </w:rPr>
        <w:t xml:space="preserve">990 Preparer:</w:t>
      </w:r>
      <w:r>
        <w:t xml:space="preserve"> </w:t>
      </w:r>
      <w:r>
        <w:t xml:space="preserve">Ensure Part VI, Line 3 is answered</w:t>
      </w:r>
      <w:r>
        <w:t xml:space="preserve"> </w:t>
      </w:r>
      <w:r>
        <w:t xml:space="preserve">“</w:t>
      </w:r>
      <w:r>
        <w:t xml:space="preserve">Yes</w:t>
      </w:r>
      <w:r>
        <w:t xml:space="preserve">”</w:t>
      </w:r>
      <w:r>
        <w:t xml:space="preserve"> </w:t>
      </w:r>
      <w:r>
        <w:t xml:space="preserve">and Schedule O includes the narrative disclosure.</w:t>
      </w:r>
    </w:p>
    <w:p>
      <w:pPr>
        <w:numPr>
          <w:ilvl w:val="0"/>
          <w:numId w:val="1003"/>
        </w:numPr>
      </w:pPr>
      <w:r>
        <w:rPr>
          <w:bCs/>
          <w:b/>
        </w:rPr>
        <w:t xml:space="preserve">Board:</w:t>
      </w:r>
      <w:r>
        <w:t xml:space="preserve"> </w:t>
      </w:r>
      <w:r>
        <w:t xml:space="preserve">Confirm the accuracy of the staffing cost figure ($381,840) and authorize inclusion in disclosures.</w:t>
      </w:r>
    </w:p>
    <w:p>
      <w:r>
        <w:pict>
          <v:rect style="width:0;height:1.5pt" o:hralign="center" o:hrstd="t" o:hr="t"/>
        </w:pict>
      </w:r>
    </w:p>
    <w:bookmarkEnd w:id="35"/>
    <w:bookmarkStart w:id="36" w:name="attachments"/>
    <w:p>
      <w:pPr>
        <w:pStyle w:val="Heading2"/>
      </w:pPr>
      <w:r>
        <w:t xml:space="preserve">Attachments</w:t>
      </w:r>
    </w:p>
    <w:p>
      <w:pPr>
        <w:numPr>
          <w:ilvl w:val="0"/>
          <w:numId w:val="1004"/>
        </w:numPr>
        <w:pStyle w:val="Compact"/>
      </w:pPr>
      <w:r>
        <w:t xml:space="preserve">CSCG Professional Management Services Agreement (December 1, 2007)</w:t>
      </w:r>
    </w:p>
    <w:p>
      <w:pPr>
        <w:numPr>
          <w:ilvl w:val="0"/>
          <w:numId w:val="1004"/>
        </w:numPr>
        <w:pStyle w:val="Compact"/>
      </w:pPr>
      <w:r>
        <w:t xml:space="preserve">FY2026 Budget Proposal (showing payroll breakdown)</w:t>
      </w:r>
    </w:p>
    <w:p>
      <w:pPr>
        <w:numPr>
          <w:ilvl w:val="0"/>
          <w:numId w:val="1004"/>
        </w:numPr>
        <w:pStyle w:val="Compact"/>
      </w:pPr>
      <w:r>
        <w:t xml:space="preserve">Draft FY2025 Audited Financial Statements</w:t>
      </w:r>
    </w:p>
    <w:p>
      <w:r>
        <w:pict>
          <v:rect style="width:0;height:1.5pt" o:hralign="center" o:hrstd="t" o:hr="t"/>
        </w:pict>
      </w:r>
    </w:p>
    <w:p>
      <w:pPr>
        <w:pStyle w:val="FirstParagraph"/>
      </w:pPr>
      <w:r>
        <w:rPr>
          <w:iCs/>
          <w:i/>
        </w:rPr>
        <w:t xml:space="preserve">Document prepared February 2, 2026</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2026-02-02T19:49:27Z</dcterms:created>
  <dcterms:modified xsi:type="dcterms:W3CDTF">2026-02-02T19:49:27Z</dcterms:modified>
</cp:coreProperties>
</file>

<file path=docProps/custom.xml><?xml version="1.0" encoding="utf-8"?>
<Properties xmlns="http://schemas.openxmlformats.org/officeDocument/2006/custom-properties" xmlns:vt="http://schemas.openxmlformats.org/officeDocument/2006/docPropsVTypes"/>
</file>