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NSIA Lease Negotiation Priority Matrix</w:t>
      </w:r>
    </w:p>
    <w:p>
      <w:pPr>
        <w:spacing w:after="400"/>
        <w:jc w:val="center"/>
      </w:pPr>
      <w:r>
        <w:rPr>
          <w:i/>
          <w:iCs/>
        </w:rPr>
        <w:t xml:space="preserve">Strategic Priorities for Lessor Discussions</w:t>
      </w:r>
    </w:p>
    <w:p>
      <w:pPr>
        <w:spacing w:after="200"/>
      </w:pPr>
      <w:r>
        <w:rPr>
          <w:b/>
          <w:bCs/>
        </w:rPr>
        <w:t xml:space="preserve">Priority: </w:t>
      </w:r>
      <w:r>
        <w:rPr>
          <w:b/>
          <w:bCs/>
          <w:color w:val="FF0000"/>
        </w:rPr>
        <w:t xml:space="preserve">HIGH</w:t>
      </w:r>
      <w:r>
        <w:t xml:space="preserve"> = Significant financial impact  |  </w:t>
      </w:r>
      <w:r>
        <w:rPr>
          <w:b/>
          <w:bCs/>
          <w:color w:val="CC9900"/>
        </w:rPr>
        <w:t xml:space="preserve">MEDIUM</w:t>
      </w:r>
      <w:r>
        <w:t xml:space="preserve"> = Important but less urgent  |  </w:t>
      </w:r>
      <w:r>
        <w:rPr>
          <w:b/>
          <w:bCs/>
          <w:color w:val="008000"/>
        </w:rPr>
        <w:t xml:space="preserve">LOW</w:t>
      </w:r>
      <w:r>
        <w:t xml:space="preserve"> = Nice to 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2000"/>
        <w:gridCol w:w="29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Situation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Desired 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Feasibility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Building Reversion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improvements ($20-28M value) revert to Lessor at lease termination with no compensation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Buyout provision or residual value 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Low-Medium (Lessor has little incentive)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priority; may require offering something of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15% Rent Step-Ups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 increases every 5 years (market typical is 10%); adds 40% extra cost over 25 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to 10% or add CPI collar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(requires value exchange)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Negotiate before 2040 reset if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2040 Appraisal 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Rent resets to 9% of appraised land FMV; methodology not specified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Pre-agree appraisal standards and appraiser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 (benefits both parties)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negotiated now (14 years before deadline)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Right of First Refusal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NSIA has no right to purchase land if Lessor decides to sell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Obtain ROFR to match third-party offers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(doesn't cost Lessor anything)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Opportunistic — raise when relationship is strong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Renewal Notice Period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12-month notice required; missing deadline forfeits renewal rights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 to 6 months or add cure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(Lessor unlikely to agree)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priority; mitigate via calendar/playbook</w:t>
            </w:r>
          </w:p>
        </w:tc>
      </w:tr>
    </w:tbl>
    <w:p>
      <w:pPr>
        <w:pStyle w:val="Heading2"/>
        <w:spacing w:before="400"/>
      </w:pPr>
      <w:r>
        <w:t xml:space="preserve">Recommended Approach</w:t>
      </w:r>
    </w:p>
    <w:p>
      <w:pPr>
        <w:spacing w:after="100"/>
      </w:pPr>
      <w:r>
        <w:rPr>
          <w:b/>
          <w:bCs/>
        </w:rPr>
        <w:t xml:space="preserve">1. Establish relationship first. </w:t>
      </w:r>
      <w:r>
        <w:t xml:space="preserve">Before raising any negotiation points, build rapport with Techny Land through introductory meeting and regular communication.</w:t>
      </w:r>
    </w:p>
    <w:p>
      <w:pPr>
        <w:spacing w:after="100"/>
      </w:pPr>
      <w:r>
        <w:rPr>
          <w:b/>
          <w:bCs/>
        </w:rPr>
        <w:t xml:space="preserve">2. Lead with mutual benefit items. </w:t>
      </w:r>
      <w:r>
        <w:t xml:space="preserve">The 2040 appraisal methodology discussion benefits both parties by reducing future disputes. Start there.</w:t>
      </w:r>
    </w:p>
    <w:p>
      <w:pPr>
        <w:spacing w:after="100"/>
      </w:pPr>
      <w:r>
        <w:rPr>
          <w:b/>
          <w:bCs/>
        </w:rPr>
        <w:t xml:space="preserve">3. Identify value to offer. </w:t>
      </w:r>
      <w:r>
        <w:t xml:space="preserve">Consider what NSIA could offer in exchange for lease improvements: early renewal commitment, facility upgrades, community programming, etc.</w:t>
      </w:r>
    </w:p>
    <w:p>
      <w:pPr>
        <w:spacing w:after="100"/>
      </w:pPr>
      <w:r>
        <w:rPr>
          <w:b/>
          <w:bCs/>
        </w:rPr>
        <w:t xml:space="preserve">4. Engage legal counsel. </w:t>
      </w:r>
      <w:r>
        <w:t xml:space="preserve">Any lease amendment negotiations should involve independent legal counsel representing NSIA's interests.</w:t>
      </w:r>
    </w:p>
    <w:p>
      <w:pPr>
        <w:spacing w:after="100"/>
      </w:pPr>
      <w:r>
        <w:rPr>
          <w:b/>
          <w:bCs/>
        </w:rPr>
        <w:t xml:space="preserve">5. Document everything. </w:t>
      </w:r>
      <w:r>
        <w:t xml:space="preserve">Keep detailed records of all Lessor discussions for institutional continuity.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2026-01-29T12:22:32.494Z</dcterms:created>
  <dcterms:modified xsi:type="dcterms:W3CDTF">2026-01-29T12:22:32.494Z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