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26B2" w14:paraId="77F8A40D" w14:textId="77777777" w:rsidTr="003A26B2">
        <w:tc>
          <w:tcPr>
            <w:tcW w:w="3116" w:type="dxa"/>
          </w:tcPr>
          <w:p w14:paraId="09EAFA86" w14:textId="50615F8C" w:rsidR="003A26B2" w:rsidRDefault="003A26B2">
            <w:r>
              <w:t>1</w:t>
            </w:r>
          </w:p>
        </w:tc>
        <w:tc>
          <w:tcPr>
            <w:tcW w:w="3117" w:type="dxa"/>
          </w:tcPr>
          <w:p w14:paraId="1699A805" w14:textId="429B6111" w:rsidR="003A26B2" w:rsidRDefault="003A26B2">
            <w:r>
              <w:t>1</w:t>
            </w:r>
          </w:p>
        </w:tc>
        <w:tc>
          <w:tcPr>
            <w:tcW w:w="3117" w:type="dxa"/>
          </w:tcPr>
          <w:p w14:paraId="1FCF8A48" w14:textId="4885F371" w:rsidR="003A26B2" w:rsidRDefault="003A26B2">
            <w:r>
              <w:t>1</w:t>
            </w:r>
          </w:p>
        </w:tc>
      </w:tr>
      <w:tr w:rsidR="003A26B2" w14:paraId="0520DC9F" w14:textId="77777777" w:rsidTr="003A26B2">
        <w:tc>
          <w:tcPr>
            <w:tcW w:w="3116" w:type="dxa"/>
          </w:tcPr>
          <w:p w14:paraId="18BA73E5" w14:textId="5DE78F88" w:rsidR="003A26B2" w:rsidRDefault="003A26B2">
            <w:r>
              <w:t>1</w:t>
            </w:r>
          </w:p>
        </w:tc>
        <w:tc>
          <w:tcPr>
            <w:tcW w:w="3117" w:type="dxa"/>
          </w:tcPr>
          <w:p w14:paraId="43FCE4B1" w14:textId="177A43C1" w:rsidR="003A26B2" w:rsidRDefault="003A26B2">
            <w:r>
              <w:t>1</w:t>
            </w:r>
          </w:p>
        </w:tc>
        <w:tc>
          <w:tcPr>
            <w:tcW w:w="3117" w:type="dxa"/>
          </w:tcPr>
          <w:p w14:paraId="57DE4599" w14:textId="342E79B7" w:rsidR="003A26B2" w:rsidRDefault="003A26B2">
            <w:r>
              <w:t>1</w:t>
            </w:r>
          </w:p>
        </w:tc>
      </w:tr>
    </w:tbl>
    <w:p w14:paraId="31BADDCD" w14:textId="6EF30256" w:rsidR="00D711E0" w:rsidRDefault="00D711E0"/>
    <w:p w14:paraId="7BAD9918" w14:textId="17132547" w:rsidR="00B859B4" w:rsidRDefault="007611D7">
      <w:proofErr w:type="spellStart"/>
      <w:r>
        <w:t>fdsadfsafdsafdsa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9B4" w14:paraId="65B2CA7A" w14:textId="77777777" w:rsidTr="00B859B4">
        <w:tc>
          <w:tcPr>
            <w:tcW w:w="4675" w:type="dxa"/>
          </w:tcPr>
          <w:p w14:paraId="26A1DF26" w14:textId="22FE9953" w:rsidR="00B859B4" w:rsidRDefault="00B859B4">
            <w:r>
              <w:t>1</w:t>
            </w:r>
          </w:p>
        </w:tc>
        <w:tc>
          <w:tcPr>
            <w:tcW w:w="4675" w:type="dxa"/>
          </w:tcPr>
          <w:p w14:paraId="2AFA76F8" w14:textId="1C4CD5B4" w:rsidR="00B859B4" w:rsidRDefault="00B859B4">
            <w:r>
              <w:t>1</w:t>
            </w:r>
          </w:p>
        </w:tc>
      </w:tr>
      <w:tr w:rsidR="00B859B4" w14:paraId="76DD4DCD" w14:textId="77777777" w:rsidTr="00B859B4">
        <w:tc>
          <w:tcPr>
            <w:tcW w:w="4675" w:type="dxa"/>
          </w:tcPr>
          <w:p w14:paraId="170EA7FA" w14:textId="4AAF17FB" w:rsidR="00B859B4" w:rsidRDefault="00B859B4">
            <w:r>
              <w:t>1</w:t>
            </w:r>
          </w:p>
        </w:tc>
        <w:tc>
          <w:tcPr>
            <w:tcW w:w="4675" w:type="dxa"/>
          </w:tcPr>
          <w:p w14:paraId="284EECC0" w14:textId="3A37DDDD" w:rsidR="00B859B4" w:rsidRDefault="00B859B4">
            <w:r>
              <w:t>1</w:t>
            </w:r>
          </w:p>
        </w:tc>
      </w:tr>
    </w:tbl>
    <w:p w14:paraId="547F37AB" w14:textId="4089E257" w:rsidR="00B859B4" w:rsidRDefault="00B859B4"/>
    <w:tbl>
      <w:tblPr>
        <w:tblStyle w:val="OCETable"/>
        <w:tblW w:w="5000" w:type="pct"/>
        <w:tblLayout w:type="fixed"/>
        <w:tblLook w:val="04A0" w:firstRow="1" w:lastRow="0" w:firstColumn="1" w:lastColumn="0" w:noHBand="0" w:noVBand="1"/>
        <w:tblCaption w:val="Australian population, GDP and energy consumption"/>
        <w:tblDescription w:val="First column has population GDP, Energy consumption, energy consumption per capita, energy intensity and energy productivity. The second two columns are years. 2010-11, and 2019-20. The last two columns show average annual growth in the last year, and over the last 10 years in percent."/>
      </w:tblPr>
      <w:tblGrid>
        <w:gridCol w:w="3658"/>
        <w:gridCol w:w="1348"/>
        <w:gridCol w:w="1346"/>
        <w:gridCol w:w="1501"/>
        <w:gridCol w:w="1507"/>
      </w:tblGrid>
      <w:tr w:rsidR="00A9068E" w:rsidRPr="001F1F3C" w14:paraId="3455F563" w14:textId="77777777" w:rsidTr="002A1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54" w:type="pct"/>
            <w:noWrap/>
            <w:vAlign w:val="bottom"/>
            <w:hideMark/>
          </w:tcPr>
          <w:p w14:paraId="6139F140" w14:textId="77777777" w:rsidR="00A9068E" w:rsidRPr="004679CC" w:rsidRDefault="00A9068E" w:rsidP="002A1999">
            <w:pPr>
              <w:pStyle w:val="Tableheadertext"/>
              <w:jc w:val="center"/>
              <w:rPr>
                <w:rFonts w:eastAsia="Times New Roman"/>
                <w:lang w:eastAsia="en-AU"/>
              </w:rPr>
            </w:pPr>
          </w:p>
        </w:tc>
        <w:tc>
          <w:tcPr>
            <w:tcW w:w="720" w:type="pct"/>
            <w:noWrap/>
            <w:vAlign w:val="bottom"/>
          </w:tcPr>
          <w:p w14:paraId="06E8FC5F" w14:textId="77777777" w:rsidR="00A9068E" w:rsidRPr="004679CC" w:rsidRDefault="00A9068E" w:rsidP="002A1999">
            <w:pPr>
              <w:pStyle w:val="Tableheadertext"/>
              <w:jc w:val="center"/>
              <w:rPr>
                <w:rFonts w:eastAsia="Times New Roman"/>
                <w:iCs/>
                <w:lang w:eastAsia="en-AU"/>
              </w:rPr>
            </w:pPr>
          </w:p>
        </w:tc>
        <w:tc>
          <w:tcPr>
            <w:tcW w:w="719" w:type="pct"/>
            <w:vAlign w:val="bottom"/>
          </w:tcPr>
          <w:p w14:paraId="33266D01" w14:textId="77777777" w:rsidR="00A9068E" w:rsidRPr="004679CC" w:rsidRDefault="00A9068E" w:rsidP="002A1999">
            <w:pPr>
              <w:pStyle w:val="Tableheadertext"/>
              <w:jc w:val="center"/>
              <w:rPr>
                <w:rFonts w:eastAsia="Times New Roman"/>
                <w:iCs/>
                <w:lang w:eastAsia="en-AU"/>
              </w:rPr>
            </w:pPr>
          </w:p>
        </w:tc>
        <w:tc>
          <w:tcPr>
            <w:tcW w:w="1607" w:type="pct"/>
            <w:gridSpan w:val="2"/>
            <w:noWrap/>
            <w:vAlign w:val="bottom"/>
            <w:hideMark/>
          </w:tcPr>
          <w:p w14:paraId="64308472" w14:textId="77777777" w:rsidR="00A9068E" w:rsidRPr="004679CC" w:rsidRDefault="00A9068E" w:rsidP="002A1999">
            <w:pPr>
              <w:pStyle w:val="Tableheadertext"/>
              <w:jc w:val="center"/>
              <w:rPr>
                <w:rFonts w:eastAsia="Times New Roman"/>
                <w:iCs/>
                <w:lang w:eastAsia="en-AU"/>
              </w:rPr>
            </w:pPr>
            <w:r w:rsidRPr="004679CC">
              <w:rPr>
                <w:rFonts w:eastAsia="Times New Roman"/>
                <w:iCs/>
                <w:lang w:eastAsia="en-AU"/>
              </w:rPr>
              <w:t>Average annual growth</w:t>
            </w:r>
          </w:p>
        </w:tc>
      </w:tr>
      <w:tr w:rsidR="00A9068E" w:rsidRPr="001F1F3C" w14:paraId="47408ED8" w14:textId="77777777" w:rsidTr="002A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4" w:type="pct"/>
            <w:shd w:val="clear" w:color="auto" w:fill="005CAF"/>
            <w:noWrap/>
            <w:vAlign w:val="bottom"/>
            <w:hideMark/>
          </w:tcPr>
          <w:p w14:paraId="60B3A6FD" w14:textId="77777777" w:rsidR="00A9068E" w:rsidRPr="004679CC" w:rsidRDefault="00A9068E" w:rsidP="002A1999">
            <w:pPr>
              <w:pStyle w:val="Tableheadertext"/>
              <w:jc w:val="center"/>
              <w:rPr>
                <w:rFonts w:eastAsia="Times New Roman"/>
                <w:lang w:eastAsia="en-AU"/>
              </w:rPr>
            </w:pPr>
          </w:p>
        </w:tc>
        <w:tc>
          <w:tcPr>
            <w:tcW w:w="720" w:type="pct"/>
            <w:shd w:val="clear" w:color="auto" w:fill="005CAF"/>
            <w:noWrap/>
            <w:vAlign w:val="center"/>
          </w:tcPr>
          <w:p w14:paraId="671A1173" w14:textId="77777777" w:rsidR="00A9068E" w:rsidRPr="004679CC" w:rsidRDefault="00A9068E" w:rsidP="002A1999">
            <w:pPr>
              <w:pStyle w:val="Tableheadertext"/>
              <w:jc w:val="right"/>
              <w:rPr>
                <w:rFonts w:eastAsia="Times New Roman"/>
                <w:iCs/>
                <w:lang w:eastAsia="en-AU"/>
              </w:rPr>
            </w:pPr>
            <w:r w:rsidRPr="009D0444">
              <w:t>2010–11</w:t>
            </w:r>
          </w:p>
        </w:tc>
        <w:tc>
          <w:tcPr>
            <w:tcW w:w="719" w:type="pct"/>
            <w:shd w:val="clear" w:color="auto" w:fill="005CAF"/>
            <w:noWrap/>
            <w:vAlign w:val="center"/>
          </w:tcPr>
          <w:p w14:paraId="6E1C44F0" w14:textId="77777777" w:rsidR="00A9068E" w:rsidRPr="004679CC" w:rsidRDefault="00A9068E" w:rsidP="002A1999">
            <w:pPr>
              <w:pStyle w:val="Tableheadertext"/>
              <w:jc w:val="right"/>
              <w:rPr>
                <w:rFonts w:eastAsia="Times New Roman"/>
                <w:iCs/>
                <w:lang w:eastAsia="en-AU"/>
              </w:rPr>
            </w:pPr>
            <w:r w:rsidRPr="009D0444">
              <w:t>2019–20</w:t>
            </w:r>
          </w:p>
        </w:tc>
        <w:tc>
          <w:tcPr>
            <w:tcW w:w="802" w:type="pct"/>
            <w:shd w:val="clear" w:color="auto" w:fill="005CAF"/>
            <w:noWrap/>
            <w:vAlign w:val="center"/>
            <w:hideMark/>
          </w:tcPr>
          <w:p w14:paraId="4D8D9510" w14:textId="77777777" w:rsidR="00A9068E" w:rsidRPr="004679CC" w:rsidRDefault="00A9068E" w:rsidP="002A1999">
            <w:pPr>
              <w:pStyle w:val="Tableheadertext"/>
              <w:jc w:val="right"/>
              <w:rPr>
                <w:rFonts w:eastAsia="Times New Roman"/>
                <w:lang w:eastAsia="en-AU"/>
              </w:rPr>
            </w:pPr>
            <w:r w:rsidRPr="009D0444">
              <w:t>2019–20 (per cent)</w:t>
            </w:r>
          </w:p>
        </w:tc>
        <w:tc>
          <w:tcPr>
            <w:tcW w:w="805" w:type="pct"/>
            <w:shd w:val="clear" w:color="auto" w:fill="005CAF"/>
            <w:noWrap/>
            <w:vAlign w:val="center"/>
            <w:hideMark/>
          </w:tcPr>
          <w:p w14:paraId="4B9C539D" w14:textId="77777777" w:rsidR="00A9068E" w:rsidRPr="004679CC" w:rsidRDefault="00A9068E" w:rsidP="002A1999">
            <w:pPr>
              <w:pStyle w:val="Tableheadertext"/>
              <w:jc w:val="right"/>
              <w:rPr>
                <w:rFonts w:eastAsia="Times New Roman"/>
                <w:lang w:eastAsia="en-AU"/>
              </w:rPr>
            </w:pPr>
            <w:r w:rsidRPr="009D0444">
              <w:t>10 years (per cent)</w:t>
            </w:r>
          </w:p>
        </w:tc>
      </w:tr>
      <w:tr w:rsidR="00A9068E" w:rsidRPr="005C3575" w14:paraId="5D701B7C" w14:textId="77777777" w:rsidTr="002A1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1954" w:type="pct"/>
            <w:noWrap/>
            <w:vAlign w:val="center"/>
            <w:hideMark/>
          </w:tcPr>
          <w:p w14:paraId="12B4C206" w14:textId="77777777" w:rsidR="00A9068E" w:rsidRPr="00F246AB" w:rsidRDefault="00A9068E" w:rsidP="002A1999">
            <w:pPr>
              <w:pStyle w:val="Tablebodytext"/>
            </w:pPr>
            <w:r w:rsidRPr="00F246AB">
              <w:t>Population (millions)</w:t>
            </w:r>
          </w:p>
        </w:tc>
        <w:tc>
          <w:tcPr>
            <w:tcW w:w="720" w:type="pct"/>
            <w:noWrap/>
            <w:vAlign w:val="center"/>
            <w:hideMark/>
          </w:tcPr>
          <w:p w14:paraId="3B841395" w14:textId="77777777" w:rsidR="00A9068E" w:rsidRPr="00AD45BF" w:rsidRDefault="00A9068E" w:rsidP="002A1999">
            <w:pPr>
              <w:jc w:val="right"/>
            </w:pPr>
            <w:r w:rsidRPr="00794079">
              <w:t>22.3</w:t>
            </w:r>
          </w:p>
        </w:tc>
        <w:tc>
          <w:tcPr>
            <w:tcW w:w="719" w:type="pct"/>
            <w:noWrap/>
            <w:vAlign w:val="center"/>
            <w:hideMark/>
          </w:tcPr>
          <w:p w14:paraId="54F005D5" w14:textId="77777777" w:rsidR="00A9068E" w:rsidRPr="00AD45BF" w:rsidRDefault="00A9068E" w:rsidP="002A1999">
            <w:pPr>
              <w:jc w:val="right"/>
            </w:pPr>
            <w:r w:rsidRPr="00794079">
              <w:t>25.7</w:t>
            </w:r>
          </w:p>
        </w:tc>
        <w:tc>
          <w:tcPr>
            <w:tcW w:w="802" w:type="pct"/>
            <w:noWrap/>
            <w:vAlign w:val="center"/>
            <w:hideMark/>
          </w:tcPr>
          <w:p w14:paraId="171C99E4" w14:textId="77777777" w:rsidR="00A9068E" w:rsidRPr="00AD45BF" w:rsidRDefault="00A9068E" w:rsidP="002A1999">
            <w:pPr>
              <w:jc w:val="right"/>
            </w:pPr>
            <w:r w:rsidRPr="00794079">
              <w:t>1.3</w:t>
            </w:r>
          </w:p>
        </w:tc>
        <w:tc>
          <w:tcPr>
            <w:tcW w:w="805" w:type="pct"/>
            <w:noWrap/>
            <w:vAlign w:val="center"/>
            <w:hideMark/>
          </w:tcPr>
          <w:p w14:paraId="3F488DAE" w14:textId="77777777" w:rsidR="00A9068E" w:rsidRPr="00AD45BF" w:rsidRDefault="00A9068E" w:rsidP="002A1999">
            <w:pPr>
              <w:jc w:val="right"/>
            </w:pPr>
            <w:r w:rsidRPr="00794079">
              <w:t>1.6</w:t>
            </w:r>
          </w:p>
        </w:tc>
      </w:tr>
      <w:tr w:rsidR="00A9068E" w:rsidRPr="005C3575" w14:paraId="410A397A" w14:textId="77777777" w:rsidTr="002A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954" w:type="pct"/>
            <w:noWrap/>
            <w:vAlign w:val="center"/>
            <w:hideMark/>
          </w:tcPr>
          <w:p w14:paraId="30DB44A1" w14:textId="77777777" w:rsidR="00A9068E" w:rsidRPr="00F246AB" w:rsidRDefault="00A9068E" w:rsidP="002A1999">
            <w:pPr>
              <w:pStyle w:val="Tablebodytext"/>
            </w:pPr>
            <w:r w:rsidRPr="00F246AB">
              <w:t>GDP ($ billion)</w:t>
            </w:r>
          </w:p>
        </w:tc>
        <w:tc>
          <w:tcPr>
            <w:tcW w:w="720" w:type="pct"/>
            <w:noWrap/>
            <w:vAlign w:val="center"/>
            <w:hideMark/>
          </w:tcPr>
          <w:p w14:paraId="66E4B37F" w14:textId="77777777" w:rsidR="00A9068E" w:rsidRPr="00AD45BF" w:rsidRDefault="00A9068E" w:rsidP="002A1999">
            <w:pPr>
              <w:jc w:val="right"/>
            </w:pPr>
            <w:r w:rsidRPr="00794079">
              <w:t>1,580.9</w:t>
            </w:r>
          </w:p>
        </w:tc>
        <w:tc>
          <w:tcPr>
            <w:tcW w:w="719" w:type="pct"/>
            <w:noWrap/>
            <w:vAlign w:val="center"/>
            <w:hideMark/>
          </w:tcPr>
          <w:p w14:paraId="6EC6F543" w14:textId="77777777" w:rsidR="00A9068E" w:rsidRPr="00AD45BF" w:rsidRDefault="00A9068E" w:rsidP="002A1999">
            <w:pPr>
              <w:jc w:val="right"/>
            </w:pPr>
            <w:r w:rsidRPr="00794079">
              <w:t>1,947.1</w:t>
            </w:r>
          </w:p>
        </w:tc>
        <w:tc>
          <w:tcPr>
            <w:tcW w:w="802" w:type="pct"/>
            <w:noWrap/>
            <w:vAlign w:val="center"/>
            <w:hideMark/>
          </w:tcPr>
          <w:p w14:paraId="61BBFB48" w14:textId="77777777" w:rsidR="00A9068E" w:rsidRPr="00AD45BF" w:rsidRDefault="00A9068E" w:rsidP="002A1999">
            <w:pPr>
              <w:jc w:val="right"/>
            </w:pPr>
            <w:r w:rsidRPr="00794079">
              <w:t>-0.3</w:t>
            </w:r>
          </w:p>
        </w:tc>
        <w:tc>
          <w:tcPr>
            <w:tcW w:w="805" w:type="pct"/>
            <w:noWrap/>
            <w:vAlign w:val="center"/>
            <w:hideMark/>
          </w:tcPr>
          <w:p w14:paraId="03A3E163" w14:textId="77777777" w:rsidR="00A9068E" w:rsidRPr="00AD45BF" w:rsidRDefault="00A9068E" w:rsidP="002A1999">
            <w:pPr>
              <w:jc w:val="right"/>
            </w:pPr>
            <w:r w:rsidRPr="00794079">
              <w:t>2.3</w:t>
            </w:r>
          </w:p>
        </w:tc>
      </w:tr>
      <w:tr w:rsidR="00A9068E" w:rsidRPr="005C3575" w14:paraId="56BEDEA2" w14:textId="77777777" w:rsidTr="002A1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1954" w:type="pct"/>
            <w:noWrap/>
            <w:vAlign w:val="center"/>
            <w:hideMark/>
          </w:tcPr>
          <w:p w14:paraId="404BE519" w14:textId="77777777" w:rsidR="00A9068E" w:rsidRPr="00F246AB" w:rsidRDefault="00A9068E" w:rsidP="002A1999">
            <w:pPr>
              <w:pStyle w:val="Tablebodytext"/>
            </w:pPr>
            <w:r w:rsidRPr="00F246AB">
              <w:t>Energy consumption (PJ)</w:t>
            </w:r>
          </w:p>
        </w:tc>
        <w:tc>
          <w:tcPr>
            <w:tcW w:w="720" w:type="pct"/>
            <w:noWrap/>
            <w:vAlign w:val="center"/>
            <w:hideMark/>
          </w:tcPr>
          <w:p w14:paraId="3AA0B983" w14:textId="77777777" w:rsidR="00A9068E" w:rsidRPr="00B54D5B" w:rsidRDefault="00A9068E" w:rsidP="002A1999">
            <w:pPr>
              <w:jc w:val="right"/>
            </w:pPr>
            <w:r w:rsidRPr="00794079">
              <w:t>5,902.5</w:t>
            </w:r>
          </w:p>
        </w:tc>
        <w:tc>
          <w:tcPr>
            <w:tcW w:w="719" w:type="pct"/>
            <w:noWrap/>
            <w:vAlign w:val="center"/>
            <w:hideMark/>
          </w:tcPr>
          <w:p w14:paraId="42F9B0BB" w14:textId="77777777" w:rsidR="00A9068E" w:rsidRPr="00B54D5B" w:rsidRDefault="00A9068E" w:rsidP="002A1999">
            <w:pPr>
              <w:jc w:val="right"/>
            </w:pPr>
            <w:r w:rsidRPr="00794079">
              <w:t>6,013.8</w:t>
            </w:r>
          </w:p>
        </w:tc>
        <w:tc>
          <w:tcPr>
            <w:tcW w:w="802" w:type="pct"/>
            <w:noWrap/>
            <w:vAlign w:val="center"/>
            <w:hideMark/>
          </w:tcPr>
          <w:p w14:paraId="7FFDBD1D" w14:textId="77777777" w:rsidR="00A9068E" w:rsidRPr="00B54D5B" w:rsidRDefault="00A9068E" w:rsidP="002A1999">
            <w:pPr>
              <w:jc w:val="right"/>
            </w:pPr>
            <w:r w:rsidRPr="00794079">
              <w:t>-2.9</w:t>
            </w:r>
          </w:p>
        </w:tc>
        <w:tc>
          <w:tcPr>
            <w:tcW w:w="805" w:type="pct"/>
            <w:noWrap/>
            <w:vAlign w:val="center"/>
            <w:hideMark/>
          </w:tcPr>
          <w:p w14:paraId="444CF0CE" w14:textId="77777777" w:rsidR="00A9068E" w:rsidRPr="00B54D5B" w:rsidRDefault="00A9068E" w:rsidP="002A1999">
            <w:pPr>
              <w:jc w:val="right"/>
            </w:pPr>
            <w:r w:rsidRPr="00794079">
              <w:t>0.2</w:t>
            </w:r>
          </w:p>
        </w:tc>
      </w:tr>
      <w:tr w:rsidR="00A9068E" w:rsidRPr="005C3575" w14:paraId="2955DA38" w14:textId="77777777" w:rsidTr="002A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tcW w:w="1954" w:type="pct"/>
            <w:noWrap/>
            <w:vAlign w:val="center"/>
            <w:hideMark/>
          </w:tcPr>
          <w:p w14:paraId="736FD7D9" w14:textId="77777777" w:rsidR="00A9068E" w:rsidRDefault="00A9068E" w:rsidP="002A1999">
            <w:pPr>
              <w:pStyle w:val="Tablebodytext"/>
            </w:pPr>
            <w:r w:rsidRPr="00F246AB">
              <w:t>Energy consumption</w:t>
            </w:r>
            <w:r>
              <w:t xml:space="preserve"> </w:t>
            </w:r>
          </w:p>
          <w:p w14:paraId="24B8885C" w14:textId="77777777" w:rsidR="00A9068E" w:rsidRPr="00F246AB" w:rsidRDefault="00A9068E" w:rsidP="002A1999">
            <w:pPr>
              <w:pStyle w:val="Tablebodytext"/>
              <w:ind w:left="318"/>
            </w:pPr>
            <w:r w:rsidRPr="00F246AB">
              <w:t>per capita (GJ)</w:t>
            </w:r>
          </w:p>
        </w:tc>
        <w:tc>
          <w:tcPr>
            <w:tcW w:w="720" w:type="pct"/>
            <w:noWrap/>
            <w:vAlign w:val="center"/>
            <w:hideMark/>
          </w:tcPr>
          <w:p w14:paraId="5653F3E2" w14:textId="77777777" w:rsidR="00A9068E" w:rsidRPr="00B54D5B" w:rsidRDefault="00A9068E" w:rsidP="002A1999">
            <w:pPr>
              <w:jc w:val="right"/>
            </w:pPr>
            <w:r w:rsidRPr="00794079">
              <w:t>264.2</w:t>
            </w:r>
          </w:p>
        </w:tc>
        <w:tc>
          <w:tcPr>
            <w:tcW w:w="719" w:type="pct"/>
            <w:noWrap/>
            <w:vAlign w:val="center"/>
            <w:hideMark/>
          </w:tcPr>
          <w:p w14:paraId="6DC0035C" w14:textId="77777777" w:rsidR="00A9068E" w:rsidRPr="00B54D5B" w:rsidRDefault="00A9068E" w:rsidP="002A1999">
            <w:pPr>
              <w:jc w:val="right"/>
            </w:pPr>
            <w:r w:rsidRPr="00794079">
              <w:t>234.0</w:t>
            </w:r>
          </w:p>
        </w:tc>
        <w:tc>
          <w:tcPr>
            <w:tcW w:w="802" w:type="pct"/>
            <w:noWrap/>
            <w:vAlign w:val="center"/>
            <w:hideMark/>
          </w:tcPr>
          <w:p w14:paraId="7A4DCD97" w14:textId="77777777" w:rsidR="00A9068E" w:rsidRPr="00B54D5B" w:rsidRDefault="00A9068E" w:rsidP="002A1999">
            <w:pPr>
              <w:jc w:val="right"/>
            </w:pPr>
            <w:r w:rsidRPr="00794079">
              <w:t>-4.2</w:t>
            </w:r>
          </w:p>
        </w:tc>
        <w:tc>
          <w:tcPr>
            <w:tcW w:w="805" w:type="pct"/>
            <w:noWrap/>
            <w:vAlign w:val="center"/>
            <w:hideMark/>
          </w:tcPr>
          <w:p w14:paraId="15D50CB9" w14:textId="77777777" w:rsidR="00A9068E" w:rsidRPr="00B54D5B" w:rsidRDefault="00A9068E" w:rsidP="002A1999">
            <w:pPr>
              <w:jc w:val="right"/>
            </w:pPr>
            <w:r w:rsidRPr="00794079">
              <w:t>-1.3</w:t>
            </w:r>
          </w:p>
        </w:tc>
      </w:tr>
      <w:tr w:rsidR="00A9068E" w:rsidRPr="00A8640E" w14:paraId="2024757B" w14:textId="77777777" w:rsidTr="002A19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1954" w:type="pct"/>
            <w:noWrap/>
            <w:vAlign w:val="center"/>
            <w:hideMark/>
          </w:tcPr>
          <w:p w14:paraId="5DA154FB" w14:textId="77777777" w:rsidR="00A9068E" w:rsidRPr="00F246AB" w:rsidRDefault="00A9068E" w:rsidP="002A1999">
            <w:pPr>
              <w:pStyle w:val="Tablebodytext"/>
            </w:pPr>
            <w:r w:rsidRPr="00F246AB">
              <w:t>Energy intensity (GJ/$ million)</w:t>
            </w:r>
          </w:p>
        </w:tc>
        <w:tc>
          <w:tcPr>
            <w:tcW w:w="720" w:type="pct"/>
            <w:noWrap/>
            <w:vAlign w:val="center"/>
            <w:hideMark/>
          </w:tcPr>
          <w:p w14:paraId="11461BB2" w14:textId="77777777" w:rsidR="00A9068E" w:rsidRPr="00B54D5B" w:rsidRDefault="00A9068E" w:rsidP="002A1999">
            <w:pPr>
              <w:jc w:val="right"/>
            </w:pPr>
            <w:r w:rsidRPr="00794079">
              <w:t>3,733.6</w:t>
            </w:r>
          </w:p>
        </w:tc>
        <w:tc>
          <w:tcPr>
            <w:tcW w:w="719" w:type="pct"/>
            <w:noWrap/>
            <w:vAlign w:val="center"/>
            <w:hideMark/>
          </w:tcPr>
          <w:p w14:paraId="49A12E77" w14:textId="77777777" w:rsidR="00A9068E" w:rsidRPr="00B54D5B" w:rsidRDefault="00A9068E" w:rsidP="002A1999">
            <w:pPr>
              <w:jc w:val="right"/>
            </w:pPr>
            <w:r w:rsidRPr="00794079">
              <w:t>3,088.6</w:t>
            </w:r>
          </w:p>
        </w:tc>
        <w:tc>
          <w:tcPr>
            <w:tcW w:w="802" w:type="pct"/>
            <w:noWrap/>
            <w:vAlign w:val="center"/>
            <w:hideMark/>
          </w:tcPr>
          <w:p w14:paraId="47806AEA" w14:textId="77777777" w:rsidR="00A9068E" w:rsidRPr="00B54D5B" w:rsidRDefault="00A9068E" w:rsidP="002A1999">
            <w:pPr>
              <w:jc w:val="right"/>
            </w:pPr>
            <w:r w:rsidRPr="00794079">
              <w:t>-2.7</w:t>
            </w:r>
          </w:p>
        </w:tc>
        <w:tc>
          <w:tcPr>
            <w:tcW w:w="805" w:type="pct"/>
            <w:noWrap/>
            <w:vAlign w:val="center"/>
            <w:hideMark/>
          </w:tcPr>
          <w:p w14:paraId="24926B20" w14:textId="77777777" w:rsidR="00A9068E" w:rsidRPr="00B54D5B" w:rsidRDefault="00A9068E" w:rsidP="002A1999">
            <w:pPr>
              <w:jc w:val="right"/>
            </w:pPr>
            <w:r w:rsidRPr="00794079">
              <w:t>-2.1</w:t>
            </w:r>
          </w:p>
        </w:tc>
      </w:tr>
      <w:tr w:rsidR="00A9068E" w:rsidRPr="00A8640E" w14:paraId="6810AB8B" w14:textId="77777777" w:rsidTr="002A1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1954" w:type="pct"/>
            <w:noWrap/>
            <w:vAlign w:val="center"/>
          </w:tcPr>
          <w:p w14:paraId="31BBB4C5" w14:textId="77777777" w:rsidR="00A9068E" w:rsidRDefault="00A9068E" w:rsidP="002A1999">
            <w:pPr>
              <w:pStyle w:val="Tablebodytext"/>
            </w:pPr>
            <w:r w:rsidRPr="00F246AB">
              <w:t xml:space="preserve">Energy productivity </w:t>
            </w:r>
          </w:p>
          <w:p w14:paraId="0912AF2E" w14:textId="77777777" w:rsidR="00A9068E" w:rsidRPr="00F246AB" w:rsidRDefault="00A9068E" w:rsidP="002A1999">
            <w:pPr>
              <w:pStyle w:val="Tablebodytext"/>
              <w:ind w:left="318"/>
            </w:pPr>
            <w:r w:rsidRPr="00F246AB">
              <w:t>($ million/PJ)</w:t>
            </w:r>
          </w:p>
        </w:tc>
        <w:tc>
          <w:tcPr>
            <w:tcW w:w="720" w:type="pct"/>
            <w:noWrap/>
            <w:vAlign w:val="center"/>
          </w:tcPr>
          <w:p w14:paraId="2CD7215F" w14:textId="77777777" w:rsidR="00A9068E" w:rsidRPr="00B54D5B" w:rsidRDefault="00A9068E" w:rsidP="002A1999">
            <w:pPr>
              <w:jc w:val="right"/>
            </w:pPr>
            <w:r w:rsidRPr="00794079">
              <w:t>267.8</w:t>
            </w:r>
          </w:p>
        </w:tc>
        <w:tc>
          <w:tcPr>
            <w:tcW w:w="719" w:type="pct"/>
            <w:noWrap/>
            <w:vAlign w:val="center"/>
          </w:tcPr>
          <w:p w14:paraId="5428130D" w14:textId="77777777" w:rsidR="00A9068E" w:rsidRPr="00B54D5B" w:rsidRDefault="00A9068E" w:rsidP="002A1999">
            <w:pPr>
              <w:jc w:val="right"/>
            </w:pPr>
            <w:r w:rsidRPr="00794079">
              <w:t>323.8</w:t>
            </w:r>
          </w:p>
        </w:tc>
        <w:tc>
          <w:tcPr>
            <w:tcW w:w="802" w:type="pct"/>
            <w:noWrap/>
            <w:vAlign w:val="center"/>
          </w:tcPr>
          <w:p w14:paraId="206FB5E3" w14:textId="77777777" w:rsidR="00A9068E" w:rsidRPr="00B54D5B" w:rsidRDefault="00A9068E" w:rsidP="002A1999">
            <w:pPr>
              <w:jc w:val="right"/>
            </w:pPr>
            <w:r w:rsidRPr="00794079">
              <w:t>2.7</w:t>
            </w:r>
          </w:p>
        </w:tc>
        <w:tc>
          <w:tcPr>
            <w:tcW w:w="805" w:type="pct"/>
            <w:noWrap/>
            <w:vAlign w:val="center"/>
          </w:tcPr>
          <w:p w14:paraId="78A188F9" w14:textId="77777777" w:rsidR="00A9068E" w:rsidRDefault="00A9068E" w:rsidP="002A1999">
            <w:pPr>
              <w:jc w:val="right"/>
            </w:pPr>
            <w:r w:rsidRPr="00794079">
              <w:t>2.1</w:t>
            </w:r>
          </w:p>
        </w:tc>
      </w:tr>
    </w:tbl>
    <w:p w14:paraId="04BCFCC6" w14:textId="77777777" w:rsidR="00A9068E" w:rsidRDefault="00A9068E"/>
    <w:sectPr w:rsidR="00A9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56"/>
    <w:rsid w:val="003A26B2"/>
    <w:rsid w:val="007611D7"/>
    <w:rsid w:val="00A9068E"/>
    <w:rsid w:val="00B859B4"/>
    <w:rsid w:val="00D711E0"/>
    <w:rsid w:val="00D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1AA"/>
  <w15:chartTrackingRefBased/>
  <w15:docId w15:val="{1A055D14-32DD-49D8-A532-842C86B9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CETable">
    <w:name w:val="OCE Table"/>
    <w:basedOn w:val="TableNormal"/>
    <w:uiPriority w:val="99"/>
    <w:rsid w:val="00A9068E"/>
    <w:pPr>
      <w:spacing w:after="0" w:line="240" w:lineRule="auto"/>
    </w:pPr>
    <w:rPr>
      <w:rFonts w:eastAsiaTheme="minorHAnsi"/>
      <w:color w:val="373737"/>
      <w:sz w:val="18"/>
      <w:lang w:val="en-AU" w:eastAsia="en-US"/>
    </w:rPr>
    <w:tblPr>
      <w:tblStyleRowBandSize w:val="1"/>
    </w:tblPr>
    <w:tcPr>
      <w:shd w:val="clear" w:color="auto" w:fill="CAE7F3"/>
    </w:tcPr>
    <w:tblStylePr w:type="firstRow">
      <w:rPr>
        <w:rFonts w:asciiTheme="minorHAnsi" w:hAnsiTheme="minorHAnsi"/>
        <w:b w:val="0"/>
        <w:i w:val="0"/>
        <w:color w:val="FFFFFF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5CAF"/>
      </w:tcPr>
    </w:tblStylePr>
    <w:tblStylePr w:type="band1Horz">
      <w:tblPr/>
      <w:tcPr>
        <w:shd w:val="clear" w:color="auto" w:fill="DEE8F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ableheadertext">
    <w:name w:val="Table header text"/>
    <w:basedOn w:val="Normal"/>
    <w:link w:val="TableheadertextChar"/>
    <w:qFormat/>
    <w:rsid w:val="00A9068E"/>
    <w:pPr>
      <w:keepNext/>
      <w:spacing w:before="120" w:after="120" w:line="240" w:lineRule="auto"/>
    </w:pPr>
    <w:rPr>
      <w:rFonts w:cs="Arial"/>
      <w:b/>
      <w:color w:val="FFFFFF"/>
      <w:sz w:val="18"/>
      <w:szCs w:val="18"/>
      <w:lang w:val="en-AU" w:eastAsia="en-US"/>
    </w:rPr>
  </w:style>
  <w:style w:type="character" w:customStyle="1" w:styleId="TableheadertextChar">
    <w:name w:val="Table header text Char"/>
    <w:basedOn w:val="DefaultParagraphFont"/>
    <w:link w:val="Tableheadertext"/>
    <w:rsid w:val="00A9068E"/>
    <w:rPr>
      <w:rFonts w:cs="Arial"/>
      <w:b/>
      <w:color w:val="FFFFFF"/>
      <w:sz w:val="18"/>
      <w:szCs w:val="18"/>
      <w:lang w:val="en-AU" w:eastAsia="en-US"/>
    </w:rPr>
  </w:style>
  <w:style w:type="paragraph" w:customStyle="1" w:styleId="Tablebodytext">
    <w:name w:val="Table body text"/>
    <w:basedOn w:val="Normal"/>
    <w:link w:val="TablebodytextChar"/>
    <w:qFormat/>
    <w:rsid w:val="00A9068E"/>
    <w:pPr>
      <w:keepNext/>
      <w:keepLines/>
      <w:spacing w:before="60" w:after="60" w:line="240" w:lineRule="auto"/>
    </w:pPr>
    <w:rPr>
      <w:rFonts w:cs="Arial"/>
      <w:sz w:val="18"/>
      <w:szCs w:val="18"/>
      <w:lang w:val="en-AU" w:eastAsia="en-US"/>
    </w:rPr>
  </w:style>
  <w:style w:type="character" w:customStyle="1" w:styleId="TablebodytextChar">
    <w:name w:val="Table body text Char"/>
    <w:basedOn w:val="DefaultParagraphFont"/>
    <w:link w:val="Tablebodytext"/>
    <w:rsid w:val="00A9068E"/>
    <w:rPr>
      <w:rFonts w:cs="Arial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 NGUYEN</dc:creator>
  <cp:keywords/>
  <dc:description/>
  <cp:lastModifiedBy>TRUNG KIEN NGUYEN</cp:lastModifiedBy>
  <cp:revision>5</cp:revision>
  <dcterms:created xsi:type="dcterms:W3CDTF">2022-03-01T03:23:00Z</dcterms:created>
  <dcterms:modified xsi:type="dcterms:W3CDTF">2022-03-01T03:39:00Z</dcterms:modified>
</cp:coreProperties>
</file>