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Durante el juego, la burbuja puede moverse en cualquiera de las 4 direcciones. Sin embargo, si se mueve hacia unas espinas que apuntan en la dirección opuesta a la del movimiento, la burbuja explotará. Por esa razón, es necesario determinar si al moverse, la bola explotará o no contra unas espinas, por lo que se hace necesario construir una función laBurbujaExplotaráContraEspinasAlMoverseAl, que dada una dirección de movimiento, y suponiendo que la burbuja está en la celda actual, indica si la burbuja impactará contra espinas, explotando, o no, al moverse en la dirección dada.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AYUDA: para que la burbuja explote, debe haber una espina en la celda lindante en la dirección a moverse y la espina en esa celda lindante debe apuntar en contra de la dirección a moverse.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Pueden utilizarse las siguientes funciones primitivas: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hayEspinasAl(dirección)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/* PROPÓSITO: indicar si en la celda lindante en la dirección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dada hay representadas espinas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PARÁMETROS: dirección, la Dirección a controlar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PRECONDICIONES: ninguna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RESULTADO: un Booleano, Verdadero si hay espinas en la celda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lindante en la dirección dada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function direcciónDeLasEspinasAl_(dirección)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 PROPÓSITO: describir la dirección a la que apuntan las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espinas que se encuentran en la celda lindante 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la dirección dada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PARÁMETROS: dirección, la Dirección a controlar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PRECONDICIONES: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* la celda lindante en la dirección dada tiene espinas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representadas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RESULTADO: una Dirección, a dónde apuntan las espinas de la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celda lindante en la dirección dada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[8:53 PM]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Como parte de la mejora de la representación incorporando las nuevas herramientas aprendidas, se definieron las siguientes funciones para modelar a las posibles clases: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function tipo()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/* PROPÓSITO: describir la representación de los tipos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PRECONDICIONES: ninguna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RESULTADO: un Color, que se utiliza para representar 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tipo de elemento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function dirección()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 PROPÓSITO: describir la representación de las direcciones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PRECONDICIONES: ninguna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RESULTADO: un Color, que se utiliza para representar a las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direcciones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function códigoDeDir_(dirección)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 PROPÓSITO: describir el código de la dirección dada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PRECONDICIONES: ninguna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PARÁMETROS: dirección, la Dirección a codificar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RESULTADO: un Número, el código de la dirección dada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function límite()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 PROPÓSITO: describir el código del elemento Límite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PRECONDICIONES: ninguna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RESULTADO: un Número, el código correspondiente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function espinas()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 PROPÓSITO: describir el código del elemento Espinas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PRECONDICIONES: ninguna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RESULTADO: un Número, el código correspondiente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Escribir el procedimiento PonerApuntandoAl, que dado el código de un elemento (del que se sabe que posee un atributo de dirección) y una dirección, coloque en la celda actual la representación de ese elemento apuntando en la dirección dada, suponiendo que la celda actual está vacía.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Utilizando el procedimiento recién definido, escribir PonerEspinasApuntandoAl_, que dada una dirección, coloca la representación del elemento Espinas en la dirección dada.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