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499AA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Una </w:t>
      </w:r>
      <w:r w:rsidRPr="0044178B">
        <w:rPr>
          <w:rFonts w:ascii="Arial" w:hAnsi="Arial" w:cs="Arial"/>
          <w:b/>
          <w:bCs/>
        </w:rPr>
        <w:t>Procedura Operativa Standard (SOP)</w:t>
      </w:r>
      <w:r w:rsidRPr="0044178B">
        <w:rPr>
          <w:rFonts w:ascii="Arial" w:hAnsi="Arial" w:cs="Arial"/>
        </w:rPr>
        <w:t xml:space="preserve"> conforme alla norma </w:t>
      </w:r>
      <w:r w:rsidRPr="0044178B">
        <w:rPr>
          <w:rFonts w:ascii="Arial" w:hAnsi="Arial" w:cs="Arial"/>
          <w:b/>
          <w:bCs/>
        </w:rPr>
        <w:t>ISO 15189</w:t>
      </w:r>
      <w:r w:rsidRPr="0044178B">
        <w:rPr>
          <w:rFonts w:ascii="Arial" w:hAnsi="Arial" w:cs="Arial"/>
        </w:rPr>
        <w:t xml:space="preserve"> deve essere un documento ingegnerizzato: non deve solo descrivere </w:t>
      </w:r>
      <w:r w:rsidRPr="0044178B">
        <w:rPr>
          <w:rFonts w:ascii="Arial" w:hAnsi="Arial" w:cs="Arial"/>
          <w:i/>
          <w:iCs/>
        </w:rPr>
        <w:t>cosa</w:t>
      </w:r>
      <w:r w:rsidRPr="0044178B">
        <w:rPr>
          <w:rFonts w:ascii="Arial" w:hAnsi="Arial" w:cs="Arial"/>
        </w:rPr>
        <w:t xml:space="preserve"> fare, ma deve dimostrare il controllo del rischio e garantire la riproducibilità del processo, indipendentemente dall'operatore che lo esegue.</w:t>
      </w:r>
    </w:p>
    <w:p w14:paraId="7478066A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Di seguito viene analizzata la struttura logica e sequenziale che ogni SOP del tuo Sistema di Gestione della Qualità dovrebbe seguire.</w:t>
      </w:r>
    </w:p>
    <w:p w14:paraId="3B9B13C8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pict w14:anchorId="4640D7E2">
          <v:rect id="_x0000_i1025" style="width:0;height:.75pt" o:hralign="center" o:hrstd="t" o:hr="t" fillcolor="#a0a0a0" stroked="f"/>
        </w:pict>
      </w:r>
    </w:p>
    <w:p w14:paraId="4752C27D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1. Intestazione Generale (Dati di Controllo del Documento)</w:t>
      </w:r>
    </w:p>
    <w:p w14:paraId="4CFBFF4A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Ogni pagina della procedura deve aprirsi con un'intestazione (generalmente in formato tabella) che garantisce l'identificazione univoca del documento (richiesta dal paragrafo sulla gestione delle informazioni).</w:t>
      </w:r>
    </w:p>
    <w:p w14:paraId="7A7D9777" w14:textId="77777777" w:rsidR="0044178B" w:rsidRPr="0044178B" w:rsidRDefault="0044178B" w:rsidP="0044178B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Logo e Nome del Laboratorio</w:t>
      </w:r>
    </w:p>
    <w:p w14:paraId="3F28AB6A" w14:textId="77777777" w:rsidR="0044178B" w:rsidRPr="0044178B" w:rsidRDefault="0044178B" w:rsidP="0044178B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Titolo della Procedura</w:t>
      </w:r>
      <w:r w:rsidRPr="0044178B">
        <w:rPr>
          <w:rFonts w:ascii="Arial" w:hAnsi="Arial" w:cs="Arial"/>
        </w:rPr>
        <w:t xml:space="preserve">: Chiaro, breve e descrittivo (es. </w:t>
      </w:r>
      <w:r w:rsidRPr="0044178B">
        <w:rPr>
          <w:rFonts w:ascii="Arial" w:hAnsi="Arial" w:cs="Arial"/>
          <w:i/>
          <w:iCs/>
        </w:rPr>
        <w:t xml:space="preserve">SOP-BIO-004: Gestione e validazione del campione </w:t>
      </w:r>
      <w:proofErr w:type="spellStart"/>
      <w:r w:rsidRPr="0044178B">
        <w:rPr>
          <w:rFonts w:ascii="Arial" w:hAnsi="Arial" w:cs="Arial"/>
          <w:i/>
          <w:iCs/>
        </w:rPr>
        <w:t>emolizzato</w:t>
      </w:r>
      <w:proofErr w:type="spellEnd"/>
      <w:r w:rsidRPr="0044178B">
        <w:rPr>
          <w:rFonts w:ascii="Arial" w:hAnsi="Arial" w:cs="Arial"/>
        </w:rPr>
        <w:t>).</w:t>
      </w:r>
    </w:p>
    <w:p w14:paraId="1644CCAA" w14:textId="77777777" w:rsidR="0044178B" w:rsidRPr="0044178B" w:rsidRDefault="0044178B" w:rsidP="0044178B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Codice Univoco e Numero di Revisione</w:t>
      </w:r>
      <w:r w:rsidRPr="0044178B">
        <w:rPr>
          <w:rFonts w:ascii="Arial" w:hAnsi="Arial" w:cs="Arial"/>
        </w:rPr>
        <w:t xml:space="preserve">: Fondamentale per evitare l'uso di documenti obsoleti (es. </w:t>
      </w:r>
      <w:r w:rsidRPr="0044178B">
        <w:rPr>
          <w:rFonts w:ascii="Arial" w:hAnsi="Arial" w:cs="Arial"/>
          <w:i/>
          <w:iCs/>
        </w:rPr>
        <w:t>Rev. 02</w:t>
      </w:r>
      <w:r w:rsidRPr="0044178B">
        <w:rPr>
          <w:rFonts w:ascii="Arial" w:hAnsi="Arial" w:cs="Arial"/>
        </w:rPr>
        <w:t>).</w:t>
      </w:r>
    </w:p>
    <w:p w14:paraId="686C5059" w14:textId="77777777" w:rsidR="0044178B" w:rsidRPr="0044178B" w:rsidRDefault="0044178B" w:rsidP="0044178B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Data di Entrata in Vigore</w:t>
      </w:r>
      <w:r w:rsidRPr="0044178B">
        <w:rPr>
          <w:rFonts w:ascii="Arial" w:hAnsi="Arial" w:cs="Arial"/>
        </w:rPr>
        <w:t>: La data esatta da cui il personale è obbligato a seguire tale istruzione.</w:t>
      </w:r>
    </w:p>
    <w:p w14:paraId="1E53682F" w14:textId="77777777" w:rsidR="0044178B" w:rsidRPr="0044178B" w:rsidRDefault="0044178B" w:rsidP="0044178B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Numero di Pagina</w:t>
      </w:r>
      <w:r w:rsidRPr="0044178B">
        <w:rPr>
          <w:rFonts w:ascii="Arial" w:hAnsi="Arial" w:cs="Arial"/>
        </w:rPr>
        <w:t xml:space="preserve">: Espresso in formato "Pagina X </w:t>
      </w:r>
      <w:proofErr w:type="spellStart"/>
      <w:r w:rsidRPr="0044178B">
        <w:rPr>
          <w:rFonts w:ascii="Arial" w:hAnsi="Arial" w:cs="Arial"/>
        </w:rPr>
        <w:t>di</w:t>
      </w:r>
      <w:proofErr w:type="spellEnd"/>
      <w:r w:rsidRPr="0044178B">
        <w:rPr>
          <w:rFonts w:ascii="Arial" w:hAnsi="Arial" w:cs="Arial"/>
        </w:rPr>
        <w:t xml:space="preserve"> Y" (per verificare la completezza del testo).</w:t>
      </w:r>
    </w:p>
    <w:p w14:paraId="00D0A49A" w14:textId="77777777" w:rsidR="0044178B" w:rsidRPr="0044178B" w:rsidRDefault="0044178B" w:rsidP="0044178B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Firme di Responsabilità</w:t>
      </w:r>
      <w:r w:rsidRPr="0044178B">
        <w:rPr>
          <w:rFonts w:ascii="Arial" w:hAnsi="Arial" w:cs="Arial"/>
        </w:rPr>
        <w:t xml:space="preserve">: Tre firme distinte con data: </w:t>
      </w:r>
      <w:r w:rsidRPr="0044178B">
        <w:rPr>
          <w:rFonts w:ascii="Arial" w:hAnsi="Arial" w:cs="Arial"/>
          <w:i/>
          <w:iCs/>
        </w:rPr>
        <w:t>Redatto da</w:t>
      </w:r>
      <w:r w:rsidRPr="0044178B">
        <w:rPr>
          <w:rFonts w:ascii="Arial" w:hAnsi="Arial" w:cs="Arial"/>
        </w:rPr>
        <w:t xml:space="preserve"> (l'operatore/tecnico), </w:t>
      </w:r>
      <w:r w:rsidRPr="0044178B">
        <w:rPr>
          <w:rFonts w:ascii="Arial" w:hAnsi="Arial" w:cs="Arial"/>
          <w:i/>
          <w:iCs/>
        </w:rPr>
        <w:t>Verificato da</w:t>
      </w:r>
      <w:r w:rsidRPr="0044178B">
        <w:rPr>
          <w:rFonts w:ascii="Arial" w:hAnsi="Arial" w:cs="Arial"/>
        </w:rPr>
        <w:t xml:space="preserve"> (il Responsabile Qualità), </w:t>
      </w:r>
      <w:r w:rsidRPr="0044178B">
        <w:rPr>
          <w:rFonts w:ascii="Arial" w:hAnsi="Arial" w:cs="Arial"/>
          <w:i/>
          <w:iCs/>
        </w:rPr>
        <w:t>Approvato da</w:t>
      </w:r>
      <w:r w:rsidRPr="0044178B">
        <w:rPr>
          <w:rFonts w:ascii="Arial" w:hAnsi="Arial" w:cs="Arial"/>
        </w:rPr>
        <w:t xml:space="preserve"> (il Direttore del Laboratorio).</w:t>
      </w:r>
    </w:p>
    <w:p w14:paraId="5F474D09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2. Scopo e Campo di Applicazione</w:t>
      </w:r>
    </w:p>
    <w:p w14:paraId="4D6328BD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Questa sezione definisce i confini operativi della procedura.</w:t>
      </w:r>
    </w:p>
    <w:p w14:paraId="701EB120" w14:textId="77777777" w:rsidR="0044178B" w:rsidRPr="0044178B" w:rsidRDefault="0044178B" w:rsidP="0044178B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Scopo</w:t>
      </w:r>
      <w:r w:rsidRPr="0044178B">
        <w:rPr>
          <w:rFonts w:ascii="Arial" w:hAnsi="Arial" w:cs="Arial"/>
        </w:rPr>
        <w:t xml:space="preserve">: Spiega il motivo per cui esiste il documento e l'obiettivo di qualità che persegue (es. </w:t>
      </w:r>
      <w:r w:rsidRPr="0044178B">
        <w:rPr>
          <w:rFonts w:ascii="Arial" w:hAnsi="Arial" w:cs="Arial"/>
          <w:i/>
          <w:iCs/>
        </w:rPr>
        <w:t xml:space="preserve">Garantire l'integrità dei risultati analitici riducendo l'impatto delle interferenze </w:t>
      </w:r>
      <w:proofErr w:type="spellStart"/>
      <w:r w:rsidRPr="0044178B">
        <w:rPr>
          <w:rFonts w:ascii="Arial" w:hAnsi="Arial" w:cs="Arial"/>
          <w:i/>
          <w:iCs/>
        </w:rPr>
        <w:t>pre</w:t>
      </w:r>
      <w:proofErr w:type="spellEnd"/>
      <w:r w:rsidRPr="0044178B">
        <w:rPr>
          <w:rFonts w:ascii="Arial" w:hAnsi="Arial" w:cs="Arial"/>
          <w:i/>
          <w:iCs/>
        </w:rPr>
        <w:t>-analitiche</w:t>
      </w:r>
      <w:r w:rsidRPr="0044178B">
        <w:rPr>
          <w:rFonts w:ascii="Arial" w:hAnsi="Arial" w:cs="Arial"/>
        </w:rPr>
        <w:t>).</w:t>
      </w:r>
    </w:p>
    <w:p w14:paraId="647E09FD" w14:textId="77777777" w:rsidR="0044178B" w:rsidRPr="0044178B" w:rsidRDefault="0044178B" w:rsidP="0044178B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Campo di Applicazione</w:t>
      </w:r>
      <w:r w:rsidRPr="0044178B">
        <w:rPr>
          <w:rFonts w:ascii="Arial" w:hAnsi="Arial" w:cs="Arial"/>
        </w:rPr>
        <w:t>: Specifica esattamente dove, quando e a quali campioni o processi si applica (e, se necessario, cosa è escluso).</w:t>
      </w:r>
    </w:p>
    <w:p w14:paraId="5252285E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3. Responsabilità</w:t>
      </w:r>
    </w:p>
    <w:p w14:paraId="34E388D9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Un elenco puntato e tassativo che assegna i compiti specifici alle diverse figure professionali coinvolte nel processo (es. Medico, Biologo, Tecnico di Laboratorio Biomedico - TSLB, Infermiere).</w:t>
      </w:r>
    </w:p>
    <w:p w14:paraId="1805B97D" w14:textId="77777777" w:rsidR="0044178B" w:rsidRPr="0044178B" w:rsidRDefault="0044178B" w:rsidP="0044178B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i/>
          <w:iCs/>
        </w:rPr>
        <w:t>Chi</w:t>
      </w:r>
      <w:r w:rsidRPr="0044178B">
        <w:rPr>
          <w:rFonts w:ascii="Arial" w:hAnsi="Arial" w:cs="Arial"/>
        </w:rPr>
        <w:t xml:space="preserve"> raccoglie il campione.</w:t>
      </w:r>
    </w:p>
    <w:p w14:paraId="2EA99CEB" w14:textId="77777777" w:rsidR="0044178B" w:rsidRPr="0044178B" w:rsidRDefault="0044178B" w:rsidP="0044178B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i/>
          <w:iCs/>
        </w:rPr>
        <w:t>Chi</w:t>
      </w:r>
      <w:r w:rsidRPr="0044178B">
        <w:rPr>
          <w:rFonts w:ascii="Arial" w:hAnsi="Arial" w:cs="Arial"/>
        </w:rPr>
        <w:t xml:space="preserve"> esegue la manutenzione dello strumento.</w:t>
      </w:r>
    </w:p>
    <w:p w14:paraId="3BF5B92A" w14:textId="77777777" w:rsidR="0044178B" w:rsidRPr="0044178B" w:rsidRDefault="0044178B" w:rsidP="0044178B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i/>
          <w:iCs/>
        </w:rPr>
        <w:t>Chi</w:t>
      </w:r>
      <w:r w:rsidRPr="0044178B">
        <w:rPr>
          <w:rFonts w:ascii="Arial" w:hAnsi="Arial" w:cs="Arial"/>
        </w:rPr>
        <w:t xml:space="preserve"> valida clinicamente il dato.</w:t>
      </w:r>
    </w:p>
    <w:p w14:paraId="5CCD5945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4. Gestione del Rischio Clinico (Specifico ISO 15189)</w:t>
      </w:r>
    </w:p>
    <w:p w14:paraId="4CE6A42D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Questo è il vero cuore della nuova impostazione ISO 15189. Prima della descrizione operativa, la procedura deve evidenziare i rischi associati a quel processo e le barriere per prevenirli.</w:t>
      </w:r>
    </w:p>
    <w:p w14:paraId="473532B5" w14:textId="77777777" w:rsidR="0044178B" w:rsidRPr="0044178B" w:rsidRDefault="0044178B" w:rsidP="0044178B">
      <w:pPr>
        <w:numPr>
          <w:ilvl w:val="0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Identificazione dei rischi</w:t>
      </w:r>
      <w:r w:rsidRPr="0044178B">
        <w:rPr>
          <w:rFonts w:ascii="Arial" w:hAnsi="Arial" w:cs="Arial"/>
        </w:rPr>
        <w:t xml:space="preserve">: Cosa può andare storto? (es. </w:t>
      </w:r>
      <w:r w:rsidRPr="0044178B">
        <w:rPr>
          <w:rFonts w:ascii="Arial" w:hAnsi="Arial" w:cs="Arial"/>
          <w:i/>
          <w:iCs/>
        </w:rPr>
        <w:t>Scambio di provetta, degradazione del target molecolare per errata temperatura</w:t>
      </w:r>
      <w:r w:rsidRPr="0044178B">
        <w:rPr>
          <w:rFonts w:ascii="Arial" w:hAnsi="Arial" w:cs="Arial"/>
        </w:rPr>
        <w:t>).</w:t>
      </w:r>
    </w:p>
    <w:p w14:paraId="5EE713DB" w14:textId="77777777" w:rsidR="0044178B" w:rsidRPr="0044178B" w:rsidRDefault="0044178B" w:rsidP="0044178B">
      <w:pPr>
        <w:numPr>
          <w:ilvl w:val="0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Azioni di mitigazione</w:t>
      </w:r>
      <w:r w:rsidRPr="0044178B">
        <w:rPr>
          <w:rFonts w:ascii="Arial" w:hAnsi="Arial" w:cs="Arial"/>
        </w:rPr>
        <w:t xml:space="preserve">: Quali controlli sistematici sono attivi per azzerare il rischio? (es. </w:t>
      </w:r>
      <w:r w:rsidRPr="0044178B">
        <w:rPr>
          <w:rFonts w:ascii="Arial" w:hAnsi="Arial" w:cs="Arial"/>
          <w:i/>
          <w:iCs/>
        </w:rPr>
        <w:t>Uso del codice a barre bidimensionale, sistemi di monitoraggio continuo della temperatura</w:t>
      </w:r>
      <w:r w:rsidRPr="0044178B">
        <w:rPr>
          <w:rFonts w:ascii="Arial" w:hAnsi="Arial" w:cs="Arial"/>
        </w:rPr>
        <w:t>).</w:t>
      </w:r>
    </w:p>
    <w:p w14:paraId="61F1AB0C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5. Descrizione delle Attività (Il Flusso Operativo)</w:t>
      </w:r>
    </w:p>
    <w:p w14:paraId="0F3BDA2E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È il corpo della procedura. Deve essere scritto utilizzando verbi all'azione, frasi brevi e un linguaggio privo di ambiguità. Per i processi analitici, si standardizza seguendo tre fasi: [1, 2] </w:t>
      </w:r>
    </w:p>
    <w:p w14:paraId="062DE2FE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lastRenderedPageBreak/>
        <w:t xml:space="preserve">A. Fase </w:t>
      </w:r>
      <w:proofErr w:type="spellStart"/>
      <w:r w:rsidRPr="0044178B">
        <w:rPr>
          <w:rFonts w:ascii="Arial" w:hAnsi="Arial" w:cs="Arial"/>
          <w:b/>
          <w:bCs/>
        </w:rPr>
        <w:t>Pre</w:t>
      </w:r>
      <w:proofErr w:type="spellEnd"/>
      <w:r w:rsidRPr="0044178B">
        <w:rPr>
          <w:rFonts w:ascii="Arial" w:hAnsi="Arial" w:cs="Arial"/>
          <w:b/>
          <w:bCs/>
        </w:rPr>
        <w:t>-Analitica</w:t>
      </w:r>
    </w:p>
    <w:p w14:paraId="2969DA4E" w14:textId="77777777" w:rsidR="0044178B" w:rsidRPr="0044178B" w:rsidRDefault="0044178B" w:rsidP="0044178B">
      <w:pPr>
        <w:numPr>
          <w:ilvl w:val="0"/>
          <w:numId w:val="5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Preparazione del paziente (es. digiuno, sospensione farmaci).</w:t>
      </w:r>
    </w:p>
    <w:p w14:paraId="5CE8A65F" w14:textId="77777777" w:rsidR="0044178B" w:rsidRPr="0044178B" w:rsidRDefault="0044178B" w:rsidP="0044178B">
      <w:pPr>
        <w:numPr>
          <w:ilvl w:val="0"/>
          <w:numId w:val="5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Criteri di accettazione, identificazione e rifiuto dei campioni biologici.</w:t>
      </w:r>
    </w:p>
    <w:p w14:paraId="644361A7" w14:textId="77777777" w:rsidR="0044178B" w:rsidRPr="0044178B" w:rsidRDefault="0044178B" w:rsidP="0044178B">
      <w:pPr>
        <w:numPr>
          <w:ilvl w:val="0"/>
          <w:numId w:val="5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Modalità di conservazione e trasporto temporaneo. [3] </w:t>
      </w:r>
    </w:p>
    <w:p w14:paraId="08062707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B. Fase Analitica</w:t>
      </w:r>
    </w:p>
    <w:p w14:paraId="6F13E579" w14:textId="77777777" w:rsidR="0044178B" w:rsidRPr="0044178B" w:rsidRDefault="0044178B" w:rsidP="0044178B">
      <w:pPr>
        <w:numPr>
          <w:ilvl w:val="0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Principio del metodo analitico utilizzato.</w:t>
      </w:r>
    </w:p>
    <w:p w14:paraId="69573A0E" w14:textId="77777777" w:rsidR="0044178B" w:rsidRPr="0044178B" w:rsidRDefault="0044178B" w:rsidP="0044178B">
      <w:pPr>
        <w:numPr>
          <w:ilvl w:val="0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Prestazioni del sistema (linearità, sensibilità, specificità).</w:t>
      </w:r>
    </w:p>
    <w:p w14:paraId="525B28E4" w14:textId="77777777" w:rsidR="0044178B" w:rsidRPr="0044178B" w:rsidRDefault="0044178B" w:rsidP="0044178B">
      <w:pPr>
        <w:numPr>
          <w:ilvl w:val="0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Reagenti, calibri e materiali di riferimento necessari (con relative modalità di preparazione).</w:t>
      </w:r>
    </w:p>
    <w:p w14:paraId="0E3C8BB2" w14:textId="77777777" w:rsidR="0044178B" w:rsidRPr="0044178B" w:rsidRDefault="0044178B" w:rsidP="0044178B">
      <w:pPr>
        <w:numPr>
          <w:ilvl w:val="0"/>
          <w:numId w:val="6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  <w:b/>
          <w:bCs/>
        </w:rPr>
        <w:t>Controllo Qualità</w:t>
      </w:r>
      <w:r w:rsidRPr="0044178B">
        <w:rPr>
          <w:rFonts w:ascii="Arial" w:hAnsi="Arial" w:cs="Arial"/>
        </w:rPr>
        <w:t xml:space="preserve">: Istruzioni precise su come e quando eseguire il Controllo Qualità Interno (CQI) e cosa fare se i valori sono fuori dai limiti di accettabilità (Regole di </w:t>
      </w:r>
      <w:proofErr w:type="spellStart"/>
      <w:r w:rsidRPr="0044178B">
        <w:rPr>
          <w:rFonts w:ascii="Arial" w:hAnsi="Arial" w:cs="Arial"/>
        </w:rPr>
        <w:t>Westgard</w:t>
      </w:r>
      <w:proofErr w:type="spellEnd"/>
      <w:r w:rsidRPr="0044178B">
        <w:rPr>
          <w:rFonts w:ascii="Arial" w:hAnsi="Arial" w:cs="Arial"/>
        </w:rPr>
        <w:t xml:space="preserve">). [4] </w:t>
      </w:r>
    </w:p>
    <w:p w14:paraId="43C7EF79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C. Fase Post-Analitica</w:t>
      </w:r>
    </w:p>
    <w:p w14:paraId="683ADD8E" w14:textId="77777777" w:rsidR="0044178B" w:rsidRPr="0044178B" w:rsidRDefault="0044178B" w:rsidP="0044178B">
      <w:pPr>
        <w:numPr>
          <w:ilvl w:val="0"/>
          <w:numId w:val="7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Criteri per la validazione tecnica e biologica.</w:t>
      </w:r>
    </w:p>
    <w:p w14:paraId="3552804E" w14:textId="77777777" w:rsidR="0044178B" w:rsidRPr="0044178B" w:rsidRDefault="0044178B" w:rsidP="0044178B">
      <w:pPr>
        <w:numPr>
          <w:ilvl w:val="0"/>
          <w:numId w:val="7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Modalità di refertazione (inclusa la gestione dei </w:t>
      </w:r>
      <w:r w:rsidRPr="0044178B">
        <w:rPr>
          <w:rFonts w:ascii="Arial" w:hAnsi="Arial" w:cs="Arial"/>
          <w:b/>
          <w:bCs/>
        </w:rPr>
        <w:t>valori critici o di panico</w:t>
      </w:r>
      <w:r w:rsidRPr="0044178B">
        <w:rPr>
          <w:rFonts w:ascii="Arial" w:hAnsi="Arial" w:cs="Arial"/>
        </w:rPr>
        <w:t>, che richiedono comunicazione telefonica immediata e tracciata al medico curante).</w:t>
      </w:r>
    </w:p>
    <w:p w14:paraId="39110382" w14:textId="77777777" w:rsidR="0044178B" w:rsidRPr="0044178B" w:rsidRDefault="0044178B" w:rsidP="0044178B">
      <w:pPr>
        <w:numPr>
          <w:ilvl w:val="0"/>
          <w:numId w:val="7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Smaltimento o archiviazione dei campioni residui. [5] </w:t>
      </w:r>
    </w:p>
    <w:p w14:paraId="5CC05D87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6. Riferimenti Normativi e Bibliografici</w:t>
      </w:r>
    </w:p>
    <w:p w14:paraId="5AD0F2EF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L'elenco dei documenti scientifici e legali su cui si basa la procedura per dimostrarne la validità scientifica.</w:t>
      </w:r>
    </w:p>
    <w:p w14:paraId="1D04B46F" w14:textId="77777777" w:rsidR="0044178B" w:rsidRPr="0044178B" w:rsidRDefault="0044178B" w:rsidP="0044178B">
      <w:pPr>
        <w:numPr>
          <w:ilvl w:val="0"/>
          <w:numId w:val="8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Norma ISO 15189 (paragrafi di riferimento).</w:t>
      </w:r>
    </w:p>
    <w:p w14:paraId="588AD898" w14:textId="77777777" w:rsidR="0044178B" w:rsidRPr="0044178B" w:rsidRDefault="0044178B" w:rsidP="0044178B">
      <w:pPr>
        <w:numPr>
          <w:ilvl w:val="0"/>
          <w:numId w:val="8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Linee guida delle società scientifiche (es. </w:t>
      </w:r>
      <w:proofErr w:type="spellStart"/>
      <w:r w:rsidRPr="0044178B">
        <w:rPr>
          <w:rFonts w:ascii="Arial" w:hAnsi="Arial" w:cs="Arial"/>
        </w:rPr>
        <w:t>SIBioC</w:t>
      </w:r>
      <w:proofErr w:type="spellEnd"/>
      <w:r w:rsidRPr="0044178B">
        <w:rPr>
          <w:rFonts w:ascii="Arial" w:hAnsi="Arial" w:cs="Arial"/>
        </w:rPr>
        <w:t xml:space="preserve">, </w:t>
      </w:r>
      <w:proofErr w:type="spellStart"/>
      <w:r w:rsidRPr="0044178B">
        <w:rPr>
          <w:rFonts w:ascii="Arial" w:hAnsi="Arial" w:cs="Arial"/>
        </w:rPr>
        <w:t>SIPMeL</w:t>
      </w:r>
      <w:proofErr w:type="spellEnd"/>
      <w:r w:rsidRPr="0044178B">
        <w:rPr>
          <w:rFonts w:ascii="Arial" w:hAnsi="Arial" w:cs="Arial"/>
        </w:rPr>
        <w:t>, CLSI).</w:t>
      </w:r>
    </w:p>
    <w:p w14:paraId="61A429FD" w14:textId="77777777" w:rsidR="0044178B" w:rsidRPr="0044178B" w:rsidRDefault="0044178B" w:rsidP="0044178B">
      <w:pPr>
        <w:numPr>
          <w:ilvl w:val="0"/>
          <w:numId w:val="8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Manuali d'uso del fabbricante dello strumento o del kit reattivo.</w:t>
      </w:r>
    </w:p>
    <w:p w14:paraId="71EBC8E4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7. Modulistica e Registrazioni (I Record di Evidenza)</w:t>
      </w:r>
    </w:p>
    <w:p w14:paraId="7D86C7F0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Una procedura non è verificabile se non produce prove cartacee o digitali. In questa sezione finale si elencano tutti i moduli che l'operatore deve compilare eseguendo la procedura.</w:t>
      </w:r>
    </w:p>
    <w:p w14:paraId="36B13ECB" w14:textId="77777777" w:rsidR="0044178B" w:rsidRPr="0044178B" w:rsidRDefault="0044178B" w:rsidP="0044178B">
      <w:pPr>
        <w:numPr>
          <w:ilvl w:val="0"/>
          <w:numId w:val="9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Codice del modulo di manutenzione.</w:t>
      </w:r>
    </w:p>
    <w:p w14:paraId="48C2CE48" w14:textId="77777777" w:rsidR="0044178B" w:rsidRPr="0044178B" w:rsidRDefault="0044178B" w:rsidP="0044178B">
      <w:pPr>
        <w:numPr>
          <w:ilvl w:val="0"/>
          <w:numId w:val="9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Log sul software LIS delle temperature o delle calibrazioni.</w:t>
      </w:r>
    </w:p>
    <w:p w14:paraId="74708681" w14:textId="77777777" w:rsidR="0044178B" w:rsidRPr="0044178B" w:rsidRDefault="0044178B" w:rsidP="0044178B">
      <w:pPr>
        <w:numPr>
          <w:ilvl w:val="0"/>
          <w:numId w:val="9"/>
        </w:num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>Registro delle comunicazioni dei valori critici.</w:t>
      </w:r>
    </w:p>
    <w:p w14:paraId="1BE507B7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44178B">
        <w:rPr>
          <w:rFonts w:ascii="Arial" w:hAnsi="Arial" w:cs="Arial"/>
          <w:b/>
          <w:bCs/>
        </w:rPr>
        <w:t>8. Storico delle Revisioni</w:t>
      </w:r>
    </w:p>
    <w:p w14:paraId="3C65ACE8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Una tabella posta alla fine del documento che traccia la storia della SOP. Deve contenere: Numero di revisione precedente, Numero di revisione attuale, Data della modifica e una </w:t>
      </w:r>
      <w:r w:rsidRPr="0044178B">
        <w:rPr>
          <w:rFonts w:ascii="Arial" w:hAnsi="Arial" w:cs="Arial"/>
          <w:b/>
          <w:bCs/>
        </w:rPr>
        <w:t>breve descrizione testuale del cambiamento effettuato</w:t>
      </w:r>
      <w:r w:rsidRPr="0044178B">
        <w:rPr>
          <w:rFonts w:ascii="Arial" w:hAnsi="Arial" w:cs="Arial"/>
        </w:rPr>
        <w:t xml:space="preserve"> (es. </w:t>
      </w:r>
      <w:r w:rsidRPr="0044178B">
        <w:rPr>
          <w:rFonts w:ascii="Arial" w:hAnsi="Arial" w:cs="Arial"/>
          <w:i/>
          <w:iCs/>
        </w:rPr>
        <w:t>Aggiornato paragrafo 5.B per inserimento nuovo analizzatore modello X</w:t>
      </w:r>
      <w:r w:rsidRPr="0044178B">
        <w:rPr>
          <w:rFonts w:ascii="Arial" w:hAnsi="Arial" w:cs="Arial"/>
        </w:rPr>
        <w:t>).</w:t>
      </w:r>
    </w:p>
    <w:p w14:paraId="23A70751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pict w14:anchorId="40A6E539">
          <v:rect id="_x0000_i1026" style="width:0;height:.75pt" o:hralign="center" o:hrstd="t" o:hr="t" fillcolor="#a0a0a0" stroked="f"/>
        </w:pict>
      </w:r>
    </w:p>
    <w:p w14:paraId="59D06965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Per procedere nella costruzione del tuo sistema, preferisci vedere un </w:t>
      </w:r>
      <w:r w:rsidRPr="0044178B">
        <w:rPr>
          <w:rFonts w:ascii="Arial" w:hAnsi="Arial" w:cs="Arial"/>
          <w:b/>
          <w:bCs/>
        </w:rPr>
        <w:t>esempio pratico di testo</w:t>
      </w:r>
      <w:r w:rsidRPr="0044178B">
        <w:rPr>
          <w:rFonts w:ascii="Arial" w:hAnsi="Arial" w:cs="Arial"/>
        </w:rPr>
        <w:t xml:space="preserve"> per un paragrafo specifico (ad esempio, come scrivere la procedura per la </w:t>
      </w:r>
      <w:r w:rsidRPr="0044178B">
        <w:rPr>
          <w:rFonts w:ascii="Arial" w:hAnsi="Arial" w:cs="Arial"/>
          <w:i/>
          <w:iCs/>
        </w:rPr>
        <w:t>Gestione dei Valori Critici</w:t>
      </w:r>
      <w:r w:rsidRPr="0044178B">
        <w:rPr>
          <w:rFonts w:ascii="Arial" w:hAnsi="Arial" w:cs="Arial"/>
        </w:rPr>
        <w:t xml:space="preserve">), oppure preferisci analizzare come impostare il </w:t>
      </w:r>
      <w:r w:rsidRPr="0044178B">
        <w:rPr>
          <w:rFonts w:ascii="Arial" w:hAnsi="Arial" w:cs="Arial"/>
          <w:b/>
          <w:bCs/>
        </w:rPr>
        <w:t>piano di addestramento e valutazione delle competenze del personale</w:t>
      </w:r>
      <w:r w:rsidRPr="0044178B">
        <w:rPr>
          <w:rFonts w:ascii="Arial" w:hAnsi="Arial" w:cs="Arial"/>
        </w:rPr>
        <w:t xml:space="preserve"> (paragrafo 5 della norma)?</w:t>
      </w:r>
    </w:p>
    <w:p w14:paraId="2B681FA9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</w:p>
    <w:p w14:paraId="5493534F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[1] </w:t>
      </w:r>
      <w:hyperlink r:id="rId5" w:history="1">
        <w:r w:rsidRPr="0044178B">
          <w:rPr>
            <w:rStyle w:val="Collegamentoipertestuale"/>
            <w:rFonts w:ascii="Arial" w:hAnsi="Arial" w:cs="Arial"/>
          </w:rPr>
          <w:t>https://www.canva.com</w:t>
        </w:r>
      </w:hyperlink>
    </w:p>
    <w:p w14:paraId="32EFF164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[2] </w:t>
      </w:r>
      <w:hyperlink r:id="rId6" w:history="1">
        <w:r w:rsidRPr="0044178B">
          <w:rPr>
            <w:rStyle w:val="Collegamentoipertestuale"/>
            <w:rFonts w:ascii="Arial" w:hAnsi="Arial" w:cs="Arial"/>
          </w:rPr>
          <w:t>https://ordex.it</w:t>
        </w:r>
      </w:hyperlink>
    </w:p>
    <w:p w14:paraId="3A0C4E30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[3] </w:t>
      </w:r>
      <w:hyperlink r:id="rId7" w:history="1">
        <w:r w:rsidRPr="0044178B">
          <w:rPr>
            <w:rStyle w:val="Collegamentoipertestuale"/>
            <w:rFonts w:ascii="Arial" w:hAnsi="Arial" w:cs="Arial"/>
          </w:rPr>
          <w:t>https://www.sipmel.it</w:t>
        </w:r>
      </w:hyperlink>
    </w:p>
    <w:p w14:paraId="05205E82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lastRenderedPageBreak/>
        <w:t xml:space="preserve">[4] </w:t>
      </w:r>
      <w:hyperlink r:id="rId8" w:history="1">
        <w:r w:rsidRPr="0044178B">
          <w:rPr>
            <w:rStyle w:val="Collegamentoipertestuale"/>
            <w:rFonts w:ascii="Arial" w:hAnsi="Arial" w:cs="Arial"/>
          </w:rPr>
          <w:t>https://truescreen.io</w:t>
        </w:r>
      </w:hyperlink>
    </w:p>
    <w:p w14:paraId="45D65740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  <w:r w:rsidRPr="0044178B">
        <w:rPr>
          <w:rFonts w:ascii="Arial" w:hAnsi="Arial" w:cs="Arial"/>
        </w:rPr>
        <w:t xml:space="preserve">[5] </w:t>
      </w:r>
      <w:hyperlink r:id="rId9" w:history="1">
        <w:r w:rsidRPr="0044178B">
          <w:rPr>
            <w:rStyle w:val="Collegamentoipertestuale"/>
            <w:rFonts w:ascii="Arial" w:hAnsi="Arial" w:cs="Arial"/>
          </w:rPr>
          <w:t>https://www.aslal.it</w:t>
        </w:r>
      </w:hyperlink>
    </w:p>
    <w:p w14:paraId="45A4AFC5" w14:textId="77777777" w:rsidR="0044178B" w:rsidRPr="0044178B" w:rsidRDefault="0044178B" w:rsidP="0044178B">
      <w:pPr>
        <w:spacing w:before="120" w:after="0" w:line="240" w:lineRule="auto"/>
        <w:jc w:val="both"/>
        <w:rPr>
          <w:rFonts w:ascii="Arial" w:hAnsi="Arial" w:cs="Arial"/>
        </w:rPr>
      </w:pPr>
    </w:p>
    <w:sectPr w:rsidR="0044178B" w:rsidRPr="004417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7609"/>
    <w:multiLevelType w:val="multilevel"/>
    <w:tmpl w:val="EFB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532A"/>
    <w:multiLevelType w:val="multilevel"/>
    <w:tmpl w:val="86E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211D"/>
    <w:multiLevelType w:val="multilevel"/>
    <w:tmpl w:val="370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B2DB4"/>
    <w:multiLevelType w:val="multilevel"/>
    <w:tmpl w:val="328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E7773"/>
    <w:multiLevelType w:val="multilevel"/>
    <w:tmpl w:val="B6D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F1EC8"/>
    <w:multiLevelType w:val="multilevel"/>
    <w:tmpl w:val="085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A6E02"/>
    <w:multiLevelType w:val="multilevel"/>
    <w:tmpl w:val="17C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953E2"/>
    <w:multiLevelType w:val="multilevel"/>
    <w:tmpl w:val="978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93DF8"/>
    <w:multiLevelType w:val="multilevel"/>
    <w:tmpl w:val="4DD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14667">
    <w:abstractNumId w:val="3"/>
  </w:num>
  <w:num w:numId="2" w16cid:durableId="1443304000">
    <w:abstractNumId w:val="1"/>
  </w:num>
  <w:num w:numId="3" w16cid:durableId="1323855064">
    <w:abstractNumId w:val="5"/>
  </w:num>
  <w:num w:numId="4" w16cid:durableId="1589390392">
    <w:abstractNumId w:val="7"/>
  </w:num>
  <w:num w:numId="5" w16cid:durableId="201554992">
    <w:abstractNumId w:val="6"/>
  </w:num>
  <w:num w:numId="6" w16cid:durableId="329262724">
    <w:abstractNumId w:val="0"/>
  </w:num>
  <w:num w:numId="7" w16cid:durableId="1298222621">
    <w:abstractNumId w:val="2"/>
  </w:num>
  <w:num w:numId="8" w16cid:durableId="2142651864">
    <w:abstractNumId w:val="8"/>
  </w:num>
  <w:num w:numId="9" w16cid:durableId="589584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8B"/>
    <w:rsid w:val="0044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C7A1"/>
  <w15:chartTrackingRefBased/>
  <w15:docId w15:val="{821E9795-F895-449B-8A22-F619EBA4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44178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41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6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0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2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1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8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3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4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0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4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0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6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escreen.io/it/articoli/standard-internazionali-conservazione-prove-digita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pmel.it/it/riviste/articolopdf.php/7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dex.it/blog/procedure-operative-standard-come-scriver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anva.com/it_it/docs/standard-operating-procedur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slal.it/allegati/PO%20FP%20001%20rev_9%20provv.pdf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de Falco</dc:creator>
  <cp:keywords/>
  <dc:description/>
  <cp:lastModifiedBy>Paolo de Falco</cp:lastModifiedBy>
  <cp:revision>1</cp:revision>
  <dcterms:created xsi:type="dcterms:W3CDTF">2026-06-12T14:39:00Z</dcterms:created>
  <dcterms:modified xsi:type="dcterms:W3CDTF">2026-06-12T14:41:00Z</dcterms:modified>
</cp:coreProperties>
</file>