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CCA">
        <w:rPr>
          <w:rFonts w:ascii="Arial" w:eastAsia="Times New Roman" w:hAnsi="Arial" w:cs="Arial"/>
          <w:b/>
          <w:bCs/>
          <w:color w:val="000000"/>
          <w:lang w:eastAsia="ru-RU"/>
        </w:rPr>
        <w:t>Описание:</w:t>
      </w:r>
    </w:p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CCA">
        <w:rPr>
          <w:rFonts w:ascii="Arial" w:eastAsia="Times New Roman" w:hAnsi="Arial" w:cs="Arial"/>
          <w:color w:val="000000"/>
          <w:lang w:eastAsia="ru-RU"/>
        </w:rPr>
        <w:t xml:space="preserve">Заказчик хочет, что в мобильное приложение интернет-магазина "Петрушка Зеленая" начали </w:t>
      </w:r>
      <w:proofErr w:type="gramStart"/>
      <w:r w:rsidRPr="00027CCA">
        <w:rPr>
          <w:rFonts w:ascii="Arial" w:eastAsia="Times New Roman" w:hAnsi="Arial" w:cs="Arial"/>
          <w:color w:val="000000"/>
          <w:lang w:eastAsia="ru-RU"/>
        </w:rPr>
        <w:t>приходить</w:t>
      </w:r>
      <w:proofErr w:type="gramEnd"/>
      <w:r w:rsidRPr="00027CCA">
        <w:rPr>
          <w:rFonts w:ascii="Arial" w:eastAsia="Times New Roman" w:hAnsi="Arial" w:cs="Arial"/>
          <w:color w:val="000000"/>
          <w:lang w:eastAsia="ru-RU"/>
        </w:rPr>
        <w:t xml:space="preserve">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CCA">
        <w:rPr>
          <w:rFonts w:ascii="Arial" w:eastAsia="Times New Roman" w:hAnsi="Arial" w:cs="Arial"/>
          <w:b/>
          <w:bCs/>
          <w:color w:val="000000"/>
          <w:lang w:eastAsia="ru-RU"/>
        </w:rPr>
        <w:t>Что нужно сделать:</w:t>
      </w:r>
    </w:p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CCA">
        <w:rPr>
          <w:rFonts w:ascii="Arial" w:eastAsia="Times New Roman" w:hAnsi="Arial" w:cs="Arial"/>
          <w:color w:val="000000"/>
          <w:lang w:eastAsia="ru-RU"/>
        </w:rPr>
        <w:t xml:space="preserve">Построить </w:t>
      </w:r>
      <w:proofErr w:type="spellStart"/>
      <w:r w:rsidRPr="00027CCA">
        <w:rPr>
          <w:rFonts w:ascii="Arial" w:eastAsia="Times New Roman" w:hAnsi="Arial" w:cs="Arial"/>
          <w:color w:val="000000"/>
          <w:lang w:eastAsia="ru-RU"/>
        </w:rPr>
        <w:t>верхнеуровневую</w:t>
      </w:r>
      <w:proofErr w:type="spellEnd"/>
      <w:r w:rsidRPr="00027C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7CCA">
        <w:rPr>
          <w:rFonts w:ascii="Arial" w:eastAsia="Times New Roman" w:hAnsi="Arial" w:cs="Arial"/>
          <w:color w:val="000000"/>
          <w:lang w:eastAsia="ru-RU"/>
        </w:rPr>
        <w:t>архитектурую</w:t>
      </w:r>
      <w:proofErr w:type="spellEnd"/>
      <w:r w:rsidRPr="00027CCA">
        <w:rPr>
          <w:rFonts w:ascii="Arial" w:eastAsia="Times New Roman" w:hAnsi="Arial" w:cs="Arial"/>
          <w:color w:val="000000"/>
          <w:lang w:eastAsia="ru-RU"/>
        </w:rPr>
        <w:t xml:space="preserve"> схему - как должна работать отправка PUSH уведомлений в данном приложении. Можно просто в виде блок схем. Считаем, что на </w:t>
      </w:r>
      <w:proofErr w:type="spellStart"/>
      <w:r w:rsidRPr="00027CCA">
        <w:rPr>
          <w:rFonts w:ascii="Arial" w:eastAsia="Times New Roman" w:hAnsi="Arial" w:cs="Arial"/>
          <w:color w:val="000000"/>
          <w:lang w:eastAsia="ru-RU"/>
        </w:rPr>
        <w:t>бэкенде</w:t>
      </w:r>
      <w:proofErr w:type="spellEnd"/>
      <w:r w:rsidRPr="00027CC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7CCA">
        <w:rPr>
          <w:rFonts w:ascii="Arial" w:eastAsia="Times New Roman" w:hAnsi="Arial" w:cs="Arial"/>
          <w:color w:val="000000"/>
          <w:lang w:eastAsia="ru-RU"/>
        </w:rPr>
        <w:t>микросервисная</w:t>
      </w:r>
      <w:proofErr w:type="spellEnd"/>
      <w:r w:rsidRPr="00027CCA">
        <w:rPr>
          <w:rFonts w:ascii="Arial" w:eastAsia="Times New Roman" w:hAnsi="Arial" w:cs="Arial"/>
          <w:color w:val="000000"/>
          <w:lang w:eastAsia="ru-RU"/>
        </w:rPr>
        <w:t xml:space="preserve"> архитектура. В данном задании рекомендуется в интернете изучить архитектуры подобных решений.</w:t>
      </w:r>
    </w:p>
    <w:p w:rsidR="00027CCA" w:rsidRPr="00027CCA" w:rsidRDefault="00027CCA" w:rsidP="00027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CCA">
        <w:rPr>
          <w:rFonts w:ascii="Arial" w:eastAsia="Times New Roman" w:hAnsi="Arial" w:cs="Arial"/>
          <w:color w:val="000000"/>
          <w:lang w:eastAsia="ru-RU"/>
        </w:rPr>
        <w:t>Быть готовым на собеседовании обсудить эту схему.</w:t>
      </w:r>
    </w:p>
    <w:p w:rsidR="00027CCA" w:rsidRDefault="00027CCA" w:rsidP="00027CCA"/>
    <w:p w:rsidR="00027CCA" w:rsidRPr="00027CCA" w:rsidRDefault="00E175BC" w:rsidP="00027CCA">
      <w:pPr>
        <w:rPr>
          <w:b/>
          <w:bCs/>
        </w:rPr>
      </w:pPr>
      <w:r>
        <w:rPr>
          <w:b/>
          <w:bCs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252095</wp:posOffset>
                </wp:positionV>
                <wp:extent cx="3573780" cy="2872740"/>
                <wp:effectExtent l="0" t="0" r="26670" b="22860"/>
                <wp:wrapNone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3780" cy="2872740"/>
                          <a:chOff x="0" y="0"/>
                          <a:chExt cx="3573780" cy="2872740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152400" y="807720"/>
                            <a:ext cx="1744980" cy="6781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27CCA" w:rsidRDefault="00027CCA" w:rsidP="00027CCA">
                              <w:pPr>
                                <w:jc w:val="center"/>
                              </w:pPr>
                              <w:r>
                                <w:t>Приложение «Петрушка Зеленая»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Блок-схема: магнитный диск 3"/>
                        <wps:cNvSpPr/>
                        <wps:spPr>
                          <a:xfrm>
                            <a:off x="129540" y="1699260"/>
                            <a:ext cx="1790700" cy="87630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27CCA" w:rsidRDefault="00027CCA" w:rsidP="00027CCA">
                              <w:pPr>
                                <w:jc w:val="center"/>
                              </w:pPr>
                              <w:r>
                                <w:t xml:space="preserve">Локальное хранилище </w:t>
                              </w:r>
                              <w:proofErr w:type="spellStart"/>
                              <w:r>
                                <w:t>токенов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0" y="0"/>
                            <a:ext cx="2065020" cy="287274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CCA" w:rsidRPr="00027CCA" w:rsidRDefault="00027CCA" w:rsidP="00027CCA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027CCA">
                                <w:rPr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Мобильное приложение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Скругленный прямоугольник 5"/>
                        <wps:cNvSpPr/>
                        <wps:spPr>
                          <a:xfrm>
                            <a:off x="2621280" y="1059180"/>
                            <a:ext cx="952500" cy="6172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27CCA" w:rsidRPr="00027CCA" w:rsidRDefault="00027CCA" w:rsidP="00027CCA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SUB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7" o:spid="_x0000_s1026" style="position:absolute;margin-left:1.35pt;margin-top:19.85pt;width:281.4pt;height:226.2pt;z-index:251662336" coordsize="35737,28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">
                <v:rect id="Прямоугольник 2" o:spid="_x0000_s1027" style="position:absolute;left:1524;top:8077;width:17449;height:67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Tg5LwA&#10;AADaAAAADwAAAGRycy9kb3ducmV2LnhtbESPywrCMBBF94L/EEZwp6kuVKpRRBBEcOHjA4ZmbKrN&#10;pDTRtn9vBMHl5T4Od7VpbSneVPvCsYLJOAFBnDldcK7gdt2PFiB8QNZYOiYFHXnYrPu9FabaNXym&#10;9yXkIo6wT1GBCaFKpfSZIYt+7Cri6N1dbTFEWedS19jEcVvKaZLMpMWCI8FgRTtD2fPyshGCdO4m&#10;82b3PJn2WFDZPejVKTUctNsliEBt+Id/7YNWMIXvlXgD5P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NpODkvAAAANoAAAAPAAAAAAAAAAAAAAAAAJgCAABkcnMvZG93bnJldi54&#10;bWxQSwUGAAAAAAQABAD1AAAAgQMAAAAA&#10;" fillcolor="#5b9bd5 [3204]" strokecolor="#1f4d78 [1604]" strokeweight="1pt">
                  <v:textbox>
                    <w:txbxContent>
                      <w:p w:rsidR="00027CCA" w:rsidRDefault="00027CCA" w:rsidP="00027CCA">
                        <w:pPr>
                          <w:jc w:val="center"/>
                        </w:pPr>
                        <w:r>
                          <w:t>Приложение «Петрушка Зеленая»</w:t>
                        </w:r>
                      </w:p>
                    </w:txbxContent>
                  </v:textbox>
                </v:rect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Блок-схема: магнитный диск 3" o:spid="_x0000_s1028" type="#_x0000_t132" style="position:absolute;left:1295;top:16992;width:17907;height:8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tr38AA&#10;AADaAAAADwAAAGRycy9kb3ducmV2LnhtbESPQWsCMRSE70L/Q3hCbzXRlla2ZpciCF7dFnp9JM/N&#10;0s3LkkRd/fVNoeBxmJlvmE0z+UGcKaY+sIblQoEgNsH23Gn4+tw9rUGkjGxxCEwarpSgqR9mG6xs&#10;uPCBzm3uRIFwqlCDy3mspEzGkce0CCNx8Y4hesxFxk7aiJcC94NcKfUqPfZcFhyOtHVkftqT16C2&#10;zrQhcn9D8304Dsqv31681o/z6eMdRKYp38P/7b3V8Ax/V8oNkP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1tr38AAAADaAAAADwAAAAAAAAAAAAAAAACYAgAAZHJzL2Rvd25y&#10;ZXYueG1sUEsFBgAAAAAEAAQA9QAAAIUDAAAAAA==&#10;" fillcolor="#5b9bd5 [3204]" strokecolor="#1f4d78 [1604]" strokeweight="1pt">
                  <v:stroke joinstyle="miter"/>
                  <v:textbox>
                    <w:txbxContent>
                      <w:p w:rsidR="00027CCA" w:rsidRDefault="00027CCA" w:rsidP="00027CCA">
                        <w:pPr>
                          <w:jc w:val="center"/>
                        </w:pPr>
                        <w:r>
                          <w:t xml:space="preserve">Локальное хранилище </w:t>
                        </w:r>
                        <w:proofErr w:type="spellStart"/>
                        <w:r>
                          <w:t>токенов</w:t>
                        </w:r>
                        <w:proofErr w:type="spellEnd"/>
                      </w:p>
                    </w:txbxContent>
                  </v:textbox>
                </v:shape>
                <v:rect id="Прямоугольник 4" o:spid="_x0000_s1029" style="position:absolute;width:20650;height:287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pHvMQA&#10;AADaAAAADwAAAGRycy9kb3ducmV2LnhtbESPQWvCQBSE74L/YXlCb7qxLRqjm1BbCkVEaOrF2yP7&#10;mqRm34bsNqb/visIHoeZ+YbZZINpRE+dqy0rmM8iEMSF1TWXCo5f79MYhPPIGhvLpOCPHGTpeLTB&#10;RNsLf1Kf+1IECLsEFVTet4mUrqjIoJvZljh437Yz6IPsSqk7vAS4aeRjFC2kwZrDQoUtvVZUnPNf&#10;o4D9z6nE+LCLzdtTNCxX28O+3yr1MBle1iA8Df4evrU/tIJnuF4JN0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aR7zEAAAA2gAAAA8AAAAAAAAAAAAAAAAAmAIAAGRycy9k&#10;b3ducmV2LnhtbFBLBQYAAAAABAAEAPUAAACJAwAAAAA=&#10;" filled="f" strokecolor="black [3200]" strokeweight="1pt">
                  <v:textbox>
                    <w:txbxContent>
                      <w:p w:rsidR="00027CCA" w:rsidRPr="00027CCA" w:rsidRDefault="00027CCA" w:rsidP="00027CCA">
                        <w:pPr>
                          <w:jc w:val="center"/>
                          <w:rPr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027CCA">
                          <w:rPr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Мобильное приложение</w:t>
                        </w:r>
                      </w:p>
                    </w:txbxContent>
                  </v:textbox>
                </v:rect>
                <v:roundrect id="Скругленный прямоугольник 5" o:spid="_x0000_s1030" style="position:absolute;left:26212;top:10591;width:9525;height:61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xxIcEA&#10;AADaAAAADwAAAGRycy9kb3ducmV2LnhtbESPQWsCMRSE7wX/Q3iCt5q1xSJbo2hFEDy5evH23Lxu&#10;tt28LEmq6b9vBKHHYWa+YebLZDtxJR9axwom4wIEce10y42C03H7PAMRIrLGzjEp+KUAy8XgaY6l&#10;djc+0LWKjcgQDiUqMDH2pZShNmQxjF1PnL1P5y3GLH0jtcdbhttOvhTFm7TYcl4w2NOHofq7+rEK&#10;rH5Nmy9cnWk7q9bnadpvvLkoNRqm1TuISCn+hx/tnVYwhfuVf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scSHBAAAA2gAAAA8AAAAAAAAAAAAAAAAAmAIAAGRycy9kb3du&#10;cmV2LnhtbFBLBQYAAAAABAAEAPUAAACGAwAAAAA=&#10;" fillcolor="#5b9bd5 [3204]" strokecolor="#1f4d78 [1604]" strokeweight="1pt">
                  <v:stroke joinstyle="miter"/>
                  <v:textbox>
                    <w:txbxContent>
                      <w:p w:rsidR="00027CCA" w:rsidRPr="00027CCA" w:rsidRDefault="00027CCA" w:rsidP="00027CCA">
                        <w:pPr>
                          <w:jc w:val="center"/>
                        </w:pPr>
                        <w:r>
                          <w:rPr>
                            <w:lang w:val="en-US"/>
                          </w:rPr>
                          <w:t>SUB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27CCA" w:rsidRPr="00027CCA">
        <w:rPr>
          <w:b/>
          <w:bCs/>
        </w:rPr>
        <w:t>Схема архитектуры (</w:t>
      </w:r>
      <w:proofErr w:type="spellStart"/>
      <w:r w:rsidR="00027CCA" w:rsidRPr="00027CCA">
        <w:rPr>
          <w:b/>
          <w:bCs/>
        </w:rPr>
        <w:t>Block</w:t>
      </w:r>
      <w:proofErr w:type="spellEnd"/>
      <w:r w:rsidR="00027CCA" w:rsidRPr="00027CCA">
        <w:rPr>
          <w:b/>
          <w:bCs/>
        </w:rPr>
        <w:t xml:space="preserve"> </w:t>
      </w:r>
      <w:proofErr w:type="spellStart"/>
      <w:r w:rsidR="00027CCA" w:rsidRPr="00027CCA">
        <w:rPr>
          <w:b/>
          <w:bCs/>
        </w:rPr>
        <w:t>Diagram</w:t>
      </w:r>
      <w:proofErr w:type="spellEnd"/>
      <w:r w:rsidR="00027CCA" w:rsidRPr="00027CCA">
        <w:rPr>
          <w:b/>
          <w:bCs/>
        </w:rPr>
        <w:t>)</w:t>
      </w:r>
    </w:p>
    <w:p w:rsidR="00027CCA" w:rsidRDefault="00027CCA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Default="00E175BC" w:rsidP="00027CCA">
      <w:pPr>
        <w:tabs>
          <w:tab w:val="left" w:pos="1596"/>
        </w:tabs>
      </w:pPr>
    </w:p>
    <w:p w:rsidR="00E175BC" w:rsidRPr="00E175BC" w:rsidRDefault="00E175BC" w:rsidP="00E175BC">
      <w:pPr>
        <w:tabs>
          <w:tab w:val="left" w:pos="1596"/>
        </w:tabs>
        <w:rPr>
          <w:b/>
        </w:rPr>
      </w:pPr>
      <w:r w:rsidRPr="00E175BC">
        <w:rPr>
          <w:b/>
        </w:rPr>
        <w:t>Описание компонентов</w:t>
      </w:r>
    </w:p>
    <w:p w:rsid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</w:pP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(Клиент):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>Запрашивает разрешение на пуши у ОС.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 xml:space="preserve">Получает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от FCM (</w:t>
      </w:r>
      <w:proofErr w:type="spellStart"/>
      <w:r>
        <w:t>Android</w:t>
      </w:r>
      <w:proofErr w:type="spellEnd"/>
      <w:r>
        <w:t xml:space="preserve">) или </w:t>
      </w:r>
      <w:proofErr w:type="spellStart"/>
      <w:r>
        <w:t>APNs</w:t>
      </w:r>
      <w:proofErr w:type="spellEnd"/>
      <w:r>
        <w:t xml:space="preserve"> (</w:t>
      </w:r>
      <w:proofErr w:type="spellStart"/>
      <w:r>
        <w:t>iOS</w:t>
      </w:r>
      <w:proofErr w:type="spellEnd"/>
      <w:r>
        <w:t>).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 xml:space="preserve">Отправляет </w:t>
      </w:r>
      <w:proofErr w:type="spellStart"/>
      <w:r>
        <w:t>токен</w:t>
      </w:r>
      <w:proofErr w:type="spellEnd"/>
      <w:r>
        <w:t xml:space="preserve"> на </w:t>
      </w:r>
      <w:proofErr w:type="spellStart"/>
      <w:r>
        <w:t>бэкенд</w:t>
      </w:r>
      <w:proofErr w:type="spellEnd"/>
      <w:r>
        <w:t xml:space="preserve"> при логине/обновлении сессии.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 xml:space="preserve">Обрабатывает получение пуша (показ уведомления,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— переход на конкретный экран).</w:t>
      </w:r>
    </w:p>
    <w:p w:rsid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</w:pPr>
      <w:r>
        <w:t xml:space="preserve">API </w:t>
      </w:r>
      <w:proofErr w:type="spellStart"/>
      <w:r>
        <w:t>Gateway</w:t>
      </w:r>
      <w:proofErr w:type="spellEnd"/>
      <w:r>
        <w:t>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>Единая точка входа. Маршрутизирует запросы регистрации устройств и трекинга открытий.</w:t>
      </w:r>
    </w:p>
    <w:p w:rsid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</w:pPr>
      <w:r>
        <w:t>Бизнес-</w:t>
      </w:r>
      <w:proofErr w:type="spellStart"/>
      <w:r>
        <w:t>микросервисы</w:t>
      </w:r>
      <w:proofErr w:type="spellEnd"/>
      <w:r>
        <w:t xml:space="preserve"> (</w:t>
      </w:r>
      <w:proofErr w:type="spellStart"/>
      <w:r>
        <w:t>Producers</w:t>
      </w:r>
      <w:proofErr w:type="spellEnd"/>
      <w:r>
        <w:t>):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Order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 Генерируют события (Заказ создан, Корзина брошена). Важно: Они не отправляют пуши сами, они только публикуют события в брокер.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Promo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 Формирует маркетинговые рассылки.</w:t>
      </w:r>
    </w:p>
    <w:p w:rsidR="00E175BC" w:rsidRP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  <w:rPr>
          <w:lang w:val="en-US"/>
        </w:rPr>
      </w:pPr>
      <w:r w:rsidRPr="00E175BC">
        <w:rPr>
          <w:lang w:val="en-US"/>
        </w:rPr>
        <w:t xml:space="preserve">Message Broker (Kafka / </w:t>
      </w:r>
      <w:proofErr w:type="spellStart"/>
      <w:r w:rsidRPr="00E175BC">
        <w:rPr>
          <w:lang w:val="en-US"/>
        </w:rPr>
        <w:t>RabbitMQ</w:t>
      </w:r>
      <w:proofErr w:type="spellEnd"/>
      <w:r w:rsidRPr="00E175BC">
        <w:rPr>
          <w:lang w:val="en-US"/>
        </w:rPr>
        <w:t>):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>Развязывает</w:t>
      </w:r>
      <w:r w:rsidRPr="00E175BC">
        <w:rPr>
          <w:lang w:val="en-US"/>
        </w:rPr>
        <w:t xml:space="preserve"> </w:t>
      </w:r>
      <w:r>
        <w:t>сервисы</w:t>
      </w:r>
      <w:r w:rsidRPr="00E175BC">
        <w:rPr>
          <w:lang w:val="en-US"/>
        </w:rPr>
        <w:t xml:space="preserve">. </w:t>
      </w:r>
      <w:r>
        <w:t>Если сервис уведомлений упадет, события не потеряются, а накопятся в очереди.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lastRenderedPageBreak/>
        <w:t xml:space="preserve">Топики могут быть разделены: </w:t>
      </w:r>
      <w:proofErr w:type="spellStart"/>
      <w:r>
        <w:t>transactional.push</w:t>
      </w:r>
      <w:proofErr w:type="spellEnd"/>
      <w:r>
        <w:t xml:space="preserve"> (высокий приоритет), </w:t>
      </w:r>
      <w:proofErr w:type="spellStart"/>
      <w:r>
        <w:t>marketing.push</w:t>
      </w:r>
      <w:proofErr w:type="spellEnd"/>
      <w:r>
        <w:t xml:space="preserve"> (низкий приоритет).</w:t>
      </w:r>
    </w:p>
    <w:p w:rsid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</w:pP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Core</w:t>
      </w:r>
      <w:proofErr w:type="spellEnd"/>
      <w:r>
        <w:t>):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>Потребитель очередей: Читает события из брокера.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 xml:space="preserve">Логика: Проверяет, нужно ли слать </w:t>
      </w:r>
      <w:proofErr w:type="spellStart"/>
      <w:r>
        <w:t>пуш</w:t>
      </w:r>
      <w:proofErr w:type="spellEnd"/>
      <w:r>
        <w:t xml:space="preserve"> (например, не спим ли мы ночью, не отписался ли пользователь от маркетинга).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Шаблонизация</w:t>
      </w:r>
      <w:proofErr w:type="spellEnd"/>
      <w:r>
        <w:t>: Подставляет данные (Имя, Номер заказа) в текст.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Роутинг</w:t>
      </w:r>
      <w:proofErr w:type="spellEnd"/>
      <w:r>
        <w:t>: Определяет, куда слать (</w:t>
      </w:r>
      <w:proofErr w:type="spellStart"/>
      <w:r>
        <w:t>iOS</w:t>
      </w:r>
      <w:proofErr w:type="spellEnd"/>
      <w:r>
        <w:t xml:space="preserve"> или </w:t>
      </w:r>
      <w:proofErr w:type="spellStart"/>
      <w:r>
        <w:t>Android</w:t>
      </w:r>
      <w:proofErr w:type="spellEnd"/>
      <w:r>
        <w:t xml:space="preserve">) на основе сохраненного </w:t>
      </w:r>
      <w:proofErr w:type="spellStart"/>
      <w:r>
        <w:t>токена</w:t>
      </w:r>
      <w:proofErr w:type="spellEnd"/>
      <w:r>
        <w:t>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: Защита от спама (не более N </w:t>
      </w:r>
      <w:proofErr w:type="spellStart"/>
      <w:r>
        <w:t>пушей</w:t>
      </w:r>
      <w:proofErr w:type="spellEnd"/>
      <w:r>
        <w:t xml:space="preserve"> в час).</w:t>
      </w:r>
    </w:p>
    <w:p w:rsidR="00E175BC" w:rsidRDefault="00E175BC" w:rsidP="00E175BC">
      <w:pPr>
        <w:pStyle w:val="a4"/>
        <w:numPr>
          <w:ilvl w:val="0"/>
          <w:numId w:val="1"/>
        </w:numPr>
        <w:tabs>
          <w:tab w:val="left" w:pos="1596"/>
        </w:tabs>
      </w:pPr>
      <w:r>
        <w:t>Базы данных: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NotifDB</w:t>
      </w:r>
      <w:proofErr w:type="spellEnd"/>
      <w:r>
        <w:t>: История отправленных уведомлений (для отладки и аналитики).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PrefDB</w:t>
      </w:r>
      <w:proofErr w:type="spellEnd"/>
      <w:r>
        <w:t xml:space="preserve">: Настройки пользователя (какие типы </w:t>
      </w:r>
      <w:proofErr w:type="spellStart"/>
      <w:r>
        <w:t>пушей</w:t>
      </w:r>
      <w:proofErr w:type="spellEnd"/>
      <w:r>
        <w:t xml:space="preserve"> разрешены).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 (FCM / </w:t>
      </w:r>
      <w:proofErr w:type="spellStart"/>
      <w:r>
        <w:t>APNs</w:t>
      </w:r>
      <w:proofErr w:type="spellEnd"/>
      <w:r>
        <w:t>):</w:t>
      </w:r>
    </w:p>
    <w:p w:rsidR="00E175BC" w:rsidRDefault="00E175BC" w:rsidP="00E175BC">
      <w:pPr>
        <w:pStyle w:val="a4"/>
        <w:numPr>
          <w:ilvl w:val="1"/>
          <w:numId w:val="1"/>
        </w:numPr>
        <w:tabs>
          <w:tab w:val="left" w:pos="1596"/>
        </w:tabs>
      </w:pPr>
      <w:r>
        <w:t>Фактические доставщики уведомлений на устройства.</w:t>
      </w:r>
    </w:p>
    <w:p w:rsidR="00E175BC" w:rsidRPr="00E175BC" w:rsidRDefault="00E175BC" w:rsidP="00E175BC">
      <w:pPr>
        <w:tabs>
          <w:tab w:val="left" w:pos="1596"/>
        </w:tabs>
        <w:rPr>
          <w:b/>
        </w:rPr>
      </w:pPr>
      <w:r>
        <w:rPr>
          <w:b/>
        </w:rPr>
        <w:t>Пример с</w:t>
      </w:r>
      <w:r w:rsidRPr="00E175BC">
        <w:rPr>
          <w:b/>
        </w:rPr>
        <w:t>ценари</w:t>
      </w:r>
      <w:r>
        <w:rPr>
          <w:b/>
        </w:rPr>
        <w:t>я</w:t>
      </w:r>
      <w:r w:rsidRPr="00E175BC">
        <w:rPr>
          <w:b/>
        </w:rPr>
        <w:t xml:space="preserve"> работы</w:t>
      </w:r>
      <w:r>
        <w:rPr>
          <w:b/>
        </w:rPr>
        <w:t xml:space="preserve"> с корзиной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>Триггер: Пользователь добавил товар в корзину, но не оформил заказ в течение 1 часа.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 xml:space="preserve">Событие: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по крону или событию таймаута публикует сообщение в </w:t>
      </w:r>
      <w:proofErr w:type="spellStart"/>
      <w:r>
        <w:t>Kafka</w:t>
      </w:r>
      <w:proofErr w:type="spellEnd"/>
      <w:r>
        <w:t xml:space="preserve"> </w:t>
      </w:r>
      <w:proofErr w:type="gramStart"/>
      <w:r>
        <w:t>в топик</w:t>
      </w:r>
      <w:proofErr w:type="gramEnd"/>
      <w:r>
        <w:t xml:space="preserve"> </w:t>
      </w:r>
      <w:proofErr w:type="spellStart"/>
      <w:r>
        <w:t>cart.abandoned</w:t>
      </w:r>
      <w:proofErr w:type="spellEnd"/>
      <w:r>
        <w:t xml:space="preserve">. Сообщение содержит: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items</w:t>
      </w:r>
      <w:proofErr w:type="spellEnd"/>
      <w:r>
        <w:t>.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 xml:space="preserve">Обработка: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забирает сообщение.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 xml:space="preserve">Проверка: Сервис проверяет в </w:t>
      </w:r>
      <w:proofErr w:type="spellStart"/>
      <w:r>
        <w:t>P</w:t>
      </w:r>
      <w:bookmarkStart w:id="0" w:name="_GoBack"/>
      <w:bookmarkEnd w:id="0"/>
      <w:r>
        <w:t>refDB</w:t>
      </w:r>
      <w:proofErr w:type="spellEnd"/>
      <w:r>
        <w:t xml:space="preserve">, согласен ли пользователь на напоминания. Проверяет в </w:t>
      </w:r>
      <w:proofErr w:type="spellStart"/>
      <w:r>
        <w:t>NotifDB</w:t>
      </w:r>
      <w:proofErr w:type="spellEnd"/>
      <w:r>
        <w:t xml:space="preserve">, не отправляли ли мы уже </w:t>
      </w:r>
      <w:proofErr w:type="spellStart"/>
      <w:r>
        <w:t>пуш</w:t>
      </w:r>
      <w:proofErr w:type="spellEnd"/>
      <w:r>
        <w:t xml:space="preserve"> по этой корзине (идемпотентность).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>Формирование: Берется шаблон: "{{</w:t>
      </w:r>
      <w:proofErr w:type="spellStart"/>
      <w:r>
        <w:t>name</w:t>
      </w:r>
      <w:proofErr w:type="spellEnd"/>
      <w:r>
        <w:t>}}, вы забыли {{</w:t>
      </w:r>
      <w:proofErr w:type="spellStart"/>
      <w:r>
        <w:t>items_count</w:t>
      </w:r>
      <w:proofErr w:type="spellEnd"/>
      <w:r>
        <w:t>}} товаров в корзине!".</w:t>
      </w:r>
    </w:p>
    <w:p w:rsidR="00E175BC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 xml:space="preserve">Отправка: Сервис находит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пользователя (из кэша </w:t>
      </w:r>
      <w:proofErr w:type="spellStart"/>
      <w:r>
        <w:t>Redis</w:t>
      </w:r>
      <w:proofErr w:type="spellEnd"/>
      <w:r>
        <w:t xml:space="preserve"> или БД) и отправляет запрос в FCM/</w:t>
      </w:r>
      <w:proofErr w:type="spellStart"/>
      <w:r>
        <w:t>APNs</w:t>
      </w:r>
      <w:proofErr w:type="spellEnd"/>
      <w:r>
        <w:t>.</w:t>
      </w:r>
    </w:p>
    <w:p w:rsidR="00E175BC" w:rsidRPr="00027CCA" w:rsidRDefault="00E175BC" w:rsidP="00E175BC">
      <w:pPr>
        <w:pStyle w:val="a4"/>
        <w:numPr>
          <w:ilvl w:val="0"/>
          <w:numId w:val="2"/>
        </w:numPr>
        <w:tabs>
          <w:tab w:val="left" w:pos="1596"/>
        </w:tabs>
      </w:pPr>
      <w:r>
        <w:t xml:space="preserve">Результат: Пользователь получает </w:t>
      </w:r>
      <w:proofErr w:type="spellStart"/>
      <w:r>
        <w:t>пуш</w:t>
      </w:r>
      <w:proofErr w:type="spellEnd"/>
      <w:r>
        <w:t>. При клике приложение открывается на экране корзины (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Link</w:t>
      </w:r>
      <w:proofErr w:type="spellEnd"/>
      <w:r>
        <w:t>).</w:t>
      </w:r>
    </w:p>
    <w:sectPr w:rsidR="00E175BC" w:rsidRPr="00027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60BAF"/>
    <w:multiLevelType w:val="hybridMultilevel"/>
    <w:tmpl w:val="DCBED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C6AF7"/>
    <w:multiLevelType w:val="hybridMultilevel"/>
    <w:tmpl w:val="C9C66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CCA"/>
    <w:rsid w:val="00027CCA"/>
    <w:rsid w:val="00E175BC"/>
    <w:rsid w:val="00E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477002-BE51-44F4-9982-B2B6AB97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7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7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2026-02-27T08:59:00Z</dcterms:created>
  <dcterms:modified xsi:type="dcterms:W3CDTF">2026-02-27T09:16:00Z</dcterms:modified>
</cp:coreProperties>
</file>