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rId4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
      </w:pPr>
      <w:r>
        <w:rPr>
          <w:rFonts w:hint="eastAsia"/>
        </w:rPr>
        <w:t xml:space="preserve">利用机器学习预测春运人流量的实例与思考</w:t>
      </w:r>
    </w:p>
    <w:p>
      <w:pPr>
        <w:pStyle w:val="Author"/>
      </w:pPr>
      <w:r>
        <w:rPr>
          <w:rFonts w:hint="eastAsia"/>
        </w:rPr>
        <w:t xml:space="preserve">张瀚巍</w:t>
      </w:r>
      <w:r>
        <w:rPr>
          <w:vertAlign w:val="superscript"/>
        </w:rPr>
        <w:t xml:space="preserve">1</w:t>
      </w:r>
    </w:p>
    <w:p>
      <w:pPr>
        <w:pStyle w:val="a6"/>
      </w:pPr>
      <w:r>
        <w:rPr>
          <w:rFonts w:hint="eastAsia"/>
        </w:rPr>
        <w:t xml:space="preserve">（1.</w:t>
      </w:r>
      <w:r>
        <w:t xml:space="preserve"> </w:t>
      </w:r>
      <w:r>
        <w:rPr>
          <w:rFonts w:hint="eastAsia"/>
        </w:rPr>
        <w:t xml:space="preserve">河北工业大学建筑与艺术设计学院，天津</w:t>
      </w:r>
      <w:r>
        <w:t xml:space="preserve"> </w:t>
      </w:r>
      <w:r>
        <w:rPr>
          <w:rFonts w:hint="eastAsia"/>
        </w:rPr>
        <w:t xml:space="preserve">300130）</w:t>
      </w:r>
    </w:p>
    <w:p>
      <w:pPr>
        <w:pStyle w:val="Abstract"/>
      </w:pPr>
      <w:r>
        <w:rPr>
          <w:rStyle w:val="AbstractTitle2"/>
          <w:rFonts w:hint="eastAsia"/>
        </w:rPr>
        <w:t xml:space="preserve">摘要：</w:t>
      </w:r>
      <w:r>
        <w:t xml:space="preserve"> </w:t>
      </w:r>
      <w:r>
        <w:rPr>
          <w:rFonts w:hint="eastAsia"/>
        </w:rPr>
        <w:t xml:space="preserve">为解决春运期间复杂的人流量预测问题，充分学习春运期间日期特征与人流量之间的复杂非线性关系，得出具有可信度的预测结果，使用机器学习与监督学习方法是达成目的的有效方法。为应对春运期间客流量特有的周期性特征，本论文采用了以scikit-learn+XGBoost为技术栈的回归预测模型训练方式，通过将站点、出/入站、年份的固有特征与农历相对日期、周末、节假日、返乡潮、返工潮的由公历日期推测出的时序特征结合，以逐年扩增的时间窗口，自2023年逐年向前预测作为训练策略，训练出一个在绝对误差量化矩阵、残差白噪声检验、SHAP（SHapley</w:t>
      </w:r>
      <w:r>
        <w:t xml:space="preserve"> Additive </w:t>
      </w:r>
      <w:r>
        <w:rPr>
          <w:rFonts w:hint="eastAsia"/>
        </w:rPr>
        <w:t xml:space="preserve">exPlanations）值指标上都具有良好表现的带分类特征的全局单目标模型，使用该模型能够较为可信地预测出未来两年春运时期内各站点的入/出客流量。</w:t>
      </w:r>
    </w:p>
    <w:p>
      <w:pPr>
        <w:pStyle w:val="Abstract"/>
      </w:pPr>
      <w:r>
        <w:rPr>
          <w:rFonts w:hint="eastAsia"/>
        </w:rPr>
        <w:t xml:space="preserve">自完成完整的机器学习预测模型训练，从实例中总结经验后，能够深刻体会到数据挖掘与现代的机器学习技术在工业设计领域的宝贵价值，该技术在工业设计领域中的介入为整体的设计流程在意向调查、风格确定、人机优化等方面提供了坚实的数据驱动的基础。</w:t>
      </w:r>
    </w:p>
    <w:p>
      <w:pPr>
        <w:pStyle w:val="Abstract"/>
      </w:pPr>
      <w:r>
        <w:rPr>
          <w:rFonts w:hint="eastAsia"/>
        </w:rPr>
        <w:t xml:space="preserve">训练详细代码部分在</w:t>
      </w:r>
      <w:r>
        <w:t xml:space="preserve"> https://github.com/PeHa393/train-train </w:t>
      </w:r>
      <w:r>
        <w:rPr>
          <w:rFonts w:hint="eastAsia"/>
        </w:rPr>
        <w:t xml:space="preserve">处可以进一步观看。</w:t>
      </w:r>
    </w:p>
    <w:p>
      <w:pPr>
        <w:pStyle w:val="Abstract"/>
      </w:pPr>
      <w:r>
        <w:rPr>
          <w:rStyle w:val="AbstractTitle2"/>
          <w:rFonts w:hint="eastAsia"/>
        </w:rPr>
        <w:t xml:space="preserve">关键词：</w:t>
      </w:r>
      <w:r>
        <w:t xml:space="preserve"> </w:t>
      </w:r>
      <w:r>
        <w:rPr>
          <w:rFonts w:hint="eastAsia"/>
        </w:rPr>
        <w:t xml:space="preserve">机器学习；数据挖掘；监督学习；工业设计；</w:t>
      </w:r>
    </w:p>
    <w:p>
      <w:pPr>
        <w:pStyle w:val="EnglishTitle"/>
      </w:pPr>
      <w:r>
        <w:t xml:space="preserve">Case Study and Reflections on Predicting Passenger Flow During the Spring Festival Travel Rush Using Machine Learning</w:t>
      </w:r>
    </w:p>
    <w:p>
      <w:pPr>
        <w:pStyle w:val="EnglishAuthor"/>
      </w:pPr>
      <w:r>
        <w:t xml:space="preserve">Zhang Hanwei</w:t>
      </w:r>
      <w:r>
        <w:rPr>
          <w:vertAlign w:val="superscript"/>
        </w:rPr>
        <w:t xml:space="preserve">1</w:t>
      </w:r>
    </w:p>
    <w:p>
      <w:pPr>
        <w:pStyle w:val="EnglishSubtitle"/>
      </w:pPr>
      <w:r>
        <w:t xml:space="preserve">(1. School of Architecture and Art Design, Hebei University of Technology, Tianjin 300130, China)</w:t>
      </w:r>
    </w:p>
    <w:p>
      <w:pPr>
        <w:pStyle w:val="EnglishAbstract"/>
      </w:pPr>
      <w:r>
        <w:rPr>
          <w:rStyle w:val="EnglishAbstractTitle2"/>
        </w:rPr>
        <w:t xml:space="preserve">Abstract:</w:t>
      </w:r>
      <w:r>
        <w:t xml:space="preserve"> </w:t>
      </w:r>
      <w:r>
        <w:t xml:space="preserve">To address the challenge of predicting complex passenger flow during the Spring Festival travel rush, fully capture the complex nonlinear relationship between date-specific features and passenger flow during this period, and generate reliable forecast results, the use of machine learning and supervised learning methods is an effective approach. To address the unique periodic characteristics of passenger flow during the Spring Festival travel season, this paper employs a regression prediction model training approach based on the scikit-learn + XGBoost technology stack. By combining the intrinsic features of stations, departure/arrival points, and years with temporal features derived from Gregorian calendar dates—such as relative Lunar calendar dates, weekends, public holidays, and the peak periods for returning home and returning to work—and using a time window that expands year by year, and a training strategy that forecasts forward year by year starting from 2023. This approach resulted in a global single-objective model with classification capabilities that demonstrates excellent performance across metrics such as the absolute error matrix, residual white noise test, and SHAP (SHapley Additive Explanations) values. This model can reliably predict passenger arrival and departure volumes at various stations during the Spring Festival travel season over the next two years.</w:t>
      </w:r>
    </w:p>
    <w:p>
      <w:pPr>
        <w:pStyle w:val="EnglishAbstract"/>
      </w:pPr>
      <w:r>
        <w:t xml:space="preserve">Having completed the training of a comprehensive machine learning prediction model and drawn lessons from this experience, we have gained a deep appreciation for the invaluable value of data mining and modern machine learning technologies in the field of industrial design. The integration of these technologies into industrial design provides a solid data-driven foundation for the overall design process, particularly in areas such as concept exploration, style definition, and human-machine interaction optimization.</w:t>
      </w:r>
    </w:p>
    <w:p>
      <w:pPr>
        <w:pStyle w:val="EnglishAbstract"/>
      </w:pPr>
      <w:r>
        <w:t xml:space="preserve">The detailed training code can be viewed at https://github.com/PeHa393/train-train .</w:t>
      </w:r>
    </w:p>
    <w:p>
      <w:pPr>
        <w:pStyle w:val="EnglishAbstract"/>
      </w:pPr>
      <w:r>
        <w:rPr>
          <w:rStyle w:val="EnglishAbstractTitle2"/>
        </w:rPr>
        <w:t xml:space="preserve">Keywords:</w:t>
      </w:r>
      <w:r>
        <w:t xml:space="preserve"> </w:t>
      </w:r>
      <w:r>
        <w:t xml:space="preserve">Machine learning; Data mining; Supervised learning; Industrial design;</w:t>
      </w:r>
    </w:p>
    <w:p>
      <w:r>
        <w:br w:type="page"/>
      </w:r>
    </w:p>
    <w:bookmarkStart w:id="18" w:name="绪论-introduction"/>
    <w:p>
      <w:pPr>
        <w:pStyle w:val="1"/>
      </w:pPr>
      <w:r>
        <w:rPr>
          <w:rFonts w:hint="eastAsia"/>
        </w:rPr>
        <w:t xml:space="preserve">绪论</w:t>
      </w:r>
      <w:r>
        <w:t xml:space="preserve"> Introduction</w:t>
      </w:r>
    </w:p>
    <w:p>
      <w:pPr>
        <w:pStyle w:val="FirstParagraph"/>
      </w:pPr>
      <w:r>
        <w:rPr>
          <w:rFonts w:hint="eastAsia"/>
        </w:rPr>
        <w:t xml:space="preserve">本研究面对的春运站点客流量数据，展现出复杂的非标准特征：首先是公历与农历间历法的错位与时序不连续的问题，春运的核心驱动力源于农历，但现实数据以公历记录，导致年与年之间的同质日期在时间轴上产生错位；同时，春运仅占全年的40天，年际间的数据在时序上是断层的，无法构成连续的时间序列。其次是小样本与高维非线性特征共存的问题，本研究的时间窗口覆盖近四年，单站点的有效样本量仅为160个样本点，但在特征构建上除农历日期、站点、出入站分类之外，还包含了多种由日期推测出的时序特征（如节假日、返乡潮等等），这些特征对于客流量的影响是不可忽视的。这就导致整体数据呈现典型的高维非线性分布。这种特殊的“小样本、高维度、不连续”的数据结构，明确了对于训练方法的选择。</w:t>
      </w:r>
    </w:p>
    <w:p>
      <w:pPr>
        <w:pStyle w:val="a1"/>
      </w:pPr>
      <w:r>
        <w:rPr>
          <w:rFonts w:hint="eastAsia"/>
        </w:rPr>
        <w:t xml:space="preserve">针对上述数据特性，采用基于机器学习的监督学习方法是完成本研究任务的最佳方式。一方面，客流量预测本质上是一个目标明确的连续回归问题，历史真实的日客流量提供了绝对可信的标签，这决定了采用目标导向的“监督学习”能够最直接地建立特征与客流之间的映射关系，而无监督或自监督学习在此类带标签的精确数值预测任务中缺乏适用性。另一方面，面对春运数据的“时序断层”与“小样本”局限，传统时间序列模型因严格的连续平稳性假设而完全失效</w:t>
      </w:r>
      <w:r>
        <w:rPr>
          <w:vertAlign w:val="superscript"/>
        </w:rPr>
        <w:t xml:space="preserve">[</w:t>
      </w:r>
      <w:hyperlink w:anchor="X039b0cf71105e08f9fc0652dec45fe0a8464cab">
        <w:r>
          <w:rPr>
            <w:rStyle w:val="af"/>
            <w:vertAlign w:val="superscript"/>
          </w:rPr>
          <w:t xml:space="preserve">1</w:t>
        </w:r>
      </w:hyperlink>
      <w:r>
        <w:rPr>
          <w:vertAlign w:val="superscript"/>
        </w:rPr>
        <w:t xml:space="preserve">]</w:t>
      </w:r>
      <w:r>
        <w:rPr>
          <w:rFonts w:hint="eastAsia"/>
        </w:rPr>
        <w:t xml:space="preserve">，而以深度学习（如LSTM、Transformer）为代表的序列模型，不仅难以处理断续的时间步，更会在面对单站点仅百余天的训练样本时陷入严重的过拟合。因此，能够摆脱时序连续性依赖、将时间信息转化为静态表格特征进行挖掘的传统机器学习方法，成为了最优的方法论基石。</w:t>
      </w:r>
    </w:p>
    <w:p>
      <w:pPr>
        <w:pStyle w:val="a1"/>
      </w:pPr>
      <w:r>
        <w:rPr>
          <w:rFonts w:hint="eastAsia"/>
        </w:rPr>
        <w:t xml:space="preserve">在众多机器学习监督算法中，极端梯度提升树（XGBoost）模型展现出了与春运数据特征最高的契合度</w:t>
      </w:r>
      <w:r>
        <w:rPr>
          <w:vertAlign w:val="superscript"/>
        </w:rPr>
        <w:t xml:space="preserve">[</w:t>
      </w:r>
      <w:hyperlink w:anchor="ref-Chen:2016btl">
        <w:r>
          <w:rPr>
            <w:rStyle w:val="af"/>
            <w:vertAlign w:val="superscript"/>
          </w:rPr>
          <w:t xml:space="preserve">2</w:t>
        </w:r>
      </w:hyperlink>
      <w:r>
        <w:rPr>
          <w:vertAlign w:val="superscript"/>
        </w:rPr>
        <w:t xml:space="preserve">]</w:t>
      </w:r>
      <w:r>
        <w:rPr>
          <w:rFonts w:hint="eastAsia"/>
        </w:rPr>
        <w:t xml:space="preserve">。首先，针对高维与非线性特征，XGBoost基于信息增益的树状分裂机制，对多源异构的表格型数据具有天然的处理优势，无需复杂的特征映射即可精准捕捉“公历周末”与“农历除夕”等等特征引发的非线性客流突变。其次，针对“小样本”困境，XGBoost内置的L1/L2正则化项与行列子采样策略，从算法底层提供了强大的抗过拟合能力，确保了模型在小规模数据集上的泛化性。最重要的是，XGBoost支持将跨年份、跨站点的离散数据整体打包为“全局单目标模型”进行训练，彻底绕开了年际数据不连续的障碍。综上所述，XGBoost不仅在数学原理上克服了春运预测的数据瓶颈，更兼具出色的特征可解释性。</w:t>
      </w:r>
    </w:p>
    <w:bookmarkEnd w:id="18"/>
    <w:bookmarkStart w:id="51" w:name="对于春运高铁站客流量的预测模型的训练与预测"/>
    <w:p>
      <w:pPr>
        <w:pStyle w:val="1"/>
      </w:pPr>
      <w:r>
        <w:rPr>
          <w:rFonts w:hint="eastAsia"/>
        </w:rPr>
        <w:t xml:space="preserve">对于春运高铁站客流量的预测模型的训练与预测</w:t>
      </w:r>
    </w:p>
    <w:bookmarkStart w:id="20" w:name="数据清洗与格式化"/>
    <w:p>
      <w:pPr>
        <w:pStyle w:val="2"/>
      </w:pPr>
      <w:r>
        <w:rPr>
          <w:rFonts w:hint="eastAsia"/>
        </w:rPr>
        <w:t xml:space="preserve">数据清洗与格式化</w:t>
      </w:r>
    </w:p>
    <w:p>
      <w:pPr>
        <w:pStyle w:val="FirstParagraph"/>
      </w:pPr>
      <w:r>
        <w:rPr>
          <w:rFonts w:hint="eastAsia"/>
        </w:rPr>
        <w:t xml:space="preserve">对于原数据表格进行分析，发现原数据表格呈现出“按入站和出站分工作簿，按年份分表”的结构。整体分为8个表格，名为“发送”和“到达”的工作簿各有4个表头为“日期，天津，天津西”的子表格，其中“日期”列为8位无符号数字展示的公历日期，“天津”与“天津西”列为站点的客流量，每个子表均为一个3列40行的表格，一个标准的子表格式与内容如</w:t>
      </w:r>
      <w:r>
        <w:t xml:space="preserve"> </w:t>
      </w:r>
      <w:hyperlink w:anchor="tbl-original">
        <w:r>
          <w:rPr>
            <w:rStyle w:val="af"/>
            <w:rFonts w:hint="eastAsia"/>
          </w:rPr>
          <w:t xml:space="preserve">表</w:t>
        </w:r>
        <w:r>
          <w:rPr>
            <w:rStyle w:val="af"/>
          </w:rPr>
          <w:t xml:space="preserve"> 1</w:t>
        </w:r>
      </w:hyperlink>
      <w:r>
        <w:t xml:space="preserve"> </w:t>
      </w:r>
      <w:r>
        <w:rPr>
          <w:rFonts w:hint="eastAsia"/>
        </w:rPr>
        <w:t xml:space="preserve">所示。</w:t>
      </w:r>
    </w:p>
    <w:tbl>
      <w:tblPr>
        <w:tblStyle w:val="Table"/>
        <w:tblW w:type="pct" w:w="5000"/>
        <w:tblLayout w:type="fixed"/>
        <w:tblLook w:firstRow="0" w:lastRow="0" w:firstColumn="0" w:lastColumn="0" w:noHBand="0" w:noVBand="0" w:val="0000"/>
      </w:tblPr>
      <w:tblGrid>
        <w:gridCol w:w="7920"/>
      </w:tblGrid>
      <w:tr>
        <w:tc>
          <w:tcPr/>
          <w:bookmarkStart w:id="19" w:name="tbl-original"/>
          <w:p>
            <w:pPr>
              <w:spacing w:before="200"/>
              <w:pStyle w:val="TableCaption"/>
              <w:jc w:val="center"/>
            </w:pPr>
            <w:r>
              <w:rPr>
                <w:rFonts w:hint="eastAsia"/>
              </w:rPr>
              <w:t xml:space="preserve">表</w:t>
            </w:r>
            <w:r>
              <w:t xml:space="preserve"> 1 </w:t>
            </w:r>
            <w:r>
              <w:rPr>
                <w:rFonts w:hint="eastAsia"/>
              </w:rPr>
              <w:t xml:space="preserve">原数据的子表样式</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760"/>
              <w:gridCol w:w="2760"/>
              <w:gridCol w:w="2760"/>
            </w:tblGrid>
            <w:tr>
              <w:trPr>
                <w:trHeight w:val="360" w:hRule="auto"/>
                <w:tblHeader/>
              </w:trPr>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8"/>
                      <w:szCs w:val="18"/>
                      <w:color w:val="000000"/>
                    </w:rPr>
                    <w:t xml:space="preserve">日期</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8"/>
                      <w:szCs w:val="18"/>
                      <w:color w:val="000000"/>
                    </w:rPr>
                    <w:t xml:space="preserve">天津西</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8"/>
                      <w:szCs w:val="18"/>
                      <w:color w:val="000000"/>
                    </w:rPr>
                    <w:t xml:space="preserve">天津</w:t>
                  </w:r>
                </w:p>
              </w:tc>
            </w:tr>
            <w:tr>
              <w:trPr>
                <w:trHeight w:val="360"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20230107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22194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27572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20230108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21978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27770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20230109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26018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31596</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w:t>
                  </w:r>
                </w:p>
              </w:tc>
            </w:tr>
          </w:tbl>
          <w:bookmarkEnd w:id="19"/>
        </w:tc>
      </w:tr>
    </w:tbl>
    <w:p>
      <w:pPr>
        <w:pStyle w:val="a1"/>
      </w:pPr>
      <w:r>
        <w:rPr>
          <w:rFonts w:hint="eastAsia"/>
        </w:rPr>
        <w:t xml:space="preserve">对于该表格的处理，主要目标是“宽表转长表”，即将不同的站点、方向与年份对应的子表合并成一张总表，其预期的表头应当为“公历日期、站点名称、方向（入站/出站）、客流量”；其次是为每一列赋予其合适的格式（如公历日期列下的值转换为标准的datetime格式）。在本文中选择了python语言和该语言内的polars包来处理表格的清洗与格式化。</w:t>
      </w:r>
    </w:p>
    <w:p>
      <w:pPr>
        <w:pStyle w:val="a1"/>
      </w:pPr>
      <w:r>
        <w:rPr>
          <w:rFonts w:hint="eastAsia"/>
        </w:rPr>
        <w:t xml:space="preserve">针对原始数据子表的抓取，以包含“日期”关键字的列为基准进行自适应抓取，采用逆透视（Unpivot）操作将宽表转化为长表格式，将横向展开的“站点”转化为具体的特征向量。此外，为了使树模型能隐式捕获进出站客流之间的负相关潮汐规律，模型将原有的“入站量”与“出站量”解耦，统一合并为唯一的预测目标变量“Volume”，并将“方向（入站/出站）”降维为类别特征。在处理完毕后，原数据内的8张子表现在已经合成为4列640行的总表。</w:t>
      </w:r>
    </w:p>
    <w:p>
      <w:pPr>
        <w:pStyle w:val="a1"/>
      </w:pPr>
      <w:r>
        <w:rPr>
          <w:rFonts w:hint="eastAsia"/>
        </w:rPr>
        <w:t xml:space="preserve">在类型格式化阶段，本研究对预测目标向量“Volume”进行了类型清洗与异常值修复。在类别特征的处理上，本研究通过显式的类别声明（Polars的pl.Categorical函数）将文本特征（如站点、方向）传入模型。这一约束使得</w:t>
      </w:r>
      <w:r>
        <w:t xml:space="preserve"> XGBoost </w:t>
      </w:r>
      <w:r>
        <w:rPr>
          <w:rFonts w:hint="eastAsia"/>
        </w:rPr>
        <w:t xml:space="preserve">能够直接激活</w:t>
      </w:r>
      <w:r>
        <w:t xml:space="preserve"> enable_categorical=True </w:t>
      </w:r>
      <w:r>
        <w:rPr>
          <w:rFonts w:hint="eastAsia"/>
        </w:rPr>
        <w:t xml:space="preserve">与</w:t>
      </w:r>
      <w:r>
        <w:t xml:space="preserve"> tree_method=</w:t>
      </w:r>
      <w:r>
        <w:t xml:space="preserve">“hist”</w:t>
      </w:r>
      <w:r>
        <w:t xml:space="preserve"> </w:t>
      </w:r>
      <w:r>
        <w:rPr>
          <w:rFonts w:hint="eastAsia"/>
        </w:rPr>
        <w:t xml:space="preserve">机制，在算法层面寻找最优分类节点，显著降低内存开销的同时，大幅提升了模型的收敛效率。</w:t>
      </w:r>
    </w:p>
    <w:bookmarkEnd w:id="20"/>
    <w:bookmarkStart w:id="22" w:name="数据特征提取"/>
    <w:p>
      <w:pPr>
        <w:pStyle w:val="2"/>
      </w:pPr>
      <w:r>
        <w:rPr>
          <w:rFonts w:hint="eastAsia"/>
        </w:rPr>
        <w:t xml:space="preserve">数据特征提取</w:t>
      </w:r>
    </w:p>
    <w:p>
      <w:pPr>
        <w:pStyle w:val="FirstParagraph"/>
      </w:pPr>
      <w:r>
        <w:rPr>
          <w:rFonts w:hint="eastAsia"/>
        </w:rPr>
        <w:t xml:space="preserve">对于清洗后的表格，已经有了日期、站点、方向、客流量的基本特征，但正如上文所说，由公历日期与农历日期推出的特征不可忽视，故要对该表的特征进行进一步提取和构造。</w:t>
      </w:r>
    </w:p>
    <w:p>
      <w:pPr>
        <w:pStyle w:val="a1"/>
      </w:pPr>
      <w:r>
        <w:rPr>
          <w:rFonts w:hint="eastAsia"/>
        </w:rPr>
        <w:t xml:space="preserve">其主要任务首先是为公历日期添加相应的农历日期特征，因春运客流量数据的特点，每年的数据在公历日期上不同，但在农历日期上是完全一致的，因此可以依靠农历日期，以“大年初一”为0点，为每年的40天日期建立相对日期（范围位于[-15,25]），在表格中新建一列，记作“Relative_Day_t”，为年之间离散的数据建立联系。</w:t>
      </w:r>
    </w:p>
    <w:p>
      <w:pPr>
        <w:pStyle w:val="a1"/>
      </w:pPr>
      <w:r>
        <w:rPr>
          <w:rFonts w:hint="eastAsia"/>
        </w:rPr>
        <w:t xml:space="preserve">其次是要根据国务院每年发布的《国务院办公厅关于XXXX年部分节假日安排的通知》为每一天分配工作日、节假日、调休日，在表格中新建三列，记作“Is_Weekend”、“Is_Official_Holiday”和“Is_Adjusted_Workday”；并按照惯例为每年的日期区间赋予“返乡潮”、“返工潮”和“年中低谷”特征，在表格中新建两列，记作“Is_Return_Home_Peak”、“Is_Return_Work_Peak”和“Is_Spring_Festival_Lull”。这里的“返乡潮”设定为大年初一前一周的时间，“返工潮”设定为大年初五到元宵节的时间，“年中低谷”设定为大年初一到大年初三的时间；该特征完全与原数据无关，即不是从原数据趋势中提取的，以防止训练过程的目标泄露。</w:t>
      </w:r>
    </w:p>
    <w:p>
      <w:pPr>
        <w:pStyle w:val="a1"/>
      </w:pPr>
      <w:r>
        <w:rPr>
          <w:rFonts w:hint="eastAsia"/>
        </w:rPr>
        <w:t xml:space="preserve">鉴于每年春运周期极短，传统基于连续日的滞后特征在多步预测中极易引发误差累积。为跨越时间断层，本研究构建了“跨年同日滞后特征”。即提取历史同期、同站点、同方向且同相对天数的客流量作为数值基准，为每一天的客流量数据附加“去年同日数据”和“前年同日数据”，在表格中新建两列，记作“Lag_1Y_Volume”和“Lag_2Y_Volume”。此外，对于早期年份生成的自然缺失值（NaN），本研究避免使用均值或零值填充，而是直接保留原貌，依托XGBoost的稀疏感知（Sparsity-aware）分割算法对缺失值进行原生处理，有效防止了人为填充对真实数据分布的破坏。</w:t>
      </w:r>
    </w:p>
    <w:p>
      <w:pPr>
        <w:pStyle w:val="a1"/>
      </w:pPr>
      <w:r>
        <w:rPr>
          <w:rFonts w:hint="eastAsia"/>
        </w:rPr>
        <w:t xml:space="preserve">春运客流呈现出典型的“潮汐”特征</w:t>
      </w:r>
      <w:r>
        <w:rPr>
          <w:vertAlign w:val="superscript"/>
        </w:rPr>
        <w:t xml:space="preserve">[</w:t>
      </w:r>
      <w:hyperlink w:anchor="ref-liuConfirmingThirdLaw2024">
        <w:r>
          <w:rPr>
            <w:rStyle w:val="af"/>
            <w:vertAlign w:val="superscript"/>
          </w:rPr>
          <w:t xml:space="preserve">3</w:t>
        </w:r>
      </w:hyperlink>
      <w:r>
        <w:rPr>
          <w:vertAlign w:val="superscript"/>
        </w:rPr>
        <w:t xml:space="preserve">]</w:t>
      </w:r>
      <w:r>
        <w:rPr>
          <w:rFonts w:hint="eastAsia"/>
        </w:rPr>
        <w:t xml:space="preserve">。为有效捕捉这一复杂动态，本研究结合春节普遍行为与天津本身的区域核心与重要的产业承载地的城市特点</w:t>
      </w:r>
      <w:r>
        <w:rPr>
          <w:vertAlign w:val="superscript"/>
        </w:rPr>
        <w:t xml:space="preserve">[</w:t>
      </w:r>
      <w:hyperlink w:anchor="X1aaf6ff610b737834730f81661652101b946ade">
        <w:r>
          <w:rPr>
            <w:rStyle w:val="af"/>
            <w:vertAlign w:val="superscript"/>
          </w:rPr>
          <w:t xml:space="preserve">4</w:t>
        </w:r>
      </w:hyperlink>
      <w:r>
        <w:rPr>
          <w:vertAlign w:val="superscript"/>
        </w:rPr>
        <w:t xml:space="preserve">]</w:t>
      </w:r>
      <w:r>
        <w:rPr>
          <w:rFonts w:hint="eastAsia"/>
        </w:rPr>
        <w:t xml:space="preserve">，根据该特点推测出天津应当在“返乡潮”时出站量增加，“返工潮”时入站量增加的原则，将站点、方向与时间三个维度进行组合，构建了高阶的交互特征（表现为如同“天津站+出站+返乡潮”的条件形式），其构建的特征项目与构建依据如</w:t>
      </w:r>
      <w:r>
        <w:t xml:space="preserve"> </w:t>
      </w:r>
      <w:hyperlink w:anchor="tbl-characters">
        <w:r>
          <w:rPr>
            <w:rStyle w:val="af"/>
            <w:rFonts w:hint="eastAsia"/>
          </w:rPr>
          <w:t xml:space="preserve">表</w:t>
        </w:r>
        <w:r>
          <w:rPr>
            <w:rStyle w:val="af"/>
          </w:rPr>
          <w:t xml:space="preserve"> 2</w:t>
        </w:r>
      </w:hyperlink>
      <w:r>
        <w:t xml:space="preserve"> </w:t>
      </w:r>
      <w:r>
        <w:rPr>
          <w:rFonts w:hint="eastAsia"/>
        </w:rPr>
        <w:t xml:space="preserve">所示。这些富含强物理业务逻辑的高阶交互特征，能够为模型提供高度浓缩的信息增益，使得浅层树能够迅速识别并拟合截然相反的潮汐方向，大幅提升收敛效率。在本部分特征提取后，得出的表格内共有“公历日期、站点、Relative_Day_t、Is_Weekend、Is_Official_Holiday、Is_Adjusted_Workday、Is_Return_Home_Peak、Is_Spring_Festival_Lull、Is_Return_Work_Peak、方向、Volume、Lag_1Y_Volume、Lag_2Y_Volume、Interaction_Home_Peak、Interaction_Work_Peak、Interaction_Lull、Interaction_Weekend”共17个特征，该表格将会作为训练数据直接进入机器学习的过程中。</w:t>
      </w:r>
    </w:p>
    <w:tbl>
      <w:tblPr>
        <w:tblStyle w:val="Table"/>
        <w:tblW w:type="pct" w:w="5000"/>
        <w:tblLayout w:type="fixed"/>
        <w:tblLook w:firstRow="0" w:lastRow="0" w:firstColumn="0" w:lastColumn="0" w:noHBand="0" w:noVBand="0" w:val="0000"/>
      </w:tblPr>
      <w:tblGrid>
        <w:gridCol w:w="7920"/>
      </w:tblGrid>
      <w:tr>
        <w:tc>
          <w:tcPr/>
          <w:bookmarkStart w:id="21" w:name="tbl-characters"/>
          <w:p>
            <w:pPr>
              <w:spacing w:before="200"/>
              <w:pStyle w:val="TableCaption"/>
              <w:jc w:val="center"/>
            </w:pPr>
            <w:r>
              <w:rPr>
                <w:rFonts w:hint="eastAsia"/>
              </w:rPr>
              <w:t xml:space="preserve">表</w:t>
            </w:r>
            <w:r>
              <w:t xml:space="preserve"> 2 </w:t>
            </w:r>
            <w:r>
              <w:rPr>
                <w:rFonts w:hint="eastAsia"/>
              </w:rPr>
              <w:t xml:space="preserve">高维特征项目与构建依据</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760"/>
              <w:gridCol w:w="2760"/>
              <w:gridCol w:w="2760"/>
            </w:tblGrid>
            <w:tr>
              <w:trPr>
                <w:trHeight w:val="360" w:hRule="auto"/>
                <w:tblHeader/>
              </w:trPr>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8"/>
                      <w:szCs w:val="18"/>
                      <w:color w:val="000000"/>
                    </w:rPr>
                    <w:t xml:space="preserve">特征名</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8"/>
                      <w:szCs w:val="18"/>
                      <w:color w:val="000000"/>
                    </w:rPr>
                    <w:t xml:space="preserve">特征结构</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8"/>
                      <w:szCs w:val="18"/>
                      <w:color w:val="000000"/>
                    </w:rPr>
                    <w:t xml:space="preserve">依据</w:t>
                  </w:r>
                </w:p>
              </w:tc>
            </w:tr>
            <w:tr>
              <w:trPr>
                <w:trHeight w:val="360"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Interaction_Home_Peak</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站点+方向+返乡潮</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天津是一个“务工型城市”，故在返乡潮期间特定站点下的出站客流量会增多。</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Interaction_Work_Peak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站点+方向+返工潮</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如同上一列所说，“务工型城市”在“返工潮”期间会有较多的入站客流量。</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Interaction_Lull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站点+方向+年中低谷</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对于所有站点适用，春节的核心时段（大年初一到大年初三）中人员流动不会太多。</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Interaction_Weekend</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站点+方向+周末</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对于所有站点适用，人们返乡会挑选周末作为出行时间。</w:t>
                  </w:r>
                </w:p>
              </w:tc>
            </w:tr>
          </w:tbl>
          <w:bookmarkEnd w:id="21"/>
        </w:tc>
      </w:tr>
    </w:tbl>
    <w:bookmarkEnd w:id="22"/>
    <w:bookmarkStart w:id="23" w:name="预测模型训练"/>
    <w:p>
      <w:pPr>
        <w:pStyle w:val="2"/>
      </w:pPr>
      <w:r>
        <w:rPr>
          <w:rFonts w:hint="eastAsia"/>
        </w:rPr>
        <w:t xml:space="preserve">预测模型训练</w:t>
      </w:r>
    </w:p>
    <w:p>
      <w:pPr>
        <w:pStyle w:val="FirstParagraph"/>
      </w:pPr>
      <w:r>
        <w:rPr>
          <w:rFonts w:hint="eastAsia"/>
        </w:rPr>
        <w:t xml:space="preserve">春运客流数据具有样本量受限、时序高度非连续（跨年断层）以及包含宏观环境带来的异常波动（如2023年非平稳期）等复杂特性。针对此类“小样本-强干扰”场景，本研究提出并实施了基于XGBoost的全局单目标模型训练策略，其核心训练机制如下：</w:t>
      </w:r>
    </w:p>
    <w:p>
      <w:pPr>
        <w:pStyle w:val="a1"/>
      </w:pPr>
      <w:r>
        <w:rPr>
          <w:rFonts w:hint="eastAsia"/>
        </w:rPr>
        <w:t xml:space="preserve">鉴于春运数据呈块状分布，传统的随机折叠（K-Fold）会破坏时序的自回归依赖</w:t>
      </w:r>
      <w:r>
        <w:rPr>
          <w:vertAlign w:val="superscript"/>
        </w:rPr>
        <w:t xml:space="preserve">[</w:t>
      </w:r>
      <w:hyperlink w:anchor="X774065d3e2f15756983f5436e0b12716db7d5b8">
        <w:r>
          <w:rPr>
            <w:rStyle w:val="af"/>
            <w:vertAlign w:val="superscript"/>
          </w:rPr>
          <w:t xml:space="preserve">5</w:t>
        </w:r>
      </w:hyperlink>
      <w:r>
        <w:rPr>
          <w:vertAlign w:val="superscript"/>
        </w:rPr>
        <w:t xml:space="preserve">]</w:t>
      </w:r>
      <w:r>
        <w:rPr>
          <w:rFonts w:hint="eastAsia"/>
        </w:rPr>
        <w:t xml:space="preserve">。本研究设计了逐年外推的“时序扩增窗口”验证机制。具体构建三个递进的验证折叠区（第一折叠为23年数据推算24年数据，第二折叠为23+24年数据推算25年数据，第三折叠为23+24+25年数据推算26年数据），通过计算三次时间外推预测在验证集上的误差期望值（如MAPE/RMSE），真实量化模型应对未见数据的时序泛化能力。</w:t>
      </w:r>
    </w:p>
    <w:p>
      <w:pPr>
        <w:pStyle w:val="a1"/>
      </w:pPr>
      <w:r>
        <w:rPr>
          <w:rFonts w:hint="eastAsia"/>
        </w:rPr>
        <w:t xml:space="preserve">为抑制模型对特定年份微观噪点的过拟合，本研究将最大树深（max_depth）限制在浅层区间（3~5层），并加大L1与L2正则化的惩罚项权重。在基于网格搜索确定初步超参数后，引入排列重要性检验。通过观测打乱单一特征列后的验证误差变化，精准识别并剥离引发多重共线性及负增益的全局冗余特征，实现特征空间的极简净化。</w:t>
      </w:r>
    </w:p>
    <w:p>
      <w:pPr>
        <w:pStyle w:val="a1"/>
      </w:pPr>
      <w:r>
        <w:rPr>
          <w:rFonts w:hint="eastAsia"/>
        </w:rPr>
        <w:t xml:space="preserve">在网络结构与特征子集敲定后，本研究划分前三年（2023-2025）为训练集，独立留出最后一年（2026）作为动态监控集。通过设置具有充裕裕度的最大迭代轮数（400轮），赋予模型充分的探索空间。当监控集上的验证误差在设定的容忍窗口内未能改善甚至出现反弹趋势时，自动触发早停（Early</w:t>
      </w:r>
      <w:r>
        <w:t xml:space="preserve"> </w:t>
      </w:r>
      <w:r>
        <w:rPr>
          <w:rFonts w:hint="eastAsia"/>
        </w:rPr>
        <w:t xml:space="preserve">Stopping）截断，从而获取模型在不发生过拟合前提下的真实最优决策树规模。</w:t>
      </w:r>
    </w:p>
    <w:p>
      <w:pPr>
        <w:pStyle w:val="a1"/>
      </w:pPr>
      <w:r>
        <w:rPr>
          <w:rFonts w:hint="eastAsia"/>
        </w:rPr>
        <w:t xml:space="preserve">在最终模型交付阶段，为充分利用全量历史数据的信息红利，本研究合并验证集进行全量重训练。为抑制数据增量带来的拟合偏移，在训练过程中锁定了最优树规模，并将学习率微微下调，引导模型在更细腻的优化步长下平滑滑入全局最优解。训练过程中，通过注入</w:t>
      </w:r>
      <w:r>
        <w:t xml:space="preserve"> tree_method=</w:t>
      </w:r>
      <w:r>
        <w:t xml:space="preserve">“hist”</w:t>
      </w:r>
      <w:r>
        <w:t xml:space="preserve"> </w:t>
      </w:r>
      <w:r>
        <w:rPr>
          <w:rFonts w:hint="eastAsia"/>
        </w:rPr>
        <w:t xml:space="preserve">与</w:t>
      </w:r>
      <w:r>
        <w:t xml:space="preserve"> device=</w:t>
      </w:r>
      <w:r>
        <w:t xml:space="preserve">“cuda”</w:t>
      </w:r>
      <w:r>
        <w:t xml:space="preserve"> </w:t>
      </w:r>
      <w:r>
        <w:rPr>
          <w:rFonts w:hint="eastAsia"/>
        </w:rPr>
        <w:t xml:space="preserve">为训练提速；最终通过XGBoost将包含拓扑结构与权重的模型序列化为JSON格式，为后续部署与滚动预测奠定坚实的工程基础。</w:t>
      </w:r>
    </w:p>
    <w:bookmarkEnd w:id="23"/>
    <w:bookmarkStart w:id="25" w:name="使用模型进行2027-2028年春运期间各个站点出入站量的预测"/>
    <w:p>
      <w:pPr>
        <w:pStyle w:val="2"/>
      </w:pPr>
      <w:r>
        <w:rPr>
          <w:rFonts w:hint="eastAsia"/>
        </w:rPr>
        <w:t xml:space="preserve">使用模型进行2027-2028年春运期间各个站点出入站量的预测</w:t>
      </w:r>
    </w:p>
    <w:p>
      <w:pPr>
        <w:pStyle w:val="FirstParagraph"/>
      </w:pPr>
      <w:r>
        <w:rPr>
          <w:rFonts w:hint="eastAsia"/>
        </w:rPr>
        <w:t xml:space="preserve">从将包含树结构、叶子节点权重等核心参数的模型永久冻结并保存为</w:t>
      </w:r>
      <w:r>
        <w:t xml:space="preserve"> JSON </w:t>
      </w:r>
      <w:r>
        <w:rPr>
          <w:rFonts w:hint="eastAsia"/>
        </w:rPr>
        <w:t xml:space="preserve">格式开始，标志着模型训练阶段的彻底结束，项目正式进入多步滚动预测与业务交付阶段。但由于要预测两年的数据，这就涉及到跨步预测，即预测</w:t>
      </w:r>
      <w:r>
        <w:t xml:space="preserve"> 2027 </w:t>
      </w:r>
      <w:r>
        <w:rPr>
          <w:rFonts w:hint="eastAsia"/>
        </w:rPr>
        <w:t xml:space="preserve">年时是安全的，因为构建特征时需要用到的是2026年（滞后1年）和2025年（滞后2年）的客流量，而这两年的数据拥有真实的物理历史值，可以直接提取并作为已知特征输入；但时间向后滚动去预测2028年时，需要填入2027年的客流作为“Lag_1Y_Volume”的特征，但2027年还未发生，没有2027年的真实客流数据，因此只能把第一步里用模型刚刚预测出的2027年结果，作为历史滞后特征填入到2028年的特征矩阵中。这就导致了“拿着自己的预测结果去预测未来”引发的误差滚雪球的风险。为了应对该风险，其预测环节采用了以下流程：</w:t>
      </w:r>
    </w:p>
    <w:p>
      <w:pPr>
        <w:pStyle w:val="a1"/>
      </w:pPr>
      <w:r>
        <w:rPr>
          <w:rFonts w:hint="eastAsia"/>
        </w:rPr>
        <w:t xml:space="preserve">本研究采用了基于蒙特卡洛模拟的概率预测方式。具体而言，提取交叉验证阶段测定的真实平均绝对百分比误差（MAPE）作为基准扰动强度，以</w:t>
      </w:r>
      <w:r>
        <w:t xml:space="preserve"> 2027 </w:t>
      </w:r>
      <w:r>
        <w:rPr>
          <w:rFonts w:hint="eastAsia"/>
        </w:rPr>
        <w:t xml:space="preserve">年的基准预测值为期望，向其注入服从高斯分布且随客流基数动态缩放的物理白噪声。通过执行500次平行模拟迭代，构建出2028年客流量不确定性的完整概率分布空间。</w:t>
      </w:r>
    </w:p>
    <w:p>
      <w:pPr>
        <w:pStyle w:val="a1"/>
      </w:pPr>
      <w:r>
        <w:rPr>
          <w:rFonts w:hint="eastAsia"/>
        </w:rPr>
        <w:t xml:space="preserve">在多维概率矩阵生成后，须实施工程化处理以满足实际调度业务的合规性要求。首先，引入非负截断函数，拦截高斯扰动中违背物理常识的负客流异常值。其次，沿模拟维度（Axis=0）进行切片，提取</w:t>
      </w:r>
      <w:r>
        <w:t xml:space="preserve"> </w:t>
      </w:r>
      <w:r>
        <w:rPr>
          <w:rFonts w:hint="eastAsia"/>
        </w:rPr>
        <w:t xml:space="preserve">P10（悲观下限）、P50（基准预期）与</w:t>
      </w:r>
      <w:r>
        <w:t xml:space="preserve"> </w:t>
      </w:r>
      <w:r>
        <w:rPr>
          <w:rFonts w:hint="eastAsia"/>
        </w:rPr>
        <w:t xml:space="preserve">P90（极值上限）三个分位数指标，构成完整的预测区间。最后，将时空坐标系复原，把时间戳格式化为标准的</w:t>
      </w:r>
      <w:r>
        <w:t xml:space="preserve"> %Y-%m-%d </w:t>
      </w:r>
      <w:r>
        <w:rPr>
          <w:rFonts w:hint="eastAsia"/>
        </w:rPr>
        <w:t xml:space="preserve">文本并拼接站向信息，输出高维度、结构清晰的预测矩阵，其2027年与2028年的预测矩阵结构如</w:t>
      </w:r>
      <w:r>
        <w:t xml:space="preserve"> </w:t>
      </w:r>
      <w:hyperlink w:anchor="tbl-pred2027_2028">
        <w:r>
          <w:rPr>
            <w:rStyle w:val="af"/>
            <w:rFonts w:hint="eastAsia"/>
          </w:rPr>
          <w:t xml:space="preserve">表</w:t>
        </w:r>
        <w:r>
          <w:rPr>
            <w:rStyle w:val="af"/>
          </w:rPr>
          <w:t xml:space="preserve"> 3</w:t>
        </w:r>
      </w:hyperlink>
      <w:r>
        <w:t xml:space="preserve"> </w:t>
      </w:r>
      <w:r>
        <w:rPr>
          <w:rFonts w:hint="eastAsia"/>
        </w:rPr>
        <w:t xml:space="preserve">所示（完整结果见</w:t>
      </w:r>
      <w:r>
        <w:t xml:space="preserve"> </w:t>
      </w:r>
      <w:r>
        <w:rPr>
          <w:rFonts w:hint="eastAsia"/>
        </w:rPr>
        <w:t xml:space="preserve">附表1</w:t>
      </w:r>
      <w:r>
        <w:t xml:space="preserve"> </w:t>
      </w:r>
      <w:r>
        <w:rPr>
          <w:rFonts w:hint="eastAsia"/>
        </w:rPr>
        <w:t xml:space="preserve">和</w:t>
      </w:r>
      <w:r>
        <w:t xml:space="preserve"> </w:t>
      </w:r>
      <w:r>
        <w:rPr>
          <w:rFonts w:hint="eastAsia"/>
        </w:rPr>
        <w:t xml:space="preserve">附表2</w:t>
      </w:r>
      <w:r>
        <w:t xml:space="preserve"> </w:t>
      </w:r>
      <w:r>
        <w:rPr>
          <w:rFonts w:hint="eastAsia"/>
        </w:rPr>
        <w:t xml:space="preserve">）。</w:t>
      </w:r>
    </w:p>
    <w:tbl>
      <w:tblPr>
        <w:tblStyle w:val="Table"/>
        <w:tblW w:type="pct" w:w="5000"/>
        <w:tblLayout w:type="fixed"/>
        <w:tblLook w:firstRow="0" w:lastRow="0" w:firstColumn="0" w:lastColumn="0" w:noHBand="0" w:noVBand="0" w:val="0000"/>
      </w:tblPr>
      <w:tblGrid>
        <w:gridCol w:w="7920"/>
      </w:tblGrid>
      <w:tr>
        <w:tc>
          <w:tcPr/>
          <w:bookmarkStart w:id="24" w:name="tbl-pred2027_2028"/>
          <w:p>
            <w:pPr>
              <w:spacing w:before="200"/>
              <w:pStyle w:val="TableCaption"/>
              <w:jc w:val="center"/>
            </w:pPr>
            <w:r>
              <w:rPr>
                <w:rFonts w:hint="eastAsia"/>
              </w:rPr>
              <w:t xml:space="preserve">表</w:t>
            </w:r>
            <w:r>
              <w:t xml:space="preserve"> 3 </w:t>
            </w:r>
            <w:r>
              <w:rPr>
                <w:rFonts w:hint="eastAsia"/>
              </w:rPr>
              <w:t xml:space="preserve">2027与2028年预测矩阵（部分）</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51"/>
              <w:gridCol w:w="831"/>
              <w:gridCol w:w="691"/>
              <w:gridCol w:w="2485"/>
            </w:tblGrid>
            <w:tr>
              <w:trPr>
                <w:trHeight w:val="506" w:hRule="auto"/>
                <w:tblHeader/>
              </w:trPr>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8"/>
                      <w:szCs w:val="18"/>
                      <w:color w:val="000000"/>
                    </w:rPr>
                    <w:t xml:space="preserve">公历日期</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8"/>
                      <w:szCs w:val="18"/>
                      <w:color w:val="000000"/>
                    </w:rPr>
                    <w:t xml:space="preserve">站点</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8"/>
                      <w:szCs w:val="18"/>
                      <w:color w:val="000000"/>
                    </w:rPr>
                    <w:t xml:space="preserve">方向</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8"/>
                      <w:szCs w:val="18"/>
                      <w:color w:val="000000"/>
                    </w:rPr>
                    <w:t xml:space="preserve">Volume_Forecast (基准预测)</w:t>
                  </w:r>
                </w:p>
              </w:tc>
            </w:tr>
            <w:tr>
              <w:trPr>
                <w:trHeight w:val="483"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2027-01-22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天津</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入站</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52,913</w:t>
                  </w:r>
                </w:p>
              </w:tc>
            </w:tr>
            <w:tr>
              <w:trPr>
                <w:trHeight w:val="48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2027-01-22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64,683</w:t>
                  </w:r>
                </w:p>
              </w:tc>
            </w:tr>
            <w:tr>
              <w:trPr>
                <w:trHeight w:val="498"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2027-01-22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天津西</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入站</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43,491</w:t>
                  </w:r>
                </w:p>
              </w:tc>
            </w:tr>
          </w:tbl>
          <w:p>
            <w:pPr>
              <w:jc w:val="center"/>
            </w:pPr>
            <w:r>
              <w:br/>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51"/>
              <w:gridCol w:w="831"/>
              <w:gridCol w:w="691"/>
              <w:gridCol w:w="906"/>
              <w:gridCol w:w="906"/>
              <w:gridCol w:w="906"/>
            </w:tblGrid>
            <w:tr>
              <w:trPr>
                <w:trHeight w:val="765" w:hRule="auto"/>
                <w:tblHeader/>
              </w:trPr>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8"/>
                      <w:szCs w:val="18"/>
                      <w:color w:val="000000"/>
                    </w:rPr>
                    <w:t xml:space="preserve">公历日期</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8"/>
                      <w:szCs w:val="18"/>
                      <w:color w:val="000000"/>
                    </w:rPr>
                    <w:t xml:space="preserve">站点</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8"/>
                      <w:szCs w:val="18"/>
                      <w:color w:val="000000"/>
                    </w:rPr>
                    <w:t xml:space="preserve">方向</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8"/>
                      <w:szCs w:val="18"/>
                      <w:color w:val="000000"/>
                    </w:rPr>
                    <w:t xml:space="preserve">P05</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8"/>
                      <w:szCs w:val="18"/>
                      <w:color w:val="000000"/>
                    </w:rPr>
                    <w:t xml:space="preserve">悲观</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8"/>
                      <w:szCs w:val="18"/>
                      <w:color w:val="000000"/>
                    </w:rPr>
                    <w:t xml:space="preserve">P50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8"/>
                      <w:szCs w:val="18"/>
                      <w:color w:val="000000"/>
                    </w:rPr>
                    <w:t xml:space="preserve">基准</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8"/>
                      <w:szCs w:val="18"/>
                      <w:color w:val="000000"/>
                    </w:rPr>
                    <w:t xml:space="preserve">P95</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8"/>
                      <w:szCs w:val="18"/>
                      <w:color w:val="000000"/>
                    </w:rPr>
                    <w:t xml:space="preserve">乐观</w:t>
                  </w:r>
                </w:p>
              </w:tc>
            </w:tr>
            <w:tr>
              <w:trPr>
                <w:trHeight w:val="483"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2028-01-11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天津</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入站</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55,169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56,818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58,714</w:t>
                  </w:r>
                </w:p>
              </w:tc>
            </w:tr>
            <w:tr>
              <w:trPr>
                <w:trHeight w:val="48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2028-01-11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62,797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64,568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64,568</w:t>
                  </w:r>
                </w:p>
              </w:tc>
            </w:tr>
            <w:tr>
              <w:trPr>
                <w:trHeight w:val="498"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2028-01-11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天津西</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入站</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46,132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46,394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47,678</w:t>
                  </w:r>
                </w:p>
              </w:tc>
            </w:tr>
          </w:tbl>
          <w:bookmarkEnd w:id="24"/>
        </w:tc>
      </w:tr>
    </w:tbl>
    <w:bookmarkEnd w:id="25"/>
    <w:bookmarkStart w:id="50" w:name="模型性能评估"/>
    <w:p>
      <w:pPr>
        <w:pStyle w:val="2"/>
      </w:pPr>
      <w:r>
        <w:rPr>
          <w:rFonts w:hint="eastAsia"/>
        </w:rPr>
        <w:t xml:space="preserve">模型性能评估</w:t>
      </w:r>
    </w:p>
    <w:p>
      <w:pPr>
        <w:pStyle w:val="FirstParagraph"/>
      </w:pPr>
      <w:r>
        <w:rPr>
          <w:rFonts w:hint="eastAsia"/>
        </w:rPr>
        <w:t xml:space="preserve">为客观验证所构建</w:t>
      </w:r>
      <w:r>
        <w:t xml:space="preserve"> XGBoost </w:t>
      </w:r>
      <w:r>
        <w:rPr>
          <w:rFonts w:hint="eastAsia"/>
        </w:rPr>
        <w:t xml:space="preserve">模型的泛化能力与业务应用价值，本研究建立了一套多维度的性能评估体系。为严格防止未来数据泄露，所有评估指标的计算均脱离训练集与验证集，绝对孤立地在模型未曾见过的</w:t>
      </w:r>
      <w:r>
        <w:t xml:space="preserve"> 2026 </w:t>
      </w:r>
      <w:r>
        <w:rPr>
          <w:rFonts w:hint="eastAsia"/>
        </w:rPr>
        <w:t xml:space="preserve">年监控集上进行。</w:t>
      </w:r>
      <w:r>
        <w:t xml:space="preserve"> </w:t>
      </w:r>
      <w:r>
        <w:rPr>
          <w:rFonts w:hint="eastAsia"/>
        </w:rPr>
        <w:t xml:space="preserve">具体的评估框架从以下四个维度展开：</w:t>
      </w:r>
    </w:p>
    <w:p>
      <w:pPr>
        <w:pStyle w:val="a1"/>
      </w:pPr>
      <w:r>
        <w:rPr>
          <w:rFonts w:hint="eastAsia"/>
        </w:rPr>
        <w:t xml:space="preserve">为论证复杂非线性模型相较于经验启发式规则的增量价值，本研究引入季节性天真模型</w:t>
      </w:r>
      <w:r>
        <w:t xml:space="preserve"> (Seasonal Naïve, SNaïve) </w:t>
      </w:r>
      <w:r>
        <w:rPr>
          <w:rFonts w:hint="eastAsia"/>
        </w:rPr>
        <w:t xml:space="preserve">作为基准标尺。在春运场景下，该基准假设当前客流完全复刻上一年同期的历史流量（即直接映射</w:t>
      </w:r>
      <w:r>
        <w:t xml:space="preserve"> Lag_1Y_Volume </w:t>
      </w:r>
      <w:r>
        <w:rPr>
          <w:rFonts w:hint="eastAsia"/>
        </w:rPr>
        <w:t xml:space="preserve">特征）。在此基础上，计算模型的预测技能得分</w:t>
      </w:r>
      <w:r>
        <w:t xml:space="preserve"> (Forecast Skill </w:t>
      </w:r>
      <w:r>
        <w:rPr>
          <w:rFonts w:hint="eastAsia"/>
        </w:rPr>
        <w:t xml:space="preserve">Score,SS)，其定义为：</w:t>
      </w:r>
    </w:p>
    <w:p>
      <w:pPr>
        <w:pStyle w:val="a1"/>
      </w:pPr>
      <m:oMathPara>
        <m:oMathParaPr>
          <m:jc m:val="center"/>
        </m:oMathParaPr>
        <m:oMath>
          <m:r>
            <m:t>S</m:t>
          </m:r>
          <m:r>
            <m:t>S</m:t>
          </m:r>
          <m:r>
            <m:rPr>
              <m:sty m:val="p"/>
            </m:rPr>
            <m:t>=</m:t>
          </m:r>
          <m:r>
            <m:t>1</m:t>
          </m:r>
          <m:r>
            <m:rPr>
              <m:sty m:val="p"/>
            </m:rPr>
            <m:t>−</m:t>
          </m:r>
          <m:r>
            <m:rPr>
              <m:sty m:val="p"/>
            </m:rPr>
            <m:t>(</m:t>
          </m:r>
          <m:r>
            <m:t>R</m:t>
          </m:r>
          <m:r>
            <m:t>M</m:t>
          </m:r>
          <m:r>
            <m:t>S</m:t>
          </m:r>
          <m:sSub>
            <m:e>
              <m:r>
                <m:t>E</m:t>
              </m:r>
            </m:e>
            <m:sub>
              <m:r>
                <m:t>M</m:t>
              </m:r>
              <m:r>
                <m:t>o</m:t>
              </m:r>
              <m:r>
                <m:t>d</m:t>
              </m:r>
              <m:r>
                <m:t>e</m:t>
              </m:r>
              <m:r>
                <m:t>l</m:t>
              </m:r>
            </m:sub>
          </m:sSub>
          <m:r>
            <m:rPr>
              <m:sty m:val="p"/>
            </m:rPr>
            <m:t>/</m:t>
          </m:r>
          <m:r>
            <m:t>R</m:t>
          </m:r>
          <m:r>
            <m:t>M</m:t>
          </m:r>
          <m:r>
            <m:t>S</m:t>
          </m:r>
          <m:sSub>
            <m:e>
              <m:r>
                <m:t>E</m:t>
              </m:r>
            </m:e>
            <m:sub>
              <m:r>
                <m:t>S</m:t>
              </m:r>
              <m:r>
                <m:t>N</m:t>
              </m:r>
              <m:r>
                <m:t>a</m:t>
              </m:r>
              <m:acc>
                <m:accPr>
                  <m:chr m:val="̈"/>
                </m:accPr>
                <m:e>
                  <m:r>
                    <m:t>i</m:t>
                  </m:r>
                </m:e>
              </m:acc>
              <m:r>
                <m:t>v</m:t>
              </m:r>
              <m:r>
                <m:t>e</m:t>
              </m:r>
            </m:sub>
          </m:sSub>
          <m:r>
            <m:rPr>
              <m:sty m:val="p"/>
            </m:rPr>
            <m:t>)</m:t>
          </m:r>
        </m:oMath>
      </m:oMathPara>
    </w:p>
    <w:p>
      <w:pPr>
        <w:pStyle w:val="FirstParagraph"/>
      </w:pPr>
      <w:r>
        <w:rPr>
          <w:rFonts w:hint="eastAsia"/>
        </w:rPr>
        <w:t xml:space="preserve">经过上述计算，实证结果显示SS&gt;0，如</w:t>
      </w:r>
      <w:r>
        <w:t xml:space="preserve"> </w:t>
      </w:r>
      <w:hyperlink w:anchor="tbl-SS">
        <w:r>
          <w:rPr>
            <w:rStyle w:val="af"/>
            <w:rFonts w:hint="eastAsia"/>
          </w:rPr>
          <w:t xml:space="preserve">表</w:t>
        </w:r>
        <w:r>
          <w:rPr>
            <w:rStyle w:val="af"/>
          </w:rPr>
          <w:t xml:space="preserve"> 4</w:t>
        </w:r>
      </w:hyperlink>
      <w:r>
        <w:t xml:space="preserve"> </w:t>
      </w:r>
      <w:r>
        <w:rPr>
          <w:rFonts w:hint="eastAsia"/>
        </w:rPr>
        <w:t xml:space="preserve">所示，其数据从统计学意义上证明了本研究所设计的时空交互特征工程与XGBoost算法成功提取了纯粹历史复刻之外的动态时序规律。</w:t>
      </w:r>
    </w:p>
    <w:p>
      <w:pPr>
        <w:pStyle w:val="a1"/>
      </w:pPr>
      <w:r>
        <w:rPr>
          <w:rFonts w:hint="eastAsia"/>
        </w:rPr>
        <w:t xml:space="preserve">针对春运客流存在“平峰期基数小、高峰期极值大”的异方差特性，本研究构建了多尺度的误差评估矩阵，其一是均方根误差</w:t>
      </w:r>
      <w:r>
        <w:t xml:space="preserve"> </w:t>
      </w:r>
      <w:r>
        <w:rPr>
          <w:rFonts w:hint="eastAsia"/>
        </w:rPr>
        <w:t xml:space="preserve">（RMSE），利用其对显著偏差的平方放大惩罚特性，重点考察模型在极端春运高峰期的拟合能力，验证模型是否有效避免了峰值节点的严重低估或高估</w:t>
      </w:r>
      <w:r>
        <w:rPr>
          <w:vertAlign w:val="superscript"/>
        </w:rPr>
        <w:t xml:space="preserve">[</w:t>
      </w:r>
      <w:hyperlink w:anchor="ref-chaiRootMeanSquare2014">
        <w:r>
          <w:rPr>
            <w:rStyle w:val="af"/>
            <w:vertAlign w:val="superscript"/>
          </w:rPr>
          <w:t xml:space="preserve">6</w:t>
        </w:r>
      </w:hyperlink>
      <w:r>
        <w:rPr>
          <w:vertAlign w:val="superscript"/>
        </w:rPr>
        <w:t xml:space="preserve">]</w:t>
      </w:r>
      <w:r>
        <w:rPr>
          <w:rFonts w:hint="eastAsia"/>
        </w:rPr>
        <w:t xml:space="preserve">；其二是平均绝对误差（MAE），作为稳健的中心趋势度量，量化模型在整个40天春运周期内的全局基础预测稳定性</w:t>
      </w:r>
      <w:r>
        <w:rPr>
          <w:vertAlign w:val="superscript"/>
        </w:rPr>
        <w:t xml:space="preserve">[</w:t>
      </w:r>
      <w:hyperlink w:anchor="ref-willmottAdvantagesMeanAbsolute2005">
        <w:r>
          <w:rPr>
            <w:rStyle w:val="af"/>
            <w:vertAlign w:val="superscript"/>
          </w:rPr>
          <w:t xml:space="preserve">7</w:t>
        </w:r>
      </w:hyperlink>
      <w:r>
        <w:rPr>
          <w:vertAlign w:val="superscript"/>
        </w:rPr>
        <w:t xml:space="preserve">]</w:t>
      </w:r>
      <w:r>
        <w:rPr>
          <w:rFonts w:hint="eastAsia"/>
        </w:rPr>
        <w:t xml:space="preserve">；其三是对称平均绝对百分比误差（sMAPE），鉴于非高峰期低客流基数易导致传统MAPE出现极端“百分比爆炸”，引入sMAPE以对称且有界的方式，更为稳健地评估整体相对误差水平</w:t>
      </w:r>
      <w:r>
        <w:rPr>
          <w:vertAlign w:val="superscript"/>
        </w:rPr>
        <w:t xml:space="preserve">[</w:t>
      </w:r>
      <w:hyperlink w:anchor="ref-makridakisM4CompetitionResults2018">
        <w:r>
          <w:rPr>
            <w:rStyle w:val="af"/>
            <w:vertAlign w:val="superscript"/>
          </w:rPr>
          <w:t xml:space="preserve">8</w:t>
        </w:r>
      </w:hyperlink>
      <w:r>
        <w:rPr>
          <w:vertAlign w:val="superscript"/>
        </w:rPr>
        <w:t xml:space="preserve">]</w:t>
      </w:r>
      <w:r>
        <w:t xml:space="preserve">。</w:t>
      </w:r>
    </w:p>
    <w:p>
      <w:pPr>
        <w:pStyle w:val="a1"/>
      </w:pPr>
      <w:r>
        <w:rPr>
          <w:rFonts w:hint="eastAsia"/>
        </w:rPr>
        <w:t xml:space="preserve">模型评估结果如</w:t>
      </w:r>
      <w:r>
        <w:t xml:space="preserve"> </w:t>
      </w:r>
      <w:hyperlink w:anchor="tbl-SS">
        <w:r>
          <w:rPr>
            <w:rStyle w:val="af"/>
            <w:rFonts w:hint="eastAsia"/>
          </w:rPr>
          <w:t xml:space="preserve">表</w:t>
        </w:r>
        <w:r>
          <w:rPr>
            <w:rStyle w:val="af"/>
          </w:rPr>
          <w:t xml:space="preserve"> 4</w:t>
        </w:r>
      </w:hyperlink>
      <w:r>
        <w:t xml:space="preserve"> </w:t>
      </w:r>
      <w:r>
        <w:rPr>
          <w:rFonts w:hint="eastAsia"/>
        </w:rPr>
        <w:t xml:space="preserve">所示，该结果表明，所构建的预测模型在不同站点与方向上均展现出良好的预测性能。四个场景的对称平均绝对百分比误差（sMAPE）介于8.67%至10.79%之间，整体相对误差处于较低水平，其中天津站入站方向表现最优（sMAPE=8.67%），天津西站入站方向相对最高（10.79%）。所有场景的Skill</w:t>
      </w:r>
      <w:r>
        <w:t xml:space="preserve"> </w:t>
      </w:r>
      <w:r>
        <w:rPr>
          <w:rFonts w:hint="eastAsia"/>
        </w:rPr>
        <w:t xml:space="preserve">Score均为正值（0.23–0.44），一致证实模型预测效果显著优于基准模型。进一步对比均方根误差（RMSE）与平均绝对误差（MAE）以诊断误差分布特征，各场景RMSE/MAE比值处于1.19至1.36范围内；天津西站出站方向该比值最高（1.36），提示存在少量预测偏差较大的离群样本，而其余场景比值均接近1.20，误差分布较为均匀。值得注意的是，天津西站入站方向的sMAPE最高但其Skill</w:t>
      </w:r>
      <w:r>
        <w:t xml:space="preserve"> </w:t>
      </w:r>
      <w:r>
        <w:rPr>
          <w:rFonts w:hint="eastAsia"/>
        </w:rPr>
        <w:t xml:space="preserve">Score亦最高（0.44），反映出该方向客流波动剧烈、基准预测难度大，而XGBoost模型仍取得了最大幅度的相对提升；与之相对，天津站出站方向sMAPE较低（8.96%）而Skill</w:t>
      </w:r>
      <w:r>
        <w:t xml:space="preserve"> </w:t>
      </w:r>
      <w:r>
        <w:rPr>
          <w:rFonts w:hint="eastAsia"/>
        </w:rPr>
        <w:t xml:space="preserve">Score最低（0.23），表明基准模型已能较好捕捉该场景规律，模型在此基础上实现了温和改进。总体而言，该模型精度可靠、泛化能力良好，但天津西站出站方向偶发的大误差问题仍需通过特征工程或引入鲁棒损失函数加以针对性优化。</w:t>
      </w:r>
    </w:p>
    <w:tbl>
      <w:tblPr>
        <w:tblStyle w:val="Table"/>
        <w:tblW w:type="pct" w:w="5000"/>
        <w:tblLayout w:type="fixed"/>
        <w:tblLook w:firstRow="0" w:lastRow="0" w:firstColumn="0" w:lastColumn="0" w:noHBand="0" w:noVBand="0" w:val="0000"/>
      </w:tblPr>
      <w:tblGrid>
        <w:gridCol w:w="7920"/>
      </w:tblGrid>
      <w:tr>
        <w:tc>
          <w:tcPr/>
          <w:bookmarkStart w:id="26" w:name="tbl-SS"/>
          <w:p>
            <w:pPr>
              <w:spacing w:before="200"/>
              <w:pStyle w:val="TableCaption"/>
              <w:jc w:val="center"/>
            </w:pPr>
            <w:r>
              <w:rPr>
                <w:rFonts w:hint="eastAsia"/>
              </w:rPr>
              <w:t xml:space="preserve">表</w:t>
            </w:r>
            <w:r>
              <w:t xml:space="preserve"> 4 </w:t>
            </w:r>
            <w:r>
              <w:rPr>
                <w:rFonts w:hint="eastAsia"/>
              </w:rPr>
              <w:t xml:space="preserve">预测技能得分表格</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831"/>
              <w:gridCol w:w="691"/>
              <w:gridCol w:w="1411"/>
              <w:gridCol w:w="1311"/>
              <w:gridCol w:w="1491"/>
              <w:gridCol w:w="1281"/>
            </w:tblGrid>
            <w:tr>
              <w:trPr>
                <w:trHeight w:val="506" w:hRule="auto"/>
                <w:tblHeader/>
              </w:trPr>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8"/>
                      <w:szCs w:val="18"/>
                      <w:color w:val="000000"/>
                    </w:rPr>
                    <w:t xml:space="preserve">站点</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8"/>
                      <w:szCs w:val="18"/>
                      <w:color w:val="000000"/>
                    </w:rPr>
                    <w:t xml:space="preserve">方向</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8"/>
                      <w:szCs w:val="18"/>
                      <w:color w:val="000000"/>
                    </w:rPr>
                    <w:t xml:space="preserve">XGB_RMSE</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8"/>
                      <w:szCs w:val="18"/>
                      <w:color w:val="000000"/>
                    </w:rPr>
                    <w:t xml:space="preserve">XGB_MAE</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8"/>
                      <w:szCs w:val="18"/>
                      <w:color w:val="000000"/>
                    </w:rPr>
                    <w:t xml:space="preserve">XGB_sMAPE</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8"/>
                      <w:szCs w:val="18"/>
                      <w:color w:val="000000"/>
                    </w:rPr>
                    <w:t xml:space="preserve">Skill_Score</w:t>
                  </w:r>
                </w:p>
              </w:tc>
            </w:tr>
            <w:tr>
              <w:trPr>
                <w:trHeight w:val="483"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天津</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入站</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5556.845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4568.697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8.674339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0.3964614</w:t>
                  </w:r>
                </w:p>
              </w:tc>
            </w:tr>
            <w:tr>
              <w:trPr>
                <w:trHeight w:val="48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5930.914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4781.503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8.955747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0.2317707</w:t>
                  </w:r>
                </w:p>
              </w:tc>
            </w:tr>
            <w:tr>
              <w:trPr>
                <w:trHeight w:val="48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5968.466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4995.194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10.791110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0.4436141</w:t>
                  </w:r>
                </w:p>
              </w:tc>
            </w:tr>
            <w:tr>
              <w:trPr>
                <w:trHeight w:val="498"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天津西</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出站</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6010.411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4432.630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10.273561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0.3188184</w:t>
                  </w:r>
                </w:p>
              </w:tc>
            </w:tr>
          </w:tbl>
          <w:bookmarkEnd w:id="26"/>
        </w:tc>
      </w:tr>
    </w:tbl>
    <w:p>
      <w:pPr>
        <w:pStyle w:val="a1"/>
      </w:pPr>
      <w:r>
        <w:rPr>
          <w:rFonts w:hint="eastAsia"/>
        </w:rPr>
        <w:t xml:space="preserve">模型评估的另一核心在于检验特征空间是否已充分表征了数据中的结构性信息。本研究在空间独立且时序连续的前提下，提取模型的预测残差序列，并结合自相关函数（ACF）与Ljung-Box检验进行白噪声诊断。</w:t>
      </w:r>
      <w:r>
        <w:t xml:space="preserve"> </w:t>
      </w:r>
      <w:r>
        <w:rPr>
          <w:rFonts w:hint="eastAsia"/>
        </w:rPr>
        <w:t xml:space="preserve">在该检验体系中，终极目标是证明无法拒绝原假设（即p</w:t>
      </w:r>
      <w:r>
        <w:t xml:space="preserve"> &gt; </w:t>
      </w:r>
      <w:r>
        <w:rPr>
          <w:rFonts w:hint="eastAsia"/>
        </w:rPr>
        <w:t xml:space="preserve">0.05），这意味残差序列不存在显著的自相关性，已坍缩为纯随机的白噪声，从而证明模型的信息提取已逼近理论上限。</w:t>
      </w:r>
    </w:p>
    <w:p>
      <w:pPr>
        <w:pStyle w:val="a1"/>
      </w:pPr>
      <w:r>
        <w:rPr>
          <w:rFonts w:hint="eastAsia"/>
        </w:rPr>
        <w:t xml:space="preserve">在Ljung-Box检验中,检验结果如</w:t>
      </w:r>
      <w:r>
        <w:t xml:space="preserve"> </w:t>
      </w:r>
      <w:hyperlink w:anchor="tbl-pvalues">
        <w:r>
          <w:rPr>
            <w:rStyle w:val="af"/>
            <w:rFonts w:hint="eastAsia"/>
          </w:rPr>
          <w:t xml:space="preserve">表</w:t>
        </w:r>
        <w:r>
          <w:rPr>
            <w:rStyle w:val="af"/>
          </w:rPr>
          <w:t xml:space="preserve"> 5</w:t>
        </w:r>
      </w:hyperlink>
      <w:r>
        <w:t xml:space="preserve"> </w:t>
      </w:r>
      <w:r>
        <w:rPr>
          <w:rFonts w:hint="eastAsia"/>
        </w:rPr>
        <w:t xml:space="preserve">所示，天津站入站方向Q统计量为18.237，对应P值为0.0511；出站方向Q=7.296，P=0.6972。天津西站入站方向Q=16.267，P=0.0922；出站方向Q=7.104，P=0.7156。在0.05的显著性水平下，四个序列的残差均无法拒绝白噪声原假设（P值均大于0.05），说明预测模型整体上有效学习了客流序列的动态规律，残差已近似为随机噪声。另外值得留意的是，天津站入站方向的P值（0.0511）仅略高于临界水平，属边缘显著情形，提示其残差中可能存在极微弱的自相关成分未被完全捕捉，但尚不构成模型在该序列上失效的证据。如</w:t>
      </w:r>
      <w:r>
        <w:t xml:space="preserve"> </w:t>
      </w:r>
      <w:hyperlink w:anchor="tbl-pvalues">
        <w:r>
          <w:rPr>
            <w:rStyle w:val="af"/>
            <w:rFonts w:hint="eastAsia"/>
          </w:rPr>
          <w:t xml:space="preserve">表</w:t>
        </w:r>
        <w:r>
          <w:rPr>
            <w:rStyle w:val="af"/>
          </w:rPr>
          <w:t xml:space="preserve"> 5</w:t>
        </w:r>
      </w:hyperlink>
      <w:r>
        <w:t xml:space="preserve"> </w:t>
      </w:r>
      <w:r>
        <w:rPr>
          <w:rFonts w:hint="eastAsia"/>
        </w:rPr>
        <w:t xml:space="preserve">所示，其原因可能在于出站客流受节假日驱动较大，其残差呈现完美的白噪声；而入站客流因受天气突变、列车晚点及弹性探亲等随机因素干扰，存在微弱的自回归拖尾补偿效应（p值处于临界区间）。</w:t>
      </w:r>
    </w:p>
    <w:tbl>
      <w:tblPr>
        <w:tblStyle w:val="Table"/>
        <w:tblW w:type="pct" w:w="5000"/>
        <w:tblLayout w:type="fixed"/>
        <w:tblLook w:firstRow="0" w:lastRow="0" w:firstColumn="0" w:lastColumn="0" w:noHBand="0" w:noVBand="0" w:val="0000"/>
      </w:tblPr>
      <w:tblGrid>
        <w:gridCol w:w="7920"/>
      </w:tblGrid>
      <w:tr>
        <w:tc>
          <w:tcPr/>
          <w:bookmarkStart w:id="27" w:name="tbl-pvalues"/>
          <w:p>
            <w:pPr>
              <w:spacing w:before="200"/>
              <w:pStyle w:val="TableCaption"/>
              <w:jc w:val="center"/>
            </w:pPr>
            <w:r>
              <w:rPr>
                <w:rFonts w:hint="eastAsia"/>
              </w:rPr>
              <w:t xml:space="preserve">表</w:t>
            </w:r>
            <w:r>
              <w:t xml:space="preserve"> 5 </w:t>
            </w:r>
            <w:r>
              <w:rPr>
                <w:rFonts w:hint="eastAsia"/>
              </w:rPr>
              <w:t xml:space="preserve">Ljung-Box检验p值表格</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831"/>
              <w:gridCol w:w="691"/>
              <w:gridCol w:w="1261"/>
              <w:gridCol w:w="1061"/>
              <w:gridCol w:w="1621"/>
            </w:tblGrid>
            <w:tr>
              <w:trPr>
                <w:trHeight w:val="506" w:hRule="auto"/>
                <w:tblHeader/>
              </w:trPr>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8"/>
                      <w:szCs w:val="18"/>
                      <w:color w:val="000000"/>
                    </w:rPr>
                    <w:t xml:space="preserve">站点</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8"/>
                      <w:szCs w:val="18"/>
                      <w:color w:val="000000"/>
                    </w:rPr>
                    <w:t xml:space="preserve">方向</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8"/>
                      <w:szCs w:val="18"/>
                      <w:color w:val="000000"/>
                    </w:rPr>
                    <w:t xml:space="preserve">Q_Statistic</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8"/>
                      <w:szCs w:val="18"/>
                      <w:color w:val="000000"/>
                    </w:rPr>
                    <w:t xml:space="preserve">P_Value</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8"/>
                      <w:szCs w:val="18"/>
                      <w:color w:val="000000"/>
                    </w:rPr>
                    <w:t xml:space="preserve">Is_White_Noise</w:t>
                  </w:r>
                </w:p>
              </w:tc>
            </w:tr>
            <w:tr>
              <w:trPr>
                <w:trHeight w:val="483"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天津</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入站</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18.237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0.0511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Yes</w:t>
                  </w:r>
                </w:p>
              </w:tc>
            </w:tr>
            <w:tr>
              <w:trPr>
                <w:trHeight w:val="48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7.296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0.6972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Yes</w:t>
                  </w:r>
                </w:p>
              </w:tc>
            </w:tr>
            <w:tr>
              <w:trPr>
                <w:trHeight w:val="48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16.267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0.0922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Yes</w:t>
                  </w:r>
                </w:p>
              </w:tc>
            </w:tr>
            <w:tr>
              <w:trPr>
                <w:trHeight w:val="498"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天津西</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出站</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7.104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0.7156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88"/>
                    <w:ind w:left="100" w:right="100" w:firstLine="0" w:firstLineChars="0"/>
                    <w:rPr>
                      <w:rFonts w:ascii="Times New Roman" w:hAnsi="Times New Roman" w:eastAsia="SimSu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8"/>
                      <w:szCs w:val="18"/>
                      <w:color w:val="000000"/>
                    </w:rPr>
                    <w:t xml:space="preserve">Yes</w:t>
                  </w:r>
                </w:p>
              </w:tc>
            </w:tr>
          </w:tbl>
          <w:bookmarkEnd w:id="27"/>
        </w:tc>
      </w:tr>
    </w:tbl>
    <w:p>
      <w:pPr>
        <w:pStyle w:val="a1"/>
      </w:pPr>
      <w:r>
        <w:rPr>
          <w:rFonts w:hint="eastAsia"/>
        </w:rPr>
        <w:t xml:space="preserve">在三联残差诊断图（时序图</w:t>
      </w:r>
      <w:r>
        <w:t xml:space="preserve"> + ACF + </w:t>
      </w:r>
      <w:r>
        <w:rPr>
          <w:rFonts w:hint="eastAsia"/>
        </w:rPr>
        <w:t xml:space="preserve">直方图）中，如</w:t>
      </w:r>
      <w:r>
        <w:t xml:space="preserve"> </w:t>
      </w:r>
      <w:hyperlink w:anchor="fig-ACFmuti">
        <w:r>
          <w:rPr>
            <w:rStyle w:val="af"/>
            <w:rFonts w:hint="eastAsia"/>
          </w:rPr>
          <w:t xml:space="preserve">图</w:t>
        </w:r>
        <w:r>
          <w:rPr>
            <w:rStyle w:val="af"/>
          </w:rPr>
          <w:t xml:space="preserve"> 1</w:t>
        </w:r>
      </w:hyperlink>
      <w:r>
        <w:t xml:space="preserve"> </w:t>
      </w:r>
      <w:r>
        <w:rPr>
          <w:rFonts w:hint="eastAsia"/>
        </w:rPr>
        <w:t xml:space="preserve">所示，对于残差时序图，所有组合呈现无明显规律、有少量极值的状态，这说明模型基本捕捉了时序内的所有结构，但可能还有少量时序外结构尚未被捕捉；各站入站方向的ACF图正常处于置信区间内，结构解释良好；各站入站方向的ACF图的Lag(1)和Lag(7)超出了自相关系数的显著性置信区间边界，这表示对于入站方向还有尚未被未捕捉的以周为单位的结构；对于直方图，各组合呈现集体轻微左偏的样式，说明模型在某些时点可能被系统性低估（负残差偏大），在未来预计需要引入更多维特征来解决这些问题。</w:t>
      </w:r>
    </w:p>
    <w:bookmarkStart w:id="44" w:name="fig-ACFmuti"/>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31" w:name="fig-ACFmuti-1"/>
                <w:p>
                  <w:pPr>
                    <w:pStyle w:val="Compact"/>
                    <w:jc w:val="center"/>
                    <w:jc w:val="left"/>
                  </w:pPr>
                  <w:r>
                    <w:drawing>
                      <wp:inline>
                        <wp:extent cx="2971800" cy="1671637"/>
                        <wp:effectExtent b="0" l="0" r="0" t="0"/>
                        <wp:docPr descr="" title="" id="29" name="Picture"/>
                        <a:graphic>
                          <a:graphicData uri="http://schemas.openxmlformats.org/drawingml/2006/picture">
                            <pic:pic>
                              <pic:nvPicPr>
                                <pic:cNvPr descr="figures/residual_gg_天津_出站.png" id="30" name="Picture"/>
                                <pic:cNvPicPr>
                                  <a:picLocks noChangeArrowheads="1" noChangeAspect="1"/>
                                </pic:cNvPicPr>
                              </pic:nvPicPr>
                              <pic:blipFill>
                                <a:blip r:embed="rId28"/>
                                <a:stretch>
                                  <a:fillRect/>
                                </a:stretch>
                              </pic:blipFill>
                              <pic:spPr bwMode="auto">
                                <a:xfrm>
                                  <a:off x="0" y="0"/>
                                  <a:ext cx="2971800" cy="1671637"/>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w:t>
                  </w:r>
                  <w:r>
                    <w:rPr>
                      <w:rFonts w:hint="eastAsia"/>
                    </w:rPr>
                    <w:t xml:space="preserve">天津-出站</w:t>
                  </w:r>
                </w:p>
                <w:bookmarkEnd w:id="31"/>
              </w:tc>
            </w:tr>
          </w:tbl>
          <w:p/>
        </w:tc>
        <w:tc>
          <w:tcPr/>
          <w:tbl>
            <w:tblPr>
              <w:tblStyle w:val="Table"/>
              <w:tblW w:type="pct" w:w="4900"/>
              <w:tblLayout w:type="fixed"/>
              <w:tblLook w:firstRow="0" w:lastRow="0" w:firstColumn="0" w:lastColumn="0" w:noHBand="0" w:noVBand="0" w:val="0000"/>
            </w:tblPr>
            <w:tblGrid>
              <w:gridCol w:w="7761"/>
            </w:tblGrid>
            <w:tr>
              <w:tc>
                <w:tcPr/>
                <w:bookmarkStart w:id="35" w:name="fig-ACFmuti-2"/>
                <w:p>
                  <w:pPr>
                    <w:pStyle w:val="Compact"/>
                    <w:jc w:val="center"/>
                    <w:jc w:val="left"/>
                  </w:pPr>
                  <w:r>
                    <w:drawing>
                      <wp:inline>
                        <wp:extent cx="2971800" cy="1671637"/>
                        <wp:effectExtent b="0" l="0" r="0" t="0"/>
                        <wp:docPr descr="" title="" id="33" name="Picture"/>
                        <a:graphic>
                          <a:graphicData uri="http://schemas.openxmlformats.org/drawingml/2006/picture">
                            <pic:pic>
                              <pic:nvPicPr>
                                <pic:cNvPr descr="figures/residual_gg_天津_入站.png" id="34" name="Picture"/>
                                <pic:cNvPicPr>
                                  <a:picLocks noChangeArrowheads="1" noChangeAspect="1"/>
                                </pic:cNvPicPr>
                              </pic:nvPicPr>
                              <pic:blipFill>
                                <a:blip r:embed="rId32"/>
                                <a:stretch>
                                  <a:fillRect/>
                                </a:stretch>
                              </pic:blipFill>
                              <pic:spPr bwMode="auto">
                                <a:xfrm>
                                  <a:off x="0" y="0"/>
                                  <a:ext cx="2971800" cy="1671637"/>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w:t>
                  </w:r>
                  <w:r>
                    <w:rPr>
                      <w:rFonts w:hint="eastAsia"/>
                    </w:rPr>
                    <w:t xml:space="preserve">天津-入站</w:t>
                  </w:r>
                </w:p>
                <w:bookmarkEnd w:id="35"/>
              </w:tc>
            </w:tr>
          </w:tbl>
          <w:p/>
        </w:tc>
      </w:tr>
      <w:tr>
        <w:tc>
          <w:tcPr/>
          <w:tbl>
            <w:tblPr>
              <w:tblStyle w:val="Table"/>
              <w:tblW w:type="pct" w:w="4900"/>
              <w:tblLayout w:type="fixed"/>
              <w:tblLook w:firstRow="0" w:lastRow="0" w:firstColumn="0" w:lastColumn="0" w:noHBand="0" w:noVBand="0" w:val="0000"/>
            </w:tblPr>
            <w:tblGrid>
              <w:gridCol w:w="7761"/>
            </w:tblGrid>
            <w:tr>
              <w:tc>
                <w:tcPr/>
                <w:bookmarkStart w:id="39" w:name="fig-ACFmuti-3"/>
                <w:p>
                  <w:pPr>
                    <w:pStyle w:val="Compact"/>
                    <w:jc w:val="center"/>
                    <w:jc w:val="left"/>
                  </w:pPr>
                  <w:r>
                    <w:drawing>
                      <wp:inline>
                        <wp:extent cx="2971800" cy="1671637"/>
                        <wp:effectExtent b="0" l="0" r="0" t="0"/>
                        <wp:docPr descr="" title="" id="37" name="Picture"/>
                        <a:graphic>
                          <a:graphicData uri="http://schemas.openxmlformats.org/drawingml/2006/picture">
                            <pic:pic>
                              <pic:nvPicPr>
                                <pic:cNvPr descr="figures/residual_gg_天津西_出站.png" id="38" name="Picture"/>
                                <pic:cNvPicPr>
                                  <a:picLocks noChangeArrowheads="1" noChangeAspect="1"/>
                                </pic:cNvPicPr>
                              </pic:nvPicPr>
                              <pic:blipFill>
                                <a:blip r:embed="rId36"/>
                                <a:stretch>
                                  <a:fillRect/>
                                </a:stretch>
                              </pic:blipFill>
                              <pic:spPr bwMode="auto">
                                <a:xfrm>
                                  <a:off x="0" y="0"/>
                                  <a:ext cx="2971800" cy="1671637"/>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(c) </w:t>
                  </w:r>
                  <w:r>
                    <w:rPr>
                      <w:rFonts w:hint="eastAsia"/>
                    </w:rPr>
                    <w:t xml:space="preserve">天津西-出站</w:t>
                  </w:r>
                </w:p>
                <w:bookmarkEnd w:id="39"/>
              </w:tc>
            </w:tr>
          </w:tbl>
          <w:p/>
        </w:tc>
        <w:tc>
          <w:tcPr/>
          <w:tbl>
            <w:tblPr>
              <w:tblStyle w:val="Table"/>
              <w:tblW w:type="pct" w:w="4900"/>
              <w:tblLayout w:type="fixed"/>
              <w:tblLook w:firstRow="0" w:lastRow="0" w:firstColumn="0" w:lastColumn="0" w:noHBand="0" w:noVBand="0" w:val="0000"/>
            </w:tblPr>
            <w:tblGrid>
              <w:gridCol w:w="7761"/>
            </w:tblGrid>
            <w:tr>
              <w:tc>
                <w:tcPr/>
                <w:bookmarkStart w:id="43" w:name="fig-ACFmuti-4"/>
                <w:p>
                  <w:pPr>
                    <w:pStyle w:val="Compact"/>
                    <w:jc w:val="center"/>
                    <w:jc w:val="left"/>
                  </w:pPr>
                  <w:r>
                    <w:drawing>
                      <wp:inline>
                        <wp:extent cx="2971800" cy="1671637"/>
                        <wp:effectExtent b="0" l="0" r="0" t="0"/>
                        <wp:docPr descr="" title="" id="41" name="Picture"/>
                        <a:graphic>
                          <a:graphicData uri="http://schemas.openxmlformats.org/drawingml/2006/picture">
                            <pic:pic>
                              <pic:nvPicPr>
                                <pic:cNvPr descr="figures/residual_gg_天津西_入站.png" id="42" name="Picture"/>
                                <pic:cNvPicPr>
                                  <a:picLocks noChangeArrowheads="1" noChangeAspect="1"/>
                                </pic:cNvPicPr>
                              </pic:nvPicPr>
                              <pic:blipFill>
                                <a:blip r:embed="rId40"/>
                                <a:stretch>
                                  <a:fillRect/>
                                </a:stretch>
                              </pic:blipFill>
                              <pic:spPr bwMode="auto">
                                <a:xfrm>
                                  <a:off x="0" y="0"/>
                                  <a:ext cx="2971800" cy="1671637"/>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(d) </w:t>
                  </w:r>
                  <w:r>
                    <w:rPr>
                      <w:rFonts w:hint="eastAsia"/>
                    </w:rPr>
                    <w:t xml:space="preserve">天津西-入站</w:t>
                  </w:r>
                </w:p>
                <w:bookmarkEnd w:id="43"/>
              </w:tc>
            </w:tr>
          </w:tbl>
          <w:p/>
        </w:tc>
      </w:tr>
    </w:tbl>
    <w:p>
      <w:pPr>
        <w:pStyle w:val="a1"/>
      </w:pPr>
      <w:pPr>
        <w:spacing w:before="200"/>
        <w:pStyle w:val="ImageCaption"/>
      </w:pPr>
      <w:r>
        <w:rPr>
          <w:rFonts w:hint="eastAsia"/>
        </w:rPr>
        <w:t xml:space="preserve">图</w:t>
      </w:r>
      <w:r>
        <w:t xml:space="preserve"> 1 </w:t>
      </w:r>
      <w:r>
        <w:rPr>
          <w:rFonts w:hint="eastAsia"/>
        </w:rPr>
        <w:t xml:space="preserve">各站点-方向的自相关函数（ACF）与残差检验图</w:t>
      </w:r>
    </w:p>
    <w:bookmarkEnd w:id="44"/>
    <w:p>
      <w:pPr>
        <w:pStyle w:val="a1"/>
      </w:pPr>
      <w:r>
        <w:rPr>
          <w:rFonts w:hint="eastAsia"/>
        </w:rPr>
        <w:t xml:space="preserve">为克服预测模型的“黑盒”属性并建立业务信任度，本研究引入基于合作博弈论的SHAP值</w:t>
      </w:r>
      <w:r>
        <w:t xml:space="preserve"> (SHapley AdditiveexPlanations) </w:t>
      </w:r>
      <w:r>
        <w:rPr>
          <w:rFonts w:hint="eastAsia"/>
        </w:rPr>
        <w:t xml:space="preserve">进行特征归因分析。将冻结的</w:t>
      </w:r>
      <w:r>
        <w:t xml:space="preserve"> XGBoost </w:t>
      </w:r>
      <w:r>
        <w:rPr>
          <w:rFonts w:hint="eastAsia"/>
        </w:rPr>
        <w:t xml:space="preserve">模型对象与2026年</w:t>
      </w:r>
      <w:r>
        <w:t xml:space="preserve"> </w:t>
      </w:r>
      <w:r>
        <w:rPr>
          <w:rFonts w:hint="eastAsia"/>
        </w:rPr>
        <w:t xml:space="preserve">测试矩阵输入解释器，输出</w:t>
      </w:r>
      <w:r>
        <w:t xml:space="preserve"> SHAP </w:t>
      </w:r>
      <w:r>
        <w:rPr>
          <w:rFonts w:hint="eastAsia"/>
        </w:rPr>
        <w:t xml:space="preserve">摘要图（Summary</w:t>
      </w:r>
      <w:r>
        <w:t xml:space="preserve"> </w:t>
      </w:r>
      <w:r>
        <w:rPr>
          <w:rFonts w:hint="eastAsia"/>
        </w:rPr>
        <w:t xml:space="preserve">Plot）。如</w:t>
      </w:r>
      <w:r>
        <w:t xml:space="preserve"> </w:t>
      </w:r>
      <w:hyperlink w:anchor="fig-SHAP">
        <w:r>
          <w:rPr>
            <w:rStyle w:val="af"/>
            <w:rFonts w:hint="eastAsia"/>
          </w:rPr>
          <w:t xml:space="preserve">图</w:t>
        </w:r>
        <w:r>
          <w:rPr>
            <w:rStyle w:val="af"/>
          </w:rPr>
          <w:t xml:space="preserve"> 2</w:t>
        </w:r>
      </w:hyperlink>
      <w:r>
        <w:t xml:space="preserve"> </w:t>
      </w:r>
      <w:r>
        <w:rPr>
          <w:rFonts w:hint="eastAsia"/>
        </w:rPr>
        <w:t xml:space="preserve">所示，通过可视化各特征对预测输出的边际贡献度与方向，直观且量化地证明了人工构造的高维组合特征及相对日历锚点在模型决策树分裂中起到了决定性作用，验证了模型内在逻辑与宏观物理/社会规律的高度一致性。</w:t>
      </w:r>
    </w:p>
    <w:tbl>
      <w:tblPr>
        <w:tblStyle w:val="Table"/>
        <w:tblW w:type="pct" w:w="5000"/>
        <w:tblLayout w:type="fixed"/>
        <w:tblLook w:firstRow="0" w:lastRow="0" w:firstColumn="0" w:lastColumn="0" w:noHBand="0" w:noVBand="0" w:val="0000"/>
      </w:tblPr>
      <w:tblGrid>
        <w:gridCol w:w="7920"/>
      </w:tblGrid>
      <w:tr>
        <w:tc>
          <w:tcPr/>
          <w:bookmarkStart w:id="49" w:name="fig-SHAP"/>
          <w:p>
            <w:pPr>
              <w:pStyle w:val="Compact"/>
              <w:jc w:val="center"/>
            </w:pPr>
            <w:r>
              <w:drawing>
                <wp:inline>
                  <wp:extent cx="6146800" cy="2305050"/>
                  <wp:effectExtent b="0" l="0" r="0" t="0"/>
                  <wp:docPr descr="" title="" id="46" name="Picture"/>
                  <a:graphic>
                    <a:graphicData uri="http://schemas.openxmlformats.org/drawingml/2006/picture">
                      <pic:pic>
                        <pic:nvPicPr>
                          <pic:cNvPr descr="figures/gg_shap_summary.svg" id="47" name="Picture"/>
                          <pic:cNvPicPr>
                            <a:picLocks noChangeArrowheads="1" noChangeAspect="1"/>
                          </pic:cNvPicPr>
                        </pic:nvPicPr>
                        <pic:blipFill>
                          <a:blip r:embed="rId48">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6146800" cy="2305050"/>
                          </a:xfrm>
                          <a:prstGeom prst="rect">
                            <a:avLst/>
                          </a:prstGeom>
                          <a:noFill/>
                          <a:ln w="9525">
                            <a:noFill/>
                            <a:headEnd/>
                            <a:tailEnd/>
                          </a:ln>
                        </pic:spPr>
                      </pic:pic>
                    </a:graphicData>
                  </a:graphic>
                </wp:inline>
              </w:drawing>
            </w:r>
          </w:p>
          <w:p>
            <w:pPr>
              <w:spacing w:before="200"/>
              <w:pStyle w:val="ImageCaption"/>
              <w:jc w:val="center"/>
            </w:pPr>
            <w:r>
              <w:rPr>
                <w:rFonts w:hint="eastAsia"/>
              </w:rPr>
              <w:t xml:space="preserve">图</w:t>
            </w:r>
            <w:r>
              <w:t xml:space="preserve"> 2 </w:t>
            </w:r>
            <w:r>
              <w:rPr>
                <w:rFonts w:hint="eastAsia"/>
              </w:rPr>
              <w:t xml:space="preserve">各特征的SHAP图</w:t>
            </w:r>
          </w:p>
          <w:bookmarkEnd w:id="49"/>
        </w:tc>
      </w:tr>
    </w:tbl>
    <w:bookmarkEnd w:id="50"/>
    <w:bookmarkEnd w:id="51"/>
    <w:bookmarkStart w:id="92" w:name="数据挖掘方法论与框架在工业设计中的应用"/>
    <w:p>
      <w:pPr>
        <w:pStyle w:val="1"/>
      </w:pPr>
      <w:r>
        <w:rPr>
          <w:rFonts w:hint="eastAsia"/>
        </w:rPr>
        <w:t xml:space="preserve">数据挖掘方法论与框架在工业设计中的应用</w:t>
      </w:r>
    </w:p>
    <w:p>
      <w:pPr>
        <w:pStyle w:val="FirstParagraph"/>
      </w:pPr>
      <w:r>
        <w:rPr>
          <w:rFonts w:hint="eastAsia"/>
        </w:rPr>
        <w:t xml:space="preserve">数据挖掘在工业设计全流程中，通过系统化的方法论框架（如CRISP-DM）和多种技术，为各阶段提供数据驱动基础。在意向调查阶段，通过多模态数据融合（如眼动追踪与情感分析）、关联规则挖掘（Apriori算法）和聚类分析（K-means算法）来预测用户意图、识别行为模式并量化设计冲突。在风格确定阶段，利用计算机视觉（如SVM分类、GAN生成）和模式识别技术进行产品风格分类、美学特征提取与创意生成。在人机优化与后期评估阶段，通过整合多源数据（如传感器、人体测量数据）、构建风险评估模型以及分析用户反馈（如情感分析），实现工效学参数优化并形成闭环反馈机制，从而支持数据驱动的设计决策与持续改进。</w:t>
      </w:r>
    </w:p>
    <w:bookmarkStart w:id="52" w:name="crisp-dm方法论框架"/>
    <w:p>
      <w:pPr>
        <w:pStyle w:val="2"/>
      </w:pPr>
      <w:r>
        <w:rPr>
          <w:rFonts w:hint="eastAsia"/>
        </w:rPr>
        <w:t xml:space="preserve">CRISP-DM方法论框架</w:t>
      </w:r>
    </w:p>
    <w:p>
      <w:pPr>
        <w:pStyle w:val="FirstParagraph"/>
      </w:pPr>
      <w:r>
        <w:rPr>
          <w:rFonts w:hint="eastAsia"/>
        </w:rPr>
        <w:t xml:space="preserve">CRISP-DM（跨行业数据挖掘标准流程）</w:t>
      </w:r>
      <w:r>
        <w:rPr>
          <w:vertAlign w:val="superscript"/>
        </w:rPr>
        <w:t xml:space="preserve">[</w:t>
      </w:r>
      <w:hyperlink w:anchor="ref-gopsillDataMiningPrototyping2025">
        <w:r>
          <w:rPr>
            <w:rStyle w:val="af"/>
            <w:vertAlign w:val="superscript"/>
          </w:rPr>
          <w:t xml:space="preserve">9</w:t>
        </w:r>
      </w:hyperlink>
      <w:r>
        <w:rPr>
          <w:vertAlign w:val="superscript"/>
        </w:rPr>
        <w:t xml:space="preserve">]</w:t>
      </w:r>
      <w:r>
        <w:rPr>
          <w:rFonts w:hint="eastAsia"/>
        </w:rPr>
        <w:t xml:space="preserve">是目前工业设计领域广泛应用的结构化方法论。它包含六个核心阶段，每个阶段在工业设计语境下都有具体实现方式。</w:t>
      </w:r>
    </w:p>
    <w:p>
      <w:pPr>
        <w:numPr>
          <w:ilvl w:val="0"/>
          <w:numId w:val="1001"/>
        </w:numPr>
      </w:pPr>
      <w:r>
        <w:rPr>
          <w:rFonts w:hint="eastAsia"/>
        </w:rPr>
        <w:t xml:space="preserve">业务理解：此阶段旨在明确数据挖掘项目的目标，并将其与工业设计的具体需求相结合。例如，在一项关于原型知识图谱的研究中，业务理解涵盖了对原型知识捕获方法的审查、知识表示工具的了解，以及对物理和虚拟原型设计研究的深入分析，从而为后续的图形分析提供参考基础。</w:t>
      </w:r>
    </w:p>
    <w:p>
      <w:pPr>
        <w:numPr>
          <w:ilvl w:val="0"/>
          <w:numId w:val="1001"/>
        </w:numPr>
      </w:pPr>
      <w:r>
        <w:rPr>
          <w:rFonts w:hint="eastAsia"/>
        </w:rPr>
        <w:t xml:space="preserve">数据理解：此阶段专注于收集和初步探索数据。在工业设计中，这可能涉及识别和收集与原型，设计、用户反馈等相关的数据。上述研究收集了来自“国际设计工程年度挑战赛”（IDEA）的两个开放数据集，记录了设计黑客马拉松中的原型实践。</w:t>
      </w:r>
    </w:p>
    <w:p>
      <w:pPr>
        <w:numPr>
          <w:ilvl w:val="0"/>
          <w:numId w:val="1001"/>
        </w:numPr>
      </w:pPr>
      <w:r>
        <w:rPr>
          <w:rFonts w:hint="eastAsia"/>
        </w:rPr>
        <w:t xml:space="preserve">数据准备：此阶段旨在将原始数据转换为适合建模的格式。该研究结合了两个开放数据集，对原型知识图谱进行管理和策展。每个原型节点包含名称、类型（物理/虚拟）、描述、原理、洞察等文本属性，该阶段还涉及处理缺失值、异常值等数据清洗工作。</w:t>
      </w:r>
    </w:p>
    <w:p>
      <w:pPr>
        <w:numPr>
          <w:ilvl w:val="0"/>
          <w:numId w:val="1001"/>
        </w:numPr>
      </w:pPr>
      <w:r>
        <w:rPr>
          <w:rFonts w:hint="eastAsia"/>
        </w:rPr>
        <w:t xml:space="preserve">建模：在此阶段，选择并应用各种数据挖掘技术来构建模型。该研究采用了系统的统计方法，使用既定的图分析方法，包括组件检查、图统计（如密度、节点度分布）、节点中心性（度、介数、接近中心性）以及基于时间的图分析。</w:t>
      </w:r>
    </w:p>
    <w:p>
      <w:pPr>
        <w:numPr>
          <w:ilvl w:val="0"/>
          <w:numId w:val="1001"/>
        </w:numPr>
      </w:pPr>
      <w:r>
        <w:rPr>
          <w:rFonts w:hint="eastAsia"/>
        </w:rPr>
        <w:t xml:space="preserve">评估：此阶段评估模型的性能和有效性。该研究的评估结果揭示了九个发现，其中五个证实了5.已有的观察，四个是新的观察。</w:t>
      </w:r>
    </w:p>
    <w:p>
      <w:pPr>
        <w:numPr>
          <w:ilvl w:val="0"/>
          <w:numId w:val="1001"/>
        </w:numPr>
      </w:pPr>
      <w:r>
        <w:rPr>
          <w:rFonts w:hint="eastAsia"/>
        </w:rPr>
        <w:t xml:space="preserve">部署：这是最后阶段，将获得的洞察整合到实际业务操作中。在工业设计领域，这可能意味着将数据挖掘获得的见解整合到设计流程、工具或决策支持系统中，用于优化原型设计在设计过程中的应用。</w:t>
      </w:r>
    </w:p>
    <w:bookmarkEnd w:id="52"/>
    <w:bookmarkStart w:id="53" w:name="面向个性化设计的数据挖掘流程"/>
    <w:p>
      <w:pPr>
        <w:pStyle w:val="2"/>
      </w:pPr>
      <w:r>
        <w:rPr>
          <w:rFonts w:hint="eastAsia"/>
        </w:rPr>
        <w:t xml:space="preserve">面向个性化设计的数据挖掘流程</w:t>
      </w:r>
    </w:p>
    <w:p>
      <w:pPr>
        <w:pStyle w:val="FirstParagraph"/>
      </w:pPr>
      <w:r>
        <w:rPr>
          <w:rFonts w:hint="eastAsia"/>
        </w:rPr>
        <w:t xml:space="preserve">在个性化工业设计中，用户行为数据挖掘提供了一个将用户洞察与计算机辅助设计（CAD）系统结合的方法论流程</w:t>
      </w:r>
      <w:r>
        <w:rPr>
          <w:vertAlign w:val="superscript"/>
        </w:rPr>
        <w:t xml:space="preserve">[</w:t>
      </w:r>
      <w:hyperlink w:anchor="ref-chenUserBehaviorData2024">
        <w:r>
          <w:rPr>
            <w:rStyle w:val="af"/>
            <w:vertAlign w:val="superscript"/>
          </w:rPr>
          <w:t xml:space="preserve">10</w:t>
        </w:r>
      </w:hyperlink>
      <w:r>
        <w:rPr>
          <w:vertAlign w:val="superscript"/>
        </w:rPr>
        <w:t xml:space="preserve">]</w:t>
      </w:r>
      <w:r>
        <w:rPr>
          <w:rFonts w:hint="eastAsia"/>
        </w:rPr>
        <w:t xml:space="preserve">，其关键步骤包括四个流程，其一是需求分析与数据集成，即深入分析用户偏好、使用习惯和需求，并将其与CAD系统中的设计参数和模块关联，形成设计需求数据集；二是参数化模型构建，即利用CAD系统的参数化设计功能，基于设计需求数据集构建具有可调参数和模块的产品模型，以实现快速定制；三是智能推荐与优化，即利用CAD系统的智能推荐功能，基于用户行为数据和历史设计生成初步方案，并使用工程分析工具进行评估优化；四是用户反馈与迭代设计，即将初步设计呈现给用户获取反馈，并基于反馈调整参数和模块进行迭代设计，直至用户满意。</w:t>
      </w:r>
    </w:p>
    <w:bookmarkEnd w:id="53"/>
    <w:bookmarkStart w:id="54" w:name="面向产品族设计的数据挖掘方法论"/>
    <w:p>
      <w:pPr>
        <w:pStyle w:val="2"/>
      </w:pPr>
      <w:r>
        <w:rPr>
          <w:rFonts w:hint="eastAsia"/>
        </w:rPr>
        <w:t xml:space="preserve">面向产品族设计的数据挖掘方法论</w:t>
      </w:r>
    </w:p>
    <w:p>
      <w:pPr>
        <w:pStyle w:val="FirstParagraph"/>
      </w:pPr>
      <w:r>
        <w:rPr>
          <w:rFonts w:hint="eastAsia"/>
        </w:rPr>
        <w:t xml:space="preserve">产品族设计的数据挖掘方法论专注于通过数据挖掘技术提取设计知识，以识别共享的产品平台及其变体与独特模块，从而支持模块化设计和面向大规模定制的决策</w:t>
      </w:r>
      <w:r>
        <w:rPr>
          <w:vertAlign w:val="superscript"/>
        </w:rPr>
        <w:t xml:space="preserve">[</w:t>
      </w:r>
      <w:hyperlink w:anchor="ref-moonDataMiningMethodology2009">
        <w:r>
          <w:rPr>
            <w:rStyle w:val="af"/>
            <w:vertAlign w:val="superscript"/>
          </w:rPr>
          <w:t xml:space="preserve">11</w:t>
        </w:r>
      </w:hyperlink>
      <w:r>
        <w:rPr>
          <w:vertAlign w:val="superscript"/>
        </w:rPr>
        <w:t xml:space="preserve">]</w:t>
      </w:r>
      <w:r>
        <w:rPr>
          <w:rFonts w:hint="eastAsia"/>
        </w:rPr>
        <w:t xml:space="preserve">。关键应用包括：识别客户需求、建立客户需求与产品功能要求之间的关系、基于功能相似性对产品进行聚类以辅助模块化设计，以及从大型产品设计数据库中提取设计知识和规则，以支持概念设计阶段的决策。该方法论特别强调处理设计知识中因设计师经验和语言描述而产生的模糊性，建议使用模糊隶属度和模糊集理论来表征和建模这种模糊性。</w:t>
      </w:r>
    </w:p>
    <w:bookmarkEnd w:id="54"/>
    <w:bookmarkStart w:id="55" w:name="多模态用户行为数据的挖掘与分析"/>
    <w:p>
      <w:pPr>
        <w:pStyle w:val="2"/>
      </w:pPr>
      <w:r>
        <w:rPr>
          <w:rFonts w:hint="eastAsia"/>
        </w:rPr>
        <w:t xml:space="preserve">多模态用户行为数据的挖掘与分析</w:t>
      </w:r>
    </w:p>
    <w:p>
      <w:pPr>
        <w:pStyle w:val="FirstParagraph"/>
      </w:pPr>
      <w:r>
        <w:rPr>
          <w:rFonts w:hint="eastAsia"/>
        </w:rPr>
        <w:t xml:space="preserve">现代用户意图分析已从传统的问卷调查扩展到对多模态行为数据的挖掘。这包括对用户操作日志、交互数据以及通过特定工具捕获的设计过程数据的分析。这些数据源共同构成了理解用户偏好和设计团队行为的基础。</w:t>
      </w:r>
    </w:p>
    <w:p>
      <w:pPr>
        <w:pStyle w:val="a1"/>
      </w:pPr>
      <w:r>
        <w:rPr>
          <w:rFonts w:hint="eastAsia"/>
        </w:rPr>
        <w:t xml:space="preserve">用户行为数据的预处理与挖掘：在将用户行为数据应用于设计之前，必须进行系统的预处理，包括数据清洗（处理异常值、缺失值）、数据转换（将分类变量转为数值）和数据降维（如特征选择）。经过预处理后，可以应用数据挖掘技术提取有价值的信息。例如，关联规则挖掘（如Apriori算法）可用于发现用户行为中的频繁模式，其规则形式为通过支持度和置信度等指标进行衡量。聚类分析（如K-means算法）则可将具有相似行为的用户分组，其目标函数通常为最小化各点到聚类中心的距离平方和，从而帮助设计师识别不同的用户群体特征，为针对性产品设计提供依据。</w:t>
      </w:r>
    </w:p>
    <w:p>
      <w:pPr>
        <w:pStyle w:val="a1"/>
      </w:pPr>
      <w:r>
        <w:rPr>
          <w:rFonts w:hint="eastAsia"/>
        </w:rPr>
        <w:t xml:space="preserve">在设计前期研究中，原型设计活动是知识生成的关键环节。通过捕获原型设计知识并构建知识图谱（节点代表原型活动或个体，边代表语义关系如“影响”），可以应用图数据挖掘方法深入分析设计过程1。例如，对原型知识图谱进行图统计分析，可以计算图的密度、分析节点度分布、研究不同原型（物理与虚拟）之间的影响构成以及团队协作模式1。节点中心性分析（如度中心性、介数中心性、接近中心性）能够识别设计过程中的关键活动或原型，这些关键点往往对知识流动和设计决策具有重要影响。</w:t>
      </w:r>
    </w:p>
    <w:bookmarkEnd w:id="55"/>
    <w:bookmarkStart w:id="56" w:name="数据驱动的用户需求与设计知识发现"/>
    <w:p>
      <w:pPr>
        <w:pStyle w:val="2"/>
      </w:pPr>
      <w:r>
        <w:rPr>
          <w:rFonts w:hint="eastAsia"/>
        </w:rPr>
        <w:t xml:space="preserve">数据驱动的用户需求与设计知识发现</w:t>
      </w:r>
    </w:p>
    <w:p>
      <w:pPr>
        <w:pStyle w:val="FirstParagraph"/>
      </w:pPr>
      <w:r>
        <w:rPr>
          <w:rFonts w:hint="eastAsia"/>
        </w:rPr>
        <w:t xml:space="preserve">数据挖掘的核心价值在于从海量数据中提取隐藏的知识和模式，这对于明确用户需求和复用历史设计经验至关重要。</w:t>
      </w:r>
    </w:p>
    <w:p>
      <w:pPr>
        <w:pStyle w:val="a1"/>
      </w:pPr>
      <w:r>
        <w:rPr>
          <w:rFonts w:hint="eastAsia"/>
        </w:rPr>
        <w:t xml:space="preserve">从历史案例中提取设计知识：在产品定义和概念设计阶段，数据挖掘技术可用于分析历史设计案例数据库。通过挖掘，可以提取出隐藏的设计知识、规则和模式，帮助工程师快速识别适合的产品族、找到相似的设计案例，并为新产品的功能属性调整提供依据。这种方法能够最大化利用现有设计资源，缩短开发时间并降低成本</w:t>
      </w:r>
      <w:r>
        <w:rPr>
          <w:vertAlign w:val="superscript"/>
        </w:rPr>
        <w:t xml:space="preserve">[</w:t>
      </w:r>
      <w:hyperlink w:anchor="ref-yuFrameworkProductDefinition2014">
        <w:r>
          <w:rPr>
            <w:rStyle w:val="af"/>
            <w:vertAlign w:val="superscript"/>
          </w:rPr>
          <w:t xml:space="preserve">12</w:t>
        </w:r>
      </w:hyperlink>
      <w:r>
        <w:rPr>
          <w:vertAlign w:val="superscript"/>
        </w:rPr>
        <w:t xml:space="preserve">]</w:t>
      </w:r>
      <w:r>
        <w:rPr>
          <w:rFonts w:hint="eastAsia"/>
        </w:rPr>
        <w:t xml:space="preserve">。例如，决策树算法可用于从数据库中挖掘信息，支持将产品功能需求转化为具体结构方案的虚拟产品概念设计建模。</w:t>
      </w:r>
    </w:p>
    <w:p>
      <w:pPr>
        <w:pStyle w:val="a1"/>
      </w:pPr>
      <w:r>
        <w:rPr>
          <w:rFonts w:hint="eastAsia"/>
        </w:rPr>
        <w:t xml:space="preserve">对原型知识图谱的数据挖掘揭示，每个设计过程所产生的知识序列和类型都是独特的，其知识图谱结构（如图密度、节点度分布）也差异显著。同时，分析发现关键设计路径（如从最早到最晚原型的最短路径）通常由物理原型主导，物理原型往往在知识整合和关键决策点上扮演着核心角色。这些定量发现不仅验证了关于原型行为的一些定性观察（如物理原型更具影响力）</w:t>
      </w:r>
      <w:r>
        <w:rPr>
          <w:vertAlign w:val="superscript"/>
        </w:rPr>
        <w:t xml:space="preserve">[</w:t>
      </w:r>
      <w:hyperlink w:anchor="X97c3c408a1e7bf85f27a0345eebcf3bacccae4e">
        <w:r>
          <w:rPr>
            <w:rStyle w:val="af"/>
            <w:vertAlign w:val="superscript"/>
          </w:rPr>
          <w:t xml:space="preserve">13</w:t>
        </w:r>
      </w:hyperlink>
      <w:r>
        <w:rPr>
          <w:vertAlign w:val="superscript"/>
        </w:rPr>
        <w:t xml:space="preserve">]</w:t>
      </w:r>
      <w:r>
        <w:rPr>
          <w:rFonts w:hint="eastAsia"/>
        </w:rPr>
        <w:t xml:space="preserve">，也提供了新的洞察，例如物理原型与虚拟原型在知识共享上存在平衡的互补关系</w:t>
      </w:r>
      <w:r>
        <w:rPr>
          <w:vertAlign w:val="superscript"/>
        </w:rPr>
        <w:t xml:space="preserve">[</w:t>
      </w:r>
      <w:hyperlink w:anchor="Xdce1cfe95f4fd929a9713b11ab4b73a4e97a812">
        <w:r>
          <w:rPr>
            <w:rStyle w:val="af"/>
            <w:vertAlign w:val="superscript"/>
          </w:rPr>
          <w:t xml:space="preserve">14</w:t>
        </w:r>
      </w:hyperlink>
      <w:r>
        <w:rPr>
          <w:vertAlign w:val="superscript"/>
        </w:rPr>
        <w:t xml:space="preserve">,</w:t>
      </w:r>
      <w:hyperlink w:anchor="X3241080a28ba91ff6d347a3b4a73cee928a9418">
        <w:r>
          <w:rPr>
            <w:rStyle w:val="af"/>
            <w:vertAlign w:val="superscript"/>
          </w:rPr>
          <w:t xml:space="preserve">15</w:t>
        </w:r>
      </w:hyperlink>
      <w:r>
        <w:rPr>
          <w:vertAlign w:val="superscript"/>
        </w:rPr>
        <w:t xml:space="preserve">]</w:t>
      </w:r>
      <w:r>
        <w:t xml:space="preserve">。</w:t>
      </w:r>
    </w:p>
    <w:bookmarkEnd w:id="56"/>
    <w:bookmarkStart w:id="91" w:name="基于数据挖掘的产品风格分类与美学特征提取"/>
    <w:p>
      <w:pPr>
        <w:pStyle w:val="2"/>
      </w:pPr>
      <w:r>
        <w:rPr>
          <w:rFonts w:hint="eastAsia"/>
        </w:rPr>
        <w:t xml:space="preserve">基于数据挖掘的产品风格分类与美学特征提取</w:t>
      </w:r>
    </w:p>
    <w:p>
      <w:pPr>
        <w:pStyle w:val="FirstParagraph"/>
      </w:pPr>
      <w:r>
        <w:rPr>
          <w:rFonts w:hint="eastAsia"/>
        </w:rPr>
        <w:t xml:space="preserve">数据挖掘在产品风格识别与分类中的应用，主要体现在对设计案例数据库的深度分析上，旨在从历史数据中提取可量化的美学特征并建立分类模型。</w:t>
      </w:r>
    </w:p>
    <w:p>
      <w:pPr>
        <w:pStyle w:val="a1"/>
      </w:pPr>
      <w:r>
        <w:rPr>
          <w:rFonts w:hint="eastAsia"/>
        </w:rPr>
        <w:t xml:space="preserve">为了对产品风格进行分类，研究者提出了多种基于数据挖掘的建模方法。一种方法是通过分析产品子装配体的形状及其对整体风格的贡献，构建产品风格推导模型。该模型利用多维尺度分析（MDS）来构建一个三维认知空间，从而对产品美学进行结构化建模，实现基于特征子装配体和加权指数的风格区分</w:t>
      </w:r>
      <w:r>
        <w:rPr>
          <w:vertAlign w:val="superscript"/>
        </w:rPr>
        <w:t xml:space="preserve">[</w:t>
      </w:r>
      <w:hyperlink w:anchor="X84f80902cd404c8c8b936f303ae70c5f6b7a71c">
        <w:r>
          <w:rPr>
            <w:rStyle w:val="af"/>
            <w:vertAlign w:val="superscript"/>
          </w:rPr>
          <w:t xml:space="preserve">16</w:t>
        </w:r>
      </w:hyperlink>
      <w:r>
        <w:rPr>
          <w:vertAlign w:val="superscript"/>
        </w:rPr>
        <w:t xml:space="preserve">]</w:t>
      </w:r>
      <w:r>
        <w:rPr>
          <w:rFonts w:hint="eastAsia"/>
        </w:rPr>
        <w:t xml:space="preserve">。另一种方法是构建“风格模块”，通过定义“风格特征线”以及“im-style”与“风格特征线”之间的约束条件，来识别和整合美学设计特征，该方法已在汽车设计等案例中得到验证</w:t>
      </w:r>
      <w:r>
        <w:rPr>
          <w:vertAlign w:val="superscript"/>
        </w:rPr>
        <w:t xml:space="preserve">[</w:t>
      </w:r>
      <w:hyperlink w:anchor="X28f9015448f0fb817f7a0bd5daa1f18ccafbeef">
        <w:r>
          <w:rPr>
            <w:rStyle w:val="af"/>
            <w:vertAlign w:val="superscript"/>
          </w:rPr>
          <w:t xml:space="preserve">17</w:t>
        </w:r>
      </w:hyperlink>
      <w:r>
        <w:rPr>
          <w:vertAlign w:val="superscript"/>
        </w:rPr>
        <w:t xml:space="preserve">]</w:t>
      </w:r>
      <w:r>
        <w:t xml:space="preserve">。</w:t>
      </w:r>
    </w:p>
    <w:p>
      <w:pPr>
        <w:pStyle w:val="a1"/>
      </w:pPr>
      <w:r>
        <w:rPr>
          <w:rFonts w:hint="eastAsia"/>
        </w:rPr>
        <w:t xml:space="preserve">在分析特定设计风格（如极简主义）时，关联数据挖掘优化特征选择（ADM-OFS）方法结合深度学习技术，能够有效优化特征选择过程。该方法通过高效地分析和预测极简主义设计中的视觉与功能元素，提升了特征分析的效率，例如在分析Bang</w:t>
      </w:r>
      <w:r>
        <w:t xml:space="preserve"> &amp; </w:t>
      </w:r>
      <w:r>
        <w:rPr>
          <w:rFonts w:hint="eastAsia"/>
        </w:rPr>
        <w:t xml:space="preserve">Olufsen等品牌的产品外观设计时展现了其应用价值</w:t>
      </w:r>
      <w:r>
        <w:rPr>
          <w:vertAlign w:val="superscript"/>
        </w:rPr>
        <w:t xml:space="preserve">[</w:t>
      </w:r>
      <w:hyperlink w:anchor="X5dd10d2963655a71c53157d223a15af87c2d78b">
        <w:r>
          <w:rPr>
            <w:rStyle w:val="af"/>
            <w:vertAlign w:val="superscript"/>
          </w:rPr>
          <w:t xml:space="preserve">18</w:t>
        </w:r>
      </w:hyperlink>
      <w:r>
        <w:rPr>
          <w:vertAlign w:val="superscript"/>
        </w:rPr>
        <w:t xml:space="preserve">]</w:t>
      </w:r>
      <w:r>
        <w:t xml:space="preserve">。</w:t>
      </w:r>
    </w:p>
    <w:p>
      <w:pPr>
        <w:pStyle w:val="a1"/>
      </w:pPr>
      <w:r>
        <w:rPr>
          <w:rFonts w:hint="eastAsia"/>
        </w:rPr>
        <w:t xml:space="preserve">为了处理设计知识中固有的模糊性和主观性，研究者引入了模糊集理论和案例推理（CBR）。通过构建风格知识数据库，并利用消费者的语言变量进行模糊案例检索与推理，可以简化风格表示并降低计算复杂度。结合模糊层次分析法（FAHP），可以建立基于消费者语言变量的产品风格构建与评估模型，这在高跟鞋等产品的案例研究中被证明是可行且有效的</w:t>
      </w:r>
      <w:r>
        <w:rPr>
          <w:vertAlign w:val="superscript"/>
        </w:rPr>
        <w:t xml:space="preserve">[</w:t>
      </w:r>
      <w:hyperlink w:anchor="ref-wangCaseBasedReasoningProduct2017">
        <w:r>
          <w:rPr>
            <w:rStyle w:val="af"/>
            <w:vertAlign w:val="superscript"/>
          </w:rPr>
          <w:t xml:space="preserve">19</w:t>
        </w:r>
      </w:hyperlink>
      <w:r>
        <w:rPr>
          <w:vertAlign w:val="superscript"/>
        </w:rPr>
        <w:t xml:space="preserve">]</w:t>
      </w:r>
      <w:r>
        <w:t xml:space="preserve">。</w:t>
      </w:r>
    </w:p>
    <w:p>
      <w:r>
        <w:br w:type="page"/>
      </w:r>
    </w:p>
    <w:p>
      <w:pPr>
        <w:pStyle w:val="RefTitle"/>
      </w:pPr>
      <w:r>
        <w:rPr>
          <w:rFonts w:hint="eastAsia"/>
        </w:rPr>
        <w:t xml:space="preserve">参考文献</w:t>
      </w:r>
    </w:p>
    <w:bookmarkStart w:id="90" w:name="refs"/>
    <w:bookmarkStart w:id="57" w:name="X039b0cf71105e08f9fc0652dec45fe0a8464cab"/>
    <w:p>
      <w:pPr>
        <w:pStyle w:val="a9"/>
      </w:pPr>
      <w:r>
        <w:t xml:space="preserve">[1]</w:t>
      </w:r>
      <w:r>
        <w:t xml:space="preserve"> </w:t>
      </w:r>
      <w:r>
        <w:t xml:space="preserve">	</w:t>
      </w:r>
      <w:r>
        <w:t xml:space="preserve">Hyndman R </w:t>
      </w:r>
      <w:r>
        <w:rPr>
          <w:rFonts w:hint="eastAsia"/>
        </w:rPr>
        <w:t xml:space="preserve">J，Athanasopoulos</w:t>
      </w:r>
      <w:r>
        <w:t xml:space="preserve"> G. Forecasting: Principles and Practice[M]. </w:t>
      </w:r>
      <w:r>
        <w:rPr>
          <w:rFonts w:hint="eastAsia"/>
        </w:rPr>
        <w:t xml:space="preserve">OTexts，2018.</w:t>
      </w:r>
    </w:p>
    <w:bookmarkEnd w:id="57"/>
    <w:bookmarkStart w:id="59" w:name="ref-Chen:2016btl"/>
    <w:p>
      <w:pPr>
        <w:pStyle w:val="a9"/>
      </w:pPr>
      <w:r>
        <w:t xml:space="preserve">[2]</w:t>
      </w:r>
      <w:r>
        <w:t xml:space="preserve"> </w:t>
      </w:r>
      <w:r>
        <w:t xml:space="preserve">	</w:t>
      </w:r>
      <w:r>
        <w:t xml:space="preserve">Chen </w:t>
      </w:r>
      <w:r>
        <w:rPr>
          <w:rFonts w:hint="eastAsia"/>
        </w:rPr>
        <w:t xml:space="preserve">T，Guestrin</w:t>
      </w:r>
      <w:r>
        <w:t xml:space="preserve"> C.</w:t>
      </w:r>
      <w:r>
        <w:t xml:space="preserve"> </w:t>
      </w:r>
      <w:hyperlink r:id="rId58">
        <w:r>
          <w:rPr>
            <w:rStyle w:val="af"/>
          </w:rPr>
          <w:t xml:space="preserve">XGBoost</w:t>
        </w:r>
        <w:r>
          <w:rPr>
            <w:rStyle w:val="af"/>
          </w:rPr>
          <w:t xml:space="preserve">:</w:t>
        </w:r>
        <w:r>
          <w:rPr>
            <w:rStyle w:val="af"/>
          </w:rPr>
          <w:t xml:space="preserve"> </w:t>
        </w:r>
        <w:r>
          <w:rPr>
            <w:rStyle w:val="af"/>
          </w:rPr>
          <w:t xml:space="preserve">A Scalable Tree Boosting System</w:t>
        </w:r>
      </w:hyperlink>
      <w:r>
        <w:t xml:space="preserve">[C]//Proceedings of the 22nd</w:t>
      </w:r>
      <w:r>
        <w:t xml:space="preserve"> </w:t>
      </w:r>
      <w:r>
        <w:t xml:space="preserve">ACM SIGKDD International Conference</w:t>
      </w:r>
      <w:r>
        <w:t xml:space="preserve"> </w:t>
      </w:r>
      <w:r>
        <w:t xml:space="preserve">on</w:t>
      </w:r>
      <w:r>
        <w:t xml:space="preserve"> </w:t>
      </w:r>
      <w:r>
        <w:t xml:space="preserve">Knowledge Discovery</w:t>
      </w:r>
      <w:r>
        <w:t xml:space="preserve"> </w:t>
      </w:r>
      <w:r>
        <w:t xml:space="preserve">and</w:t>
      </w:r>
      <w:r>
        <w:t xml:space="preserve"> </w:t>
      </w:r>
      <w:r>
        <w:t xml:space="preserve">Data Mining</w:t>
      </w:r>
      <w:r>
        <w:t xml:space="preserve">. New York, NY, </w:t>
      </w:r>
      <w:r>
        <w:rPr>
          <w:rFonts w:hint="eastAsia"/>
        </w:rPr>
        <w:t xml:space="preserve">USA：Association</w:t>
      </w:r>
      <w:r>
        <w:t xml:space="preserve"> for Computing </w:t>
      </w:r>
      <w:r>
        <w:rPr>
          <w:rFonts w:hint="eastAsia"/>
        </w:rPr>
        <w:t xml:space="preserve">Machinery，2016：785-794.</w:t>
      </w:r>
    </w:p>
    <w:bookmarkEnd w:id="59"/>
    <w:bookmarkStart w:id="60" w:name="ref-liuConfirmingThirdLaw2024"/>
    <w:p>
      <w:pPr>
        <w:pStyle w:val="a9"/>
      </w:pPr>
      <w:r>
        <w:t xml:space="preserve">[3]</w:t>
      </w:r>
      <w:r>
        <w:t xml:space="preserve"> </w:t>
      </w:r>
      <w:r>
        <w:t xml:space="preserve">	</w:t>
      </w:r>
      <w:r>
        <w:t xml:space="preserve">Liu </w:t>
      </w:r>
      <w:r>
        <w:rPr>
          <w:rFonts w:hint="eastAsia"/>
        </w:rPr>
        <w:t xml:space="preserve">K，Zhao</w:t>
      </w:r>
      <w:r>
        <w:t xml:space="preserve"> </w:t>
      </w:r>
      <w:r>
        <w:rPr>
          <w:rFonts w:hint="eastAsia"/>
        </w:rPr>
        <w:t xml:space="preserve">P，Hai</w:t>
      </w:r>
      <w:r>
        <w:t xml:space="preserve"> X. Confirming the</w:t>
      </w:r>
      <w:r>
        <w:t xml:space="preserve"> </w:t>
      </w:r>
      <w:r>
        <w:t xml:space="preserve">Third Law</w:t>
      </w:r>
      <w:r>
        <w:t xml:space="preserve"> </w:t>
      </w:r>
      <w:r>
        <w:t xml:space="preserve">of</w:t>
      </w:r>
      <w:r>
        <w:t xml:space="preserve"> </w:t>
      </w:r>
      <w:r>
        <w:t xml:space="preserve">Geography</w:t>
      </w:r>
      <w:r>
        <w:t xml:space="preserve">:</w:t>
      </w:r>
      <w:r>
        <w:t xml:space="preserve"> </w:t>
      </w:r>
      <w:r>
        <w:t xml:space="preserve">Evidence</w:t>
      </w:r>
      <w:r>
        <w:t xml:space="preserve"> </w:t>
      </w:r>
      <w:r>
        <w:t xml:space="preserve">in</w:t>
      </w:r>
      <w:r>
        <w:t xml:space="preserve"> </w:t>
      </w:r>
      <w:r>
        <w:t xml:space="preserve">China</w:t>
      </w:r>
      <w:r>
        <w:t xml:space="preserve">’s</w:t>
      </w:r>
      <w:r>
        <w:t xml:space="preserve"> </w:t>
      </w:r>
      <w:r>
        <w:t xml:space="preserve">Spring Festival Travel Rush</w:t>
      </w:r>
      <w:r>
        <w:t xml:space="preserve">[J]. International Journal of Social Science </w:t>
      </w:r>
      <w:r>
        <w:rPr>
          <w:rFonts w:hint="eastAsia"/>
        </w:rPr>
        <w:t xml:space="preserve">Studies，2024，12（6）：27-41.</w:t>
      </w:r>
    </w:p>
    <w:bookmarkEnd w:id="60"/>
    <w:bookmarkStart w:id="62" w:name="X1aaf6ff610b737834730f81661652101b946ade"/>
    <w:p>
      <w:pPr>
        <w:pStyle w:val="a9"/>
      </w:pPr>
      <w:r>
        <w:t xml:space="preserve">[4]</w:t>
      </w:r>
      <w:r>
        <w:t xml:space="preserve"> </w:t>
      </w:r>
      <w:r>
        <w:t xml:space="preserve">	</w:t>
      </w:r>
      <w:r>
        <w:rPr>
          <w:rFonts w:hint="eastAsia"/>
        </w:rPr>
        <w:t xml:space="preserve">戴宏伟，赵云晗.</w:t>
      </w:r>
      <w:r>
        <w:t xml:space="preserve"> </w:t>
      </w:r>
      <w:hyperlink r:id="rId61">
        <w:r>
          <w:rPr>
            <w:rStyle w:val="af"/>
            <w:rFonts w:hint="eastAsia"/>
          </w:rPr>
          <w:t xml:space="preserve">“双城记”</w:t>
        </w:r>
        <w:r>
          <w:rPr>
            <w:rStyle w:val="af"/>
            <w:rFonts w:hint="eastAsia"/>
          </w:rPr>
          <w:t xml:space="preserve">:京津冀区域双核结构的实证分析</w:t>
        </w:r>
      </w:hyperlink>
      <w:r>
        <w:t xml:space="preserve">[J]. </w:t>
      </w:r>
      <w:r>
        <w:rPr>
          <w:rFonts w:hint="eastAsia"/>
        </w:rPr>
        <w:t xml:space="preserve">河北师范大学学报（哲学社会科学版），2024，47（4）：96-106.</w:t>
      </w:r>
    </w:p>
    <w:bookmarkEnd w:id="62"/>
    <w:bookmarkStart w:id="64" w:name="X774065d3e2f15756983f5436e0b12716db7d5b8"/>
    <w:p>
      <w:pPr>
        <w:pStyle w:val="a9"/>
      </w:pPr>
      <w:r>
        <w:t xml:space="preserve">[5]</w:t>
      </w:r>
      <w:r>
        <w:t xml:space="preserve"> </w:t>
      </w:r>
      <w:r>
        <w:t xml:space="preserve">	</w:t>
      </w:r>
      <w:r>
        <w:t xml:space="preserve">Roberts D </w:t>
      </w:r>
      <w:r>
        <w:rPr>
          <w:rFonts w:hint="eastAsia"/>
        </w:rPr>
        <w:t xml:space="preserve">R，Bahn</w:t>
      </w:r>
      <w:r>
        <w:t xml:space="preserve"> </w:t>
      </w:r>
      <w:r>
        <w:rPr>
          <w:rFonts w:hint="eastAsia"/>
        </w:rPr>
        <w:t xml:space="preserve">V，Ciuti</w:t>
      </w:r>
      <w:r>
        <w:t xml:space="preserve"> </w:t>
      </w:r>
      <w:r>
        <w:rPr>
          <w:rFonts w:hint="eastAsia"/>
        </w:rPr>
        <w:t xml:space="preserve">S，等.</w:t>
      </w:r>
      <w:r>
        <w:t xml:space="preserve"> </w:t>
      </w:r>
      <w:hyperlink r:id="rId63">
        <w:r>
          <w:rPr>
            <w:rStyle w:val="af"/>
          </w:rPr>
          <w:t xml:space="preserve">Cross-Validation Strategies for Data with Temporal, Spatial, Hierarchical, or Phylogenetic Structure</w:t>
        </w:r>
      </w:hyperlink>
      <w:r>
        <w:t xml:space="preserve">[J]. </w:t>
      </w:r>
      <w:r>
        <w:rPr>
          <w:rFonts w:hint="eastAsia"/>
        </w:rPr>
        <w:t xml:space="preserve">Ecography，2017，40（8）：913-929.</w:t>
      </w:r>
    </w:p>
    <w:bookmarkEnd w:id="64"/>
    <w:bookmarkStart w:id="66" w:name="ref-chaiRootMeanSquare2014"/>
    <w:p>
      <w:pPr>
        <w:pStyle w:val="a9"/>
      </w:pPr>
      <w:r>
        <w:t xml:space="preserve">[6]</w:t>
      </w:r>
      <w:r>
        <w:t xml:space="preserve"> </w:t>
      </w:r>
      <w:r>
        <w:t xml:space="preserve">	</w:t>
      </w:r>
      <w:r>
        <w:t xml:space="preserve">Chai </w:t>
      </w:r>
      <w:r>
        <w:rPr>
          <w:rFonts w:hint="eastAsia"/>
        </w:rPr>
        <w:t xml:space="preserve">T，Draxler</w:t>
      </w:r>
      <w:r>
        <w:t xml:space="preserve"> R R.</w:t>
      </w:r>
      <w:r>
        <w:t xml:space="preserve"> </w:t>
      </w:r>
      <w:hyperlink r:id="rId65">
        <w:r>
          <w:rPr>
            <w:rStyle w:val="af"/>
          </w:rPr>
          <w:t xml:space="preserve">Root Mean Square Error (</w:t>
        </w:r>
        <w:r>
          <w:rPr>
            <w:rStyle w:val="af"/>
          </w:rPr>
          <w:t xml:space="preserve">RMSE</w:t>
        </w:r>
        <w:r>
          <w:rPr>
            <w:rStyle w:val="af"/>
          </w:rPr>
          <w:t xml:space="preserve">) or Mean Absolute Error (</w:t>
        </w:r>
        <w:r>
          <w:rPr>
            <w:rStyle w:val="af"/>
          </w:rPr>
          <w:t xml:space="preserve">MAE</w:t>
        </w:r>
        <w:r>
          <w:rPr>
            <w:rStyle w:val="af"/>
          </w:rPr>
          <w:t xml:space="preserve">)? –</w:t>
        </w:r>
        <w:r>
          <w:rPr>
            <w:rStyle w:val="af"/>
          </w:rPr>
          <w:t xml:space="preserve"> </w:t>
        </w:r>
        <w:r>
          <w:rPr>
            <w:rStyle w:val="af"/>
          </w:rPr>
          <w:t xml:space="preserve">Arguments</w:t>
        </w:r>
        <w:r>
          <w:rPr>
            <w:rStyle w:val="af"/>
          </w:rPr>
          <w:t xml:space="preserve"> </w:t>
        </w:r>
        <w:r>
          <w:rPr>
            <w:rStyle w:val="af"/>
          </w:rPr>
          <w:t xml:space="preserve">against Avoiding</w:t>
        </w:r>
        <w:r>
          <w:rPr>
            <w:rStyle w:val="af"/>
          </w:rPr>
          <w:t xml:space="preserve"> </w:t>
        </w:r>
        <w:r>
          <w:rPr>
            <w:rStyle w:val="af"/>
          </w:rPr>
          <w:t xml:space="preserve">RMSE</w:t>
        </w:r>
        <w:r>
          <w:rPr>
            <w:rStyle w:val="af"/>
          </w:rPr>
          <w:t xml:space="preserve"> </w:t>
        </w:r>
        <w:r>
          <w:rPr>
            <w:rStyle w:val="af"/>
          </w:rPr>
          <w:t xml:space="preserve">in the Literature</w:t>
        </w:r>
      </w:hyperlink>
      <w:r>
        <w:t xml:space="preserve">[J]. Geoscientific Model </w:t>
      </w:r>
      <w:r>
        <w:rPr>
          <w:rFonts w:hint="eastAsia"/>
        </w:rPr>
        <w:t xml:space="preserve">Development，2014，7（3）：1247-1250.</w:t>
      </w:r>
    </w:p>
    <w:bookmarkEnd w:id="66"/>
    <w:bookmarkStart w:id="68" w:name="ref-willmottAdvantagesMeanAbsolute2005"/>
    <w:p>
      <w:pPr>
        <w:pStyle w:val="a9"/>
      </w:pPr>
      <w:r>
        <w:t xml:space="preserve">[7]</w:t>
      </w:r>
      <w:r>
        <w:t xml:space="preserve"> </w:t>
      </w:r>
      <w:r>
        <w:t xml:space="preserve">	</w:t>
      </w:r>
      <w:r>
        <w:t xml:space="preserve">Willmott C </w:t>
      </w:r>
      <w:r>
        <w:rPr>
          <w:rFonts w:hint="eastAsia"/>
        </w:rPr>
        <w:t xml:space="preserve">J，Matsuura</w:t>
      </w:r>
      <w:r>
        <w:t xml:space="preserve"> K.</w:t>
      </w:r>
      <w:r>
        <w:t xml:space="preserve"> </w:t>
      </w:r>
      <w:hyperlink r:id="rId67">
        <w:r>
          <w:rPr>
            <w:rStyle w:val="af"/>
          </w:rPr>
          <w:t xml:space="preserve">Advantages of the Mean Absolute Error (</w:t>
        </w:r>
        <w:r>
          <w:rPr>
            <w:rStyle w:val="af"/>
          </w:rPr>
          <w:t xml:space="preserve">MAE</w:t>
        </w:r>
        <w:r>
          <w:rPr>
            <w:rStyle w:val="af"/>
          </w:rPr>
          <w:t xml:space="preserve">) over the Root Mean Square Error (</w:t>
        </w:r>
        <w:r>
          <w:rPr>
            <w:rStyle w:val="af"/>
          </w:rPr>
          <w:t xml:space="preserve">RMSE</w:t>
        </w:r>
        <w:r>
          <w:rPr>
            <w:rStyle w:val="af"/>
          </w:rPr>
          <w:t xml:space="preserve">) in Assessing Average Model Performance</w:t>
        </w:r>
      </w:hyperlink>
      <w:r>
        <w:t xml:space="preserve">[J]. Climate </w:t>
      </w:r>
      <w:r>
        <w:rPr>
          <w:rFonts w:hint="eastAsia"/>
        </w:rPr>
        <w:t xml:space="preserve">Research，2005，30：79-82.</w:t>
      </w:r>
    </w:p>
    <w:bookmarkEnd w:id="68"/>
    <w:bookmarkStart w:id="70" w:name="ref-makridakisM4CompetitionResults2018"/>
    <w:p>
      <w:pPr>
        <w:pStyle w:val="a9"/>
      </w:pPr>
      <w:r>
        <w:t xml:space="preserve">[8]</w:t>
      </w:r>
      <w:r>
        <w:t xml:space="preserve"> </w:t>
      </w:r>
      <w:r>
        <w:t xml:space="preserve">	</w:t>
      </w:r>
      <w:r>
        <w:t xml:space="preserve">Makridakis </w:t>
      </w:r>
      <w:r>
        <w:rPr>
          <w:rFonts w:hint="eastAsia"/>
        </w:rPr>
        <w:t xml:space="preserve">S，Spiliotis</w:t>
      </w:r>
      <w:r>
        <w:t xml:space="preserve"> </w:t>
      </w:r>
      <w:r>
        <w:rPr>
          <w:rFonts w:hint="eastAsia"/>
        </w:rPr>
        <w:t xml:space="preserve">E，Assimakopoulos</w:t>
      </w:r>
      <w:r>
        <w:t xml:space="preserve"> V.</w:t>
      </w:r>
      <w:r>
        <w:t xml:space="preserve"> </w:t>
      </w:r>
      <w:hyperlink r:id="rId69">
        <w:r>
          <w:rPr>
            <w:rStyle w:val="af"/>
          </w:rPr>
          <w:t xml:space="preserve">The</w:t>
        </w:r>
        <w:r>
          <w:rPr>
            <w:rStyle w:val="af"/>
          </w:rPr>
          <w:t xml:space="preserve"> </w:t>
        </w:r>
        <w:r>
          <w:rPr>
            <w:rStyle w:val="af"/>
          </w:rPr>
          <w:t xml:space="preserve">M4 Competition</w:t>
        </w:r>
        <w:r>
          <w:rPr>
            <w:rStyle w:val="af"/>
          </w:rPr>
          <w:t xml:space="preserve">:</w:t>
        </w:r>
        <w:r>
          <w:rPr>
            <w:rStyle w:val="af"/>
          </w:rPr>
          <w:t xml:space="preserve"> </w:t>
        </w:r>
        <w:r>
          <w:rPr>
            <w:rStyle w:val="af"/>
          </w:rPr>
          <w:t xml:space="preserve">Results</w:t>
        </w:r>
        <w:r>
          <w:rPr>
            <w:rStyle w:val="af"/>
          </w:rPr>
          <w:t xml:space="preserve">, Findings, Conclusion and Way Forward</w:t>
        </w:r>
      </w:hyperlink>
      <w:r>
        <w:t xml:space="preserve">[J]. International Journal of </w:t>
      </w:r>
      <w:r>
        <w:rPr>
          <w:rFonts w:hint="eastAsia"/>
        </w:rPr>
        <w:t xml:space="preserve">Forecasting，2018，34（4）：802-808.</w:t>
      </w:r>
    </w:p>
    <w:bookmarkEnd w:id="70"/>
    <w:bookmarkStart w:id="72" w:name="ref-gopsillDataMiningPrototyping2025"/>
    <w:p>
      <w:pPr>
        <w:pStyle w:val="a9"/>
      </w:pPr>
      <w:r>
        <w:t xml:space="preserve">[9]</w:t>
      </w:r>
      <w:r>
        <w:t xml:space="preserve"> </w:t>
      </w:r>
      <w:r>
        <w:t xml:space="preserve">	</w:t>
      </w:r>
      <w:r>
        <w:t xml:space="preserve">Gopsill </w:t>
      </w:r>
      <w:r>
        <w:rPr>
          <w:rFonts w:hint="eastAsia"/>
        </w:rPr>
        <w:t xml:space="preserve">J，Giunta</w:t>
      </w:r>
      <w:r>
        <w:t xml:space="preserve"> </w:t>
      </w:r>
      <w:r>
        <w:rPr>
          <w:rFonts w:hint="eastAsia"/>
        </w:rPr>
        <w:t xml:space="preserve">L，Goudswaard</w:t>
      </w:r>
      <w:r>
        <w:t xml:space="preserve"> </w:t>
      </w:r>
      <w:r>
        <w:rPr>
          <w:rFonts w:hint="eastAsia"/>
        </w:rPr>
        <w:t xml:space="preserve">M，等.</w:t>
      </w:r>
      <w:r>
        <w:t xml:space="preserve"> </w:t>
      </w:r>
      <w:hyperlink r:id="rId71">
        <w:r>
          <w:rPr>
            <w:rStyle w:val="af"/>
          </w:rPr>
          <w:t xml:space="preserve">Data Mining Prototyping Knowledge Graphs for Design Process Insights</w:t>
        </w:r>
      </w:hyperlink>
      <w:r>
        <w:t xml:space="preserve">[J]. Journal of Engineering </w:t>
      </w:r>
      <w:r>
        <w:rPr>
          <w:rFonts w:hint="eastAsia"/>
        </w:rPr>
        <w:t xml:space="preserve">Design，2025，36（7-9）：1222-1248.</w:t>
      </w:r>
    </w:p>
    <w:bookmarkEnd w:id="72"/>
    <w:bookmarkStart w:id="73" w:name="ref-chenUserBehaviorData2024"/>
    <w:p>
      <w:pPr>
        <w:pStyle w:val="a9"/>
      </w:pPr>
      <w:r>
        <w:t xml:space="preserve">[10]</w:t>
      </w:r>
      <w:r>
        <w:t xml:space="preserve"> </w:t>
      </w:r>
      <w:r>
        <w:t xml:space="preserve">	</w:t>
      </w:r>
      <w:r>
        <w:t xml:space="preserve">Chen </w:t>
      </w:r>
      <w:r>
        <w:rPr>
          <w:rFonts w:hint="eastAsia"/>
        </w:rPr>
        <w:t xml:space="preserve">F，Zhang</w:t>
      </w:r>
      <w:r>
        <w:t xml:space="preserve"> C. User</w:t>
      </w:r>
      <w:r>
        <w:t xml:space="preserve"> </w:t>
      </w:r>
      <w:r>
        <w:t xml:space="preserve">Behavior Data Mining</w:t>
      </w:r>
      <w:r>
        <w:t xml:space="preserve"> </w:t>
      </w:r>
      <w:r>
        <w:t xml:space="preserve">in</w:t>
      </w:r>
      <w:r>
        <w:t xml:space="preserve"> </w:t>
      </w:r>
      <w:r>
        <w:t xml:space="preserve">Industrial</w:t>
      </w:r>
      <w:r>
        <w:t xml:space="preserve"> </w:t>
      </w:r>
      <w:r>
        <w:t xml:space="preserve">and</w:t>
      </w:r>
      <w:r>
        <w:t xml:space="preserve"> </w:t>
      </w:r>
      <w:r>
        <w:t xml:space="preserve">Individualized Design Based</w:t>
      </w:r>
      <w:r>
        <w:t xml:space="preserve"> </w:t>
      </w:r>
      <w:r>
        <w:t xml:space="preserve">on</w:t>
      </w:r>
      <w:r>
        <w:t xml:space="preserve"> </w:t>
      </w:r>
      <w:r>
        <w:t xml:space="preserve">CAD</w:t>
      </w:r>
      <w:r>
        <w:t xml:space="preserve">[J]. 2024.</w:t>
      </w:r>
    </w:p>
    <w:bookmarkEnd w:id="73"/>
    <w:bookmarkStart w:id="74" w:name="ref-moonDataMiningMethodology2009"/>
    <w:p>
      <w:pPr>
        <w:pStyle w:val="a9"/>
      </w:pPr>
      <w:r>
        <w:t xml:space="preserve">[11]</w:t>
      </w:r>
      <w:r>
        <w:t xml:space="preserve"> </w:t>
      </w:r>
      <w:r>
        <w:t xml:space="preserve">	</w:t>
      </w:r>
      <w:r>
        <w:t xml:space="preserve">Moon S K. A</w:t>
      </w:r>
      <w:r>
        <w:t xml:space="preserve"> </w:t>
      </w:r>
      <w:r>
        <w:t xml:space="preserve">Data Mining Methodology</w:t>
      </w:r>
      <w:r>
        <w:t xml:space="preserve"> </w:t>
      </w:r>
      <w:r>
        <w:t xml:space="preserve">for</w:t>
      </w:r>
      <w:r>
        <w:t xml:space="preserve"> </w:t>
      </w:r>
      <w:r>
        <w:t xml:space="preserve">Product Family Design</w:t>
      </w:r>
      <w:r>
        <w:t xml:space="preserve">[M]//Encyclopedia of</w:t>
      </w:r>
      <w:r>
        <w:t xml:space="preserve"> </w:t>
      </w:r>
      <w:r>
        <w:t xml:space="preserve">Data Warehousing</w:t>
      </w:r>
      <w:r>
        <w:t xml:space="preserve"> </w:t>
      </w:r>
      <w:r>
        <w:t xml:space="preserve">and</w:t>
      </w:r>
      <w:r>
        <w:t xml:space="preserve"> </w:t>
      </w:r>
      <w:r>
        <w:t xml:space="preserve">Mining</w:t>
      </w:r>
      <w:r>
        <w:t xml:space="preserve">,</w:t>
      </w:r>
      <w:r>
        <w:t xml:space="preserve"> </w:t>
      </w:r>
      <w:r>
        <w:t xml:space="preserve">Second Edition</w:t>
      </w:r>
      <w:r>
        <w:t xml:space="preserve">. IGI Global Scientific </w:t>
      </w:r>
      <w:r>
        <w:rPr>
          <w:rFonts w:hint="eastAsia"/>
        </w:rPr>
        <w:t xml:space="preserve">Publishing，2009：497-505.</w:t>
      </w:r>
    </w:p>
    <w:bookmarkEnd w:id="74"/>
    <w:bookmarkStart w:id="75" w:name="ref-yuFrameworkProductDefinition2014"/>
    <w:p>
      <w:pPr>
        <w:pStyle w:val="a9"/>
      </w:pPr>
      <w:r>
        <w:t xml:space="preserve">[12]</w:t>
      </w:r>
      <w:r>
        <w:t xml:space="preserve"> </w:t>
      </w:r>
      <w:r>
        <w:t xml:space="preserve">	</w:t>
      </w:r>
      <w:r>
        <w:t xml:space="preserve">Yu </w:t>
      </w:r>
      <w:r>
        <w:rPr>
          <w:rFonts w:hint="eastAsia"/>
        </w:rPr>
        <w:t xml:space="preserve">L，Zhang</w:t>
      </w:r>
      <w:r>
        <w:t xml:space="preserve"> Z F. The Framework of Product Definition Based on Data Mining Techniques[J]. Applied Mechanics and </w:t>
      </w:r>
      <w:r>
        <w:rPr>
          <w:rFonts w:hint="eastAsia"/>
        </w:rPr>
        <w:t xml:space="preserve">Materials，2014，687：4874-4877.</w:t>
      </w:r>
    </w:p>
    <w:bookmarkEnd w:id="75"/>
    <w:bookmarkStart w:id="77" w:name="X97c3c408a1e7bf85f27a0345eebcf3bacccae4e"/>
    <w:p>
      <w:pPr>
        <w:pStyle w:val="a9"/>
      </w:pPr>
      <w:r>
        <w:t xml:space="preserve">[13]</w:t>
      </w:r>
      <w:r>
        <w:t xml:space="preserve"> </w:t>
      </w:r>
      <w:r>
        <w:t xml:space="preserve">	</w:t>
      </w:r>
      <w:r>
        <w:rPr>
          <w:rFonts w:hint="eastAsia"/>
        </w:rPr>
        <w:t xml:space="preserve">景旭文，易红，赵良才.</w:t>
      </w:r>
      <w:r>
        <w:t xml:space="preserve"> </w:t>
      </w:r>
      <w:hyperlink r:id="rId76">
        <w:r>
          <w:rPr>
            <w:rStyle w:val="af"/>
            <w:rFonts w:hint="eastAsia"/>
          </w:rPr>
          <w:t xml:space="preserve">数据挖掘技术在产品概念设计建模中的应用研究</w:t>
        </w:r>
      </w:hyperlink>
      <w:r>
        <w:t xml:space="preserve">[J]. </w:t>
      </w:r>
      <w:r>
        <w:rPr>
          <w:rFonts w:hint="eastAsia"/>
        </w:rPr>
        <w:t xml:space="preserve">制造业自动化，2003，25（6）：8-12.</w:t>
      </w:r>
    </w:p>
    <w:bookmarkEnd w:id="77"/>
    <w:bookmarkStart w:id="79" w:name="Xdce1cfe95f4fd929a9713b11ab4b73a4e97a812"/>
    <w:p>
      <w:pPr>
        <w:pStyle w:val="a9"/>
      </w:pPr>
      <w:r>
        <w:t xml:space="preserve">[14]</w:t>
      </w:r>
      <w:r>
        <w:t xml:space="preserve"> </w:t>
      </w:r>
      <w:r>
        <w:t xml:space="preserve">	</w:t>
      </w:r>
      <w:r>
        <w:rPr>
          <w:rFonts w:hint="eastAsia"/>
        </w:rPr>
        <w:t xml:space="preserve">景旭文，易红，赵良才.</w:t>
      </w:r>
      <w:r>
        <w:t xml:space="preserve"> </w:t>
      </w:r>
      <w:hyperlink r:id="rId78">
        <w:r>
          <w:rPr>
            <w:rStyle w:val="af"/>
            <w:rFonts w:hint="eastAsia"/>
          </w:rPr>
          <w:t xml:space="preserve">基于数据挖掘的产品概念设计建模研究</w:t>
        </w:r>
      </w:hyperlink>
      <w:r>
        <w:t xml:space="preserve">[J]. </w:t>
      </w:r>
      <w:r>
        <w:rPr>
          <w:rFonts w:hint="eastAsia"/>
        </w:rPr>
        <w:t xml:space="preserve">计算机集成制造系统，2003，9（11）：950-954,</w:t>
      </w:r>
      <w:r>
        <w:t xml:space="preserve"> 1000.</w:t>
      </w:r>
    </w:p>
    <w:bookmarkEnd w:id="79"/>
    <w:bookmarkStart w:id="81" w:name="X3241080a28ba91ff6d347a3b4a73cee928a9418"/>
    <w:p>
      <w:pPr>
        <w:pStyle w:val="a9"/>
      </w:pPr>
      <w:r>
        <w:t xml:space="preserve">[15]</w:t>
      </w:r>
      <w:r>
        <w:t xml:space="preserve"> </w:t>
      </w:r>
      <w:r>
        <w:t xml:space="preserve">	</w:t>
      </w:r>
      <w:r>
        <w:rPr>
          <w:rFonts w:hint="eastAsia"/>
        </w:rPr>
        <w:t xml:space="preserve">景旭文，易红，潘宝俊，等.</w:t>
      </w:r>
      <w:r>
        <w:t xml:space="preserve"> </w:t>
      </w:r>
      <w:hyperlink r:id="rId80">
        <w:r>
          <w:rPr>
            <w:rStyle w:val="af"/>
            <w:rFonts w:hint="eastAsia"/>
          </w:rPr>
          <w:t xml:space="preserve">基于数据挖掘工具的机械产品概念设计研究</w:t>
        </w:r>
      </w:hyperlink>
      <w:r>
        <w:t xml:space="preserve">[J]. </w:t>
      </w:r>
      <w:r>
        <w:rPr>
          <w:rFonts w:hint="eastAsia"/>
        </w:rPr>
        <w:t xml:space="preserve">机械科学与技术，2004，23（10）：1215-1218.</w:t>
      </w:r>
    </w:p>
    <w:bookmarkEnd w:id="81"/>
    <w:bookmarkStart w:id="83" w:name="X84f80902cd404c8c8b936f303ae70c5f6b7a71c"/>
    <w:p>
      <w:pPr>
        <w:pStyle w:val="a9"/>
      </w:pPr>
      <w:r>
        <w:t xml:space="preserve">[16]</w:t>
      </w:r>
      <w:r>
        <w:t xml:space="preserve"> </w:t>
      </w:r>
      <w:r>
        <w:t xml:space="preserve">	</w:t>
      </w:r>
      <w:r>
        <w:rPr>
          <w:rFonts w:hint="eastAsia"/>
        </w:rPr>
        <w:t xml:space="preserve">汪海波，薛澄岐，余晓流，等.</w:t>
      </w:r>
      <w:r>
        <w:t xml:space="preserve"> </w:t>
      </w:r>
      <w:hyperlink r:id="rId82">
        <w:r>
          <w:rPr>
            <w:rStyle w:val="af"/>
            <w:rFonts w:hint="eastAsia"/>
          </w:rPr>
          <w:t xml:space="preserve">面向造型设计的产品风格推导模型构建</w:t>
        </w:r>
      </w:hyperlink>
      <w:r>
        <w:t xml:space="preserve">[J]. </w:t>
      </w:r>
      <w:r>
        <w:rPr>
          <w:rFonts w:hint="eastAsia"/>
        </w:rPr>
        <w:t xml:space="preserve">安徽工业大学学报（自然科学版），2011，28（3）：250-253.</w:t>
      </w:r>
    </w:p>
    <w:bookmarkEnd w:id="83"/>
    <w:bookmarkStart w:id="85" w:name="X28f9015448f0fb817f7a0bd5daa1f18ccafbeef"/>
    <w:p>
      <w:pPr>
        <w:pStyle w:val="a9"/>
      </w:pPr>
      <w:r>
        <w:t xml:space="preserve">[17]</w:t>
      </w:r>
      <w:r>
        <w:t xml:space="preserve"> </w:t>
      </w:r>
      <w:r>
        <w:t xml:space="preserve">	</w:t>
      </w:r>
      <w:r>
        <w:rPr>
          <w:rFonts w:hint="eastAsia"/>
        </w:rPr>
        <w:t xml:space="preserve">孙守迁，张克俊.</w:t>
      </w:r>
      <w:r>
        <w:t xml:space="preserve"> </w:t>
      </w:r>
      <w:hyperlink r:id="rId84">
        <w:r>
          <w:rPr>
            <w:rStyle w:val="af"/>
            <w:rFonts w:hint="eastAsia"/>
          </w:rPr>
          <w:t xml:space="preserve">基于组件约束的风格概念方案生成技术</w:t>
        </w:r>
      </w:hyperlink>
      <w:r>
        <w:t xml:space="preserve">[J]. </w:t>
      </w:r>
      <w:r>
        <w:rPr>
          <w:rFonts w:hint="eastAsia"/>
        </w:rPr>
        <w:t xml:space="preserve">中国科技论文在线，2009，4（2）：141-145.</w:t>
      </w:r>
    </w:p>
    <w:bookmarkEnd w:id="85"/>
    <w:bookmarkStart w:id="87" w:name="X5dd10d2963655a71c53157d223a15af87c2d78b"/>
    <w:p>
      <w:pPr>
        <w:pStyle w:val="a9"/>
      </w:pPr>
      <w:r>
        <w:t xml:space="preserve">[18]</w:t>
      </w:r>
      <w:r>
        <w:t xml:space="preserve"> </w:t>
      </w:r>
      <w:r>
        <w:t xml:space="preserve">	</w:t>
      </w:r>
      <w:r>
        <w:t xml:space="preserve">Wang </w:t>
      </w:r>
      <w:r>
        <w:rPr>
          <w:rFonts w:hint="eastAsia"/>
        </w:rPr>
        <w:t xml:space="preserve">Y，Abidin</w:t>
      </w:r>
      <w:r>
        <w:t xml:space="preserve"> A H B Z.</w:t>
      </w:r>
      <w:r>
        <w:t xml:space="preserve"> </w:t>
      </w:r>
      <w:hyperlink r:id="rId86">
        <w:r>
          <w:rPr>
            <w:rStyle w:val="af"/>
          </w:rPr>
          <w:t xml:space="preserve">Analyzing the</w:t>
        </w:r>
        <w:r>
          <w:rPr>
            <w:rStyle w:val="af"/>
          </w:rPr>
          <w:t xml:space="preserve"> </w:t>
        </w:r>
        <w:r>
          <w:rPr>
            <w:rStyle w:val="af"/>
          </w:rPr>
          <w:t xml:space="preserve">Application</w:t>
        </w:r>
        <w:r>
          <w:rPr>
            <w:rStyle w:val="af"/>
          </w:rPr>
          <w:t xml:space="preserve"> </w:t>
        </w:r>
        <w:r>
          <w:rPr>
            <w:rStyle w:val="af"/>
          </w:rPr>
          <w:t xml:space="preserve">of</w:t>
        </w:r>
        <w:r>
          <w:rPr>
            <w:rStyle w:val="af"/>
          </w:rPr>
          <w:t xml:space="preserve"> </w:t>
        </w:r>
        <w:r>
          <w:rPr>
            <w:rStyle w:val="af"/>
          </w:rPr>
          <w:t xml:space="preserve">Minimalism</w:t>
        </w:r>
        <w:r>
          <w:rPr>
            <w:rStyle w:val="af"/>
          </w:rPr>
          <w:t xml:space="preserve"> </w:t>
        </w:r>
        <w:r>
          <w:rPr>
            <w:rStyle w:val="af"/>
          </w:rPr>
          <w:t xml:space="preserve">in</w:t>
        </w:r>
        <w:r>
          <w:rPr>
            <w:rStyle w:val="af"/>
          </w:rPr>
          <w:t xml:space="preserve"> </w:t>
        </w:r>
        <w:r>
          <w:rPr>
            <w:rStyle w:val="af"/>
          </w:rPr>
          <w:t xml:space="preserve">Product Appearance Design</w:t>
        </w:r>
        <w:r>
          <w:rPr>
            <w:rStyle w:val="af"/>
          </w:rPr>
          <w:t xml:space="preserve"> </w:t>
        </w:r>
        <w:r>
          <w:rPr>
            <w:rStyle w:val="af"/>
          </w:rPr>
          <w:t xml:space="preserve">Using</w:t>
        </w:r>
        <w:r>
          <w:rPr>
            <w:rStyle w:val="af"/>
          </w:rPr>
          <w:t xml:space="preserve"> </w:t>
        </w:r>
        <w:r>
          <w:rPr>
            <w:rStyle w:val="af"/>
          </w:rPr>
          <w:t xml:space="preserve">Associative Data Mining Optimized Feature Selection</w:t>
        </w:r>
        <w:r>
          <w:rPr>
            <w:rStyle w:val="af"/>
          </w:rPr>
          <w:t xml:space="preserve"> </w:t>
        </w:r>
        <w:r>
          <w:rPr>
            <w:rStyle w:val="af"/>
          </w:rPr>
          <w:t xml:space="preserve">and</w:t>
        </w:r>
        <w:r>
          <w:rPr>
            <w:rStyle w:val="af"/>
          </w:rPr>
          <w:t xml:space="preserve"> </w:t>
        </w:r>
        <w:r>
          <w:rPr>
            <w:rStyle w:val="af"/>
          </w:rPr>
          <w:t xml:space="preserve">Deep Learning</w:t>
        </w:r>
        <w:r>
          <w:rPr>
            <w:rStyle w:val="af"/>
          </w:rPr>
          <w:t xml:space="preserve"> </w:t>
        </w:r>
        <w:r>
          <w:rPr>
            <w:rStyle w:val="af"/>
          </w:rPr>
          <w:t xml:space="preserve">of</w:t>
        </w:r>
        <w:r>
          <w:rPr>
            <w:rStyle w:val="af"/>
          </w:rPr>
          <w:t xml:space="preserve"> </w:t>
        </w:r>
        <w:r>
          <w:rPr>
            <w:rStyle w:val="af"/>
          </w:rPr>
          <w:t xml:space="preserve">Bang</w:t>
        </w:r>
        <w:r>
          <w:rPr>
            <w:rStyle w:val="af"/>
          </w:rPr>
          <w:t xml:space="preserve">&amp;</w:t>
        </w:r>
        <w:r>
          <w:rPr>
            <w:rStyle w:val="af"/>
          </w:rPr>
          <w:t xml:space="preserve">Olufsen Products</w:t>
        </w:r>
      </w:hyperlink>
      <w:r>
        <w:t xml:space="preserve">[J]. International Journal on Recent and Innovation Trends in Computing and </w:t>
      </w:r>
      <w:r>
        <w:rPr>
          <w:rFonts w:hint="eastAsia"/>
        </w:rPr>
        <w:t xml:space="preserve">Communication，2023，11（6）：361-371.</w:t>
      </w:r>
    </w:p>
    <w:bookmarkEnd w:id="87"/>
    <w:bookmarkStart w:id="89" w:name="ref-wangCaseBasedReasoningProduct2017"/>
    <w:p>
      <w:pPr>
        <w:pStyle w:val="a9"/>
      </w:pPr>
      <w:r>
        <w:t xml:space="preserve">[19]</w:t>
      </w:r>
      <w:r>
        <w:t xml:space="preserve"> </w:t>
      </w:r>
      <w:r>
        <w:t xml:space="preserve">	</w:t>
      </w:r>
      <w:r>
        <w:t xml:space="preserve">Wang </w:t>
      </w:r>
      <w:r>
        <w:rPr>
          <w:rFonts w:hint="eastAsia"/>
        </w:rPr>
        <w:t xml:space="preserve">D，Li</w:t>
      </w:r>
      <w:r>
        <w:t xml:space="preserve"> </w:t>
      </w:r>
      <w:r>
        <w:rPr>
          <w:rFonts w:hint="eastAsia"/>
        </w:rPr>
        <w:t xml:space="preserve">Z，Dey</w:t>
      </w:r>
      <w:r>
        <w:t xml:space="preserve"> </w:t>
      </w:r>
      <w:r>
        <w:rPr>
          <w:rFonts w:hint="eastAsia"/>
        </w:rPr>
        <w:t xml:space="preserve">N，等.</w:t>
      </w:r>
      <w:r>
        <w:t xml:space="preserve"> </w:t>
      </w:r>
      <w:hyperlink r:id="rId88">
        <w:r>
          <w:rPr>
            <w:rStyle w:val="af"/>
          </w:rPr>
          <w:t xml:space="preserve">Case-</w:t>
        </w:r>
        <w:r>
          <w:rPr>
            <w:rStyle w:val="af"/>
          </w:rPr>
          <w:t xml:space="preserve">Based Reasoning</w:t>
        </w:r>
        <w:r>
          <w:rPr>
            <w:rStyle w:val="af"/>
          </w:rPr>
          <w:t xml:space="preserve"> </w:t>
        </w:r>
        <w:r>
          <w:rPr>
            <w:rStyle w:val="af"/>
          </w:rPr>
          <w:t xml:space="preserve">for</w:t>
        </w:r>
        <w:r>
          <w:rPr>
            <w:rStyle w:val="af"/>
          </w:rPr>
          <w:t xml:space="preserve"> </w:t>
        </w:r>
        <w:r>
          <w:rPr>
            <w:rStyle w:val="af"/>
          </w:rPr>
          <w:t xml:space="preserve">Product Style Construction</w:t>
        </w:r>
        <w:r>
          <w:rPr>
            <w:rStyle w:val="af"/>
          </w:rPr>
          <w:t xml:space="preserve"> </w:t>
        </w:r>
        <w:r>
          <w:rPr>
            <w:rStyle w:val="af"/>
          </w:rPr>
          <w:t xml:space="preserve">and</w:t>
        </w:r>
        <w:r>
          <w:rPr>
            <w:rStyle w:val="af"/>
          </w:rPr>
          <w:t xml:space="preserve"> </w:t>
        </w:r>
        <w:r>
          <w:rPr>
            <w:rStyle w:val="af"/>
          </w:rPr>
          <w:t xml:space="preserve">Fuzzy Analytic Hierarchy Process Evaluation Modeling Using Consumers Linguistic Variables</w:t>
        </w:r>
      </w:hyperlink>
      <w:r>
        <w:t xml:space="preserve">[J]. IEEE </w:t>
      </w:r>
      <w:r>
        <w:rPr>
          <w:rFonts w:hint="eastAsia"/>
        </w:rPr>
        <w:t xml:space="preserve">Access，2017，5：4900-4912.</w:t>
      </w:r>
    </w:p>
    <w:bookmarkEnd w:id="89"/>
    <w:bookmarkEnd w:id="90"/>
    <w:p>
      <w:r>
        <w:br w:type="page"/>
      </w:r>
    </w:p>
    <w:p>
      <w:pPr>
        <w:pStyle w:val="a1"/>
      </w:pPr>
      <w:r>
        <w:rPr>
          <w:rFonts w:hint="eastAsia"/>
          <w:b/>
          <w:bCs/>
        </w:rPr>
        <w:t xml:space="preserve">附表1</w:t>
      </w:r>
      <w:r>
        <w:t xml:space="preserve"> </w:t>
      </w:r>
      <w:r>
        <w:rPr>
          <w:rFonts w:hint="eastAsia"/>
        </w:rPr>
        <w:t xml:space="preserve">2027年春运客流量预测完整结果</w:t>
      </w:r>
    </w:p>
    <w:p>
      <w:pPr>
        <w:pStyle w:val="a1"/>
      </w:pPr>
      <w:r>
        <w:br/>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60"/>
        <w:gridCol w:w="2160"/>
        <w:gridCol w:w="2160"/>
        <w:gridCol w:w="2160"/>
      </w:tblGrid>
      <w:tr>
        <w:trPr>
          <w:trHeight w:val="360" w:hRule="auto"/>
          <w:tblHeader/>
        </w:trPr>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tru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5"/>
                <w:szCs w:val="15"/>
                <w:color w:val="000000"/>
              </w:rPr>
              <w:t xml:space="preserve">公历日期</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tru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5"/>
                <w:szCs w:val="15"/>
                <w:color w:val="000000"/>
              </w:rPr>
              <w:t xml:space="preserve">站点</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tru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5"/>
                <w:szCs w:val="15"/>
                <w:color w:val="000000"/>
              </w:rPr>
              <w:t xml:space="preserve">方向</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tru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5"/>
                <w:szCs w:val="15"/>
                <w:color w:val="000000"/>
              </w:rPr>
              <w:t xml:space="preserve">Volume_Forecast (基准预测)</w:t>
            </w:r>
          </w:p>
        </w:tc>
      </w:tr>
      <w:tr>
        <w:trPr>
          <w:trHeight w:val="360"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2027-01-22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52913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64683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43491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59239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52694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61790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44155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50432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53642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62517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44201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53453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54454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62797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44669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55146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61522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63727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50069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55958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59644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65498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43491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55958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54231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65614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43685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56746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53410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65643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43735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59698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47385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66239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41232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55169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52382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66239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40988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57409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51298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66519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41726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58759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53930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66519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40325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56102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50916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66519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40747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58759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41860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61488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31349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53807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23029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40487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14046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33541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28177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30372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24413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40060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50649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50865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38605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48266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66484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64123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54638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53416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73256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66966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61574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53744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74348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69942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65759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54327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78690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69613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68867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56536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78690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69613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65855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59645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79856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69333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65914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55356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74345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61042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61372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47555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70410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55536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59093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47283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67292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55427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59310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45673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68556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60139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57539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47507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67991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57362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53926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50196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61322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59645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54403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42842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63182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52395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51046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44096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67676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54701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58659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42819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67166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54334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56082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48573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69104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55088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61551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50318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67480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57440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61173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50244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65634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59958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54441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51911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59166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58332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49269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43471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60199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54176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45778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41801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60524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53812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45905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41530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54788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51963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42442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47459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61730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53176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54154</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2027-03-02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40459</w:t>
            </w:r>
          </w:p>
        </w:tc>
      </w:tr>
    </w:tbl>
    <w:p>
      <w:r>
        <w:br w:type="page"/>
      </w:r>
    </w:p>
    <w:p>
      <w:pPr>
        <w:pStyle w:val="a1"/>
      </w:pPr>
      <w:r>
        <w:rPr>
          <w:rFonts w:hint="eastAsia"/>
          <w:b/>
          <w:bCs/>
        </w:rPr>
        <w:t xml:space="preserve">附表2</w:t>
      </w:r>
      <w:r>
        <w:t xml:space="preserve"> </w:t>
      </w:r>
      <w:r>
        <w:rPr>
          <w:rFonts w:hint="eastAsia"/>
        </w:rPr>
        <w:t xml:space="preserve">2028年春运客流量预测完整结果</w:t>
      </w:r>
    </w:p>
    <w:p>
      <w:pPr>
        <w:pStyle w:val="a1"/>
      </w:pPr>
      <w:r>
        <w:br/>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1440"/>
        <w:gridCol w:w="1440"/>
        <w:gridCol w:w="1440"/>
        <w:gridCol w:w="1440"/>
        <w:gridCol w:w="1440"/>
      </w:tblGrid>
      <w:tr>
        <w:trPr>
          <w:trHeight w:val="360" w:hRule="auto"/>
          <w:tblHeader/>
        </w:trPr>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tru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5"/>
                <w:szCs w:val="15"/>
                <w:color w:val="000000"/>
              </w:rPr>
              <w:t xml:space="preserve">公历日期</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tru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5"/>
                <w:szCs w:val="15"/>
                <w:color w:val="000000"/>
              </w:rPr>
              <w:t xml:space="preserve">站点</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tru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5"/>
                <w:szCs w:val="15"/>
                <w:color w:val="000000"/>
              </w:rPr>
              <w:t xml:space="preserve">方向</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tru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5"/>
                <w:szCs w:val="15"/>
                <w:color w:val="000000"/>
              </w:rPr>
              <w:t xml:space="preserve">Volume_Forecast_P05 (悲观下界)</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tru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5"/>
                <w:szCs w:val="15"/>
                <w:color w:val="000000"/>
              </w:rPr>
              <w:t xml:space="preserve">Volume_Forecast_P50 (基准预期)</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tru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true"/>
                <w:u w:val="none"/>
                <w:strike w:val="false"/>
                <w:sz w:val="15"/>
                <w:szCs w:val="15"/>
                <w:color w:val="000000"/>
              </w:rPr>
              <w:t xml:space="preserve">Volume_Forecast_P95 (乐观上界)</w:t>
            </w:r>
          </w:p>
        </w:tc>
      </w:tr>
      <w:tr>
        <w:trPr>
          <w:trHeight w:val="360"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2028-01-11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55169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56818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58714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62797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64568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64568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46132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46394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47678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58642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59949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60876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53826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54786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55368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63425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64762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64762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46394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46394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47678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54326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54737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54737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56638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56638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58533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62797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64568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64568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46394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46394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47768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55484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55958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57853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56638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58533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60311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62797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64568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64568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46394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46394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47846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55958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57853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59582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59988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61759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61759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63447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65218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65218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52156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53332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53788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54608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56504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58657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59430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60616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61952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65218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65218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65218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48421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48665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50348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54349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56245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58494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57748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57748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61537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65614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65614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65614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47990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48002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49286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55197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57093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59154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55918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57568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59463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65614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65614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65614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45863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46107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47391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58642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60065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60674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48051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49712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51373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66383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66519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66519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40325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42729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43758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56102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57998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59939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51962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53749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55645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66383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66519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66519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41078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44326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45355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57651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60970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61563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51962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53749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55645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66519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66519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66519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41078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44326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45355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59547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60970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61616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55490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55513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59664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66239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66239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66239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40988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43290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44708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57408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59304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61151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52986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55513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55608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66239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66239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66407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40988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43646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44708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59304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61151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61744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41668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43687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44504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62116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66442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66442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33849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33849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34617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55361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55361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57257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22966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23245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23420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39798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43699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46143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14406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14406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14406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36041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36809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36809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30679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34359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34359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33761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33761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33761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29780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29780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31209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41696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44327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46253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56501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57912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58078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56319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57782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58530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43695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43695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45561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51467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55553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56581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70350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70350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70350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66107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67720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67720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61613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63509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65562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57417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57417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59313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74987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75617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75617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69429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69429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69761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66136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66765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67619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55815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56271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58246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75755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76385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77404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69662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69662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70292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66107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66107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67293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56271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58167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59747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77569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77569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78690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69613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69613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70244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68605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68605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69234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59485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61381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63523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77198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77198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78319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69613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69613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70244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68867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68867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70000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61381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63433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64026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77198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78044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78044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69613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69613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70244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68867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68867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69496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58093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59989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61049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71254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71885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73071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58799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62686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63559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62372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65020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65821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48839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51349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52210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69722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69722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70353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56550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58446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61763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61256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64105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64720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48328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50483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51698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70255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70255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70587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55671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57567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60884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59902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62751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63782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46275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48892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49296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70669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57567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60884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62759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57528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62273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62866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46275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49590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50451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66344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66344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66676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55466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60679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62554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56641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58305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58537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50718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51477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51933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64219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66094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66094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56868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60185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62060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55909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57573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59347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43442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44860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45179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63331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63410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64088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52802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53438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54186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52338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52987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54403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48219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48219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49880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66094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66094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66426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55857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57753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59646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57894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60743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61344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43926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46692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47482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67111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67111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67443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56248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58144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60037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55298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57194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59567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49363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49673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49718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70489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70489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71120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56712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58608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60501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58480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62297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62781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48836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49595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50051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70489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70489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70821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55365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60578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61580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58669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62485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62969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48762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49977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49977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64176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65048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65048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55639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58956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60831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54207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56103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59372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49440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51911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59799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62766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64206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54687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57654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59528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51287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51927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51972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44460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44460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45250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59415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60958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61367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54079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54374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55622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48147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48673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48937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41297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44730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44730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59415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60958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61367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54079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54374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54374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48147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48673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48937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41297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44730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44730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58395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59415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60958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54973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56176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57196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45472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49149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49939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46753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48769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49394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63999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66014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66014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52188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53391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54411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入站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51351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55290</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2028-02-19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天津西</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出站</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36186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39814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SimSun" w:cs="Times New Roman"/>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SimSun" w:cs="Times New Roman"/>
                <w:i w:val="false"/>
                <w:b w:val="false"/>
                <w:u w:val="none"/>
                <w:strike w:val="false"/>
                <w:sz w:val="15"/>
                <w:szCs w:val="15"/>
                <w:color w:val="000000"/>
              </w:rPr>
              <w:t xml:space="preserve">41666</w:t>
            </w:r>
          </w:p>
        </w:tc>
      </w:tr>
    </w:tbl>
    <w:bookmarkEnd w:id="91"/>
    <w:bookmarkEnd w:id="92"/>
    <w:sectPr w:rsidR="00C57B99" w:rsidSect="00326C06">
      <w:footerReference r:id="rId9" w:type="default"/>
      <w:footnotePr>
        <w:numRestart w:val="eachSect"/>
      </w:footnotePr>
      <w:pgSz w:code="9" w:h="16838" w:w="11906"/>
      <w:pgMar w:bottom="1219" w:footer="720" w:gutter="0" w:header="720" w:left="1106" w:right="1106" w:top="1219"/>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9565670"/>
      <w:docPartObj>
        <w:docPartGallery w:val="Page Numbers (Bottom of Page)"/>
        <w:docPartUnique/>
      </w:docPartObj>
    </w:sdtPr>
    <w:sdtContent>
      <w:p w14:paraId="2DCE55B1" w14:textId="18B712A3" w:rsidR="00326C06" w:rsidRDefault="00326C06">
        <w:pPr>
          <w:pStyle w:val="af2"/>
          <w:jc w:val="right"/>
        </w:pPr>
        <w:r>
          <w:fldChar w:fldCharType="begin"/>
        </w:r>
        <w:r>
          <w:instrText>PAGE   \* MERGEFORMAT</w:instrText>
        </w:r>
        <w:r>
          <w:fldChar w:fldCharType="separate"/>
        </w:r>
        <w:r>
          <w:rPr>
            <w:lang w:val="zh-CN"/>
          </w:rPr>
          <w:t>2</w:t>
        </w:r>
        <w:r>
          <w:fldChar w:fldCharType="end"/>
        </w:r>
      </w:p>
    </w:sdtContent>
  </w:sdt>
  <w:p w14:paraId="28E2AAC4" w14:textId="77777777" w:rsidR="00326C06" w:rsidRDefault="00326C06">
    <w:pPr>
      <w:pStyle w:val="af2"/>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81B6A0D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
    <w:nsid w:val="4FD6084C"/>
    <w:multiLevelType w:val="multilevel"/>
    <w:tmpl w:val="5842306C"/>
    <w:lvl w:ilvl="0">
      <w:start w:val="1"/>
      <w:numFmt w:val="decimal"/>
      <w:lvlText w:val="%1"/>
      <w:lvlJc w:val="left"/>
      <w:pPr>
        <w:ind w:hanging="425" w:left="425"/>
      </w:pPr>
      <w:rPr>
        <w:rFonts w:hint="eastAsia"/>
      </w:rPr>
    </w:lvl>
    <w:lvl w:ilvl="1">
      <w:start w:val="1"/>
      <w:numFmt w:val="decimal"/>
      <w:lvlText w:val="%2%1"/>
      <w:lvlJc w:val="left"/>
      <w:pPr>
        <w:ind w:hanging="567" w:left="1418"/>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2">
    <w:nsid w:val="74D3054F"/>
    <w:multiLevelType w:val="multilevel"/>
    <w:tmpl w:val="E006E6E2"/>
    <w:lvl w:ilvl="0">
      <w:start w:val="1"/>
      <w:numFmt w:val="none"/>
      <w:pStyle w:val="a"/>
      <w:lvlText w:val=""/>
      <w:lvlJc w:val="left"/>
      <w:pPr>
        <w:ind w:firstLine="0" w:left="0"/>
      </w:pPr>
      <w:rPr>
        <w:rFonts w:hint="eastAsia"/>
      </w:rPr>
    </w:lvl>
    <w:lvl w:ilvl="1">
      <w:numFmt w:val="decimal"/>
      <w:pStyle w:val="1"/>
      <w:lvlText w:val="%1%2  "/>
      <w:lvlJc w:val="left"/>
      <w:pPr>
        <w:ind w:firstLine="0" w:left="0"/>
      </w:pPr>
      <w:rPr>
        <w:rFonts w:ascii="Times New Roman" w:eastAsia="宋体" w:hAnsi="Times New Roman" w:hint="default"/>
      </w:rPr>
    </w:lvl>
    <w:lvl w:ilvl="2">
      <w:start w:val="1"/>
      <w:numFmt w:val="decimal"/>
      <w:pStyle w:val="2"/>
      <w:lvlText w:val="%2%1.%3 "/>
      <w:lvlJc w:val="left"/>
      <w:pPr>
        <w:tabs>
          <w:tab w:pos="397" w:val="num"/>
        </w:tabs>
        <w:ind w:firstLine="0" w:left="0"/>
      </w:pPr>
      <w:rPr>
        <w:rFonts w:hint="eastAsia"/>
      </w:rPr>
    </w:lvl>
    <w:lvl w:ilvl="3">
      <w:start w:val="1"/>
      <w:numFmt w:val="decimal"/>
      <w:pStyle w:val="3"/>
      <w:lvlText w:val="%1%2.%3.%4 "/>
      <w:lvlJc w:val="left"/>
      <w:pPr>
        <w:ind w:firstLine="0" w:left="0"/>
      </w:pPr>
      <w:rPr>
        <w:rFonts w:hint="eastAsia"/>
      </w:rPr>
    </w:lvl>
    <w:lvl w:ilvl="4">
      <w:start w:val="1"/>
      <w:numFmt w:val="decimal"/>
      <w:pStyle w:val="4"/>
      <w:lvlText w:val="%1%2.%3.%4.%5 "/>
      <w:lvlJc w:val="left"/>
      <w:pPr>
        <w:ind w:firstLine="0" w:left="0"/>
      </w:pPr>
      <w:rPr>
        <w:rFonts w:hint="eastAsia"/>
      </w:rPr>
    </w:lvl>
    <w:lvl w:ilvl="5">
      <w:start w:val="1"/>
      <w:numFmt w:val="decimal"/>
      <w:pStyle w:val="5"/>
      <w:lvlText w:val="%1%2.%3.%4.%5.%6 "/>
      <w:lvlJc w:val="left"/>
      <w:pPr>
        <w:ind w:firstLine="0" w:left="0"/>
      </w:pPr>
      <w:rPr>
        <w:rFonts w:hint="eastAsia"/>
      </w:rPr>
    </w:lvl>
    <w:lvl w:ilvl="6">
      <w:start w:val="1"/>
      <w:numFmt w:val="decimal"/>
      <w:pStyle w:val="6"/>
      <w:lvlText w:val="%1%2.%3.%4.%5.%6.%7 "/>
      <w:lvlJc w:val="left"/>
      <w:pPr>
        <w:ind w:firstLine="0" w:left="0"/>
      </w:pPr>
      <w:rPr>
        <w:rFonts w:hint="eastAsia"/>
      </w:rPr>
    </w:lvl>
    <w:lvl w:ilvl="7">
      <w:start w:val="1"/>
      <w:numFmt w:val="decimal"/>
      <w:pStyle w:val="7"/>
      <w:lvlText w:val="%1%2.%3.%4.%5.%6.%7.%8 "/>
      <w:lvlJc w:val="left"/>
      <w:pPr>
        <w:ind w:firstLine="0" w:left="0"/>
      </w:pPr>
      <w:rPr>
        <w:rFonts w:hint="eastAsia"/>
      </w:rPr>
    </w:lvl>
    <w:lvl w:ilvl="8">
      <w:start w:val="1"/>
      <w:numFmt w:val="decimal"/>
      <w:pStyle w:val="8"/>
      <w:lvlText w:val="%1%2.%3.%4.%5.%6.%7.%8.%9 "/>
      <w:lvlJc w:val="left"/>
      <w:pPr>
        <w:ind w:firstLine="0" w:left="0"/>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861555236" w:numId="1">
    <w:abstractNumId w:val="0"/>
  </w:num>
  <w:num w16cid:durableId="1914391262" w:numId="2">
    <w:abstractNumId w:val="2"/>
  </w:num>
  <w:num w16cid:durableId="1307005492" w:numId="3">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7"/>
  <w:embedSystemFonts/>
  <w:bordersDoNotSurroundHeader/>
  <w:bordersDoNotSurroundFooter/>
  <w:proofState w:grammar="clean" w:spelling="clean"/>
  <w:stylePaneFormatFilter w:allStyles="0" w:alternateStyleNames="0" w:clearFormatting="0" w:customStyles="0" w:directFormattingOnNumbering="1" w:directFormattingOnParagraphs="1" w:directFormattingOnRuns="1" w:directFormattingOnTables="0" w:headingStyles="0" w:latentStyles="1" w:numberingStyles="0" w:stylesInUse="0" w:tableStyles="0" w:top3HeadingStyles="0" w:val="0704" w:visibleStyles="0"/>
  <w:stylePaneSortMethod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E3DB5"/>
    <w:rsid w:val="00010528"/>
    <w:rsid w:val="00041B7D"/>
    <w:rsid w:val="00047C47"/>
    <w:rsid w:val="00053B41"/>
    <w:rsid w:val="000777BB"/>
    <w:rsid w:val="00077E88"/>
    <w:rsid w:val="0009242E"/>
    <w:rsid w:val="000969BE"/>
    <w:rsid w:val="00155C0E"/>
    <w:rsid w:val="00174451"/>
    <w:rsid w:val="001C4898"/>
    <w:rsid w:val="001D5315"/>
    <w:rsid w:val="001E3EA3"/>
    <w:rsid w:val="001F6072"/>
    <w:rsid w:val="00200527"/>
    <w:rsid w:val="00231021"/>
    <w:rsid w:val="00283524"/>
    <w:rsid w:val="0028726C"/>
    <w:rsid w:val="00292E1A"/>
    <w:rsid w:val="00303725"/>
    <w:rsid w:val="0031496F"/>
    <w:rsid w:val="00326C06"/>
    <w:rsid w:val="003444A6"/>
    <w:rsid w:val="003466D5"/>
    <w:rsid w:val="003855D2"/>
    <w:rsid w:val="00401360"/>
    <w:rsid w:val="00424A0E"/>
    <w:rsid w:val="00453D12"/>
    <w:rsid w:val="00456349"/>
    <w:rsid w:val="004631B3"/>
    <w:rsid w:val="004863D0"/>
    <w:rsid w:val="004B7949"/>
    <w:rsid w:val="004C01EE"/>
    <w:rsid w:val="004F155E"/>
    <w:rsid w:val="00511C23"/>
    <w:rsid w:val="0057219F"/>
    <w:rsid w:val="005F0B78"/>
    <w:rsid w:val="00607B7F"/>
    <w:rsid w:val="00646C57"/>
    <w:rsid w:val="006563B5"/>
    <w:rsid w:val="006608BC"/>
    <w:rsid w:val="00677C50"/>
    <w:rsid w:val="006F5F11"/>
    <w:rsid w:val="00725F31"/>
    <w:rsid w:val="00734072"/>
    <w:rsid w:val="00773951"/>
    <w:rsid w:val="007812CE"/>
    <w:rsid w:val="007853C2"/>
    <w:rsid w:val="007A5B62"/>
    <w:rsid w:val="007B4FE5"/>
    <w:rsid w:val="007F3470"/>
    <w:rsid w:val="00850A12"/>
    <w:rsid w:val="00860A2E"/>
    <w:rsid w:val="00886E22"/>
    <w:rsid w:val="00887444"/>
    <w:rsid w:val="0091066D"/>
    <w:rsid w:val="00912C50"/>
    <w:rsid w:val="009726DE"/>
    <w:rsid w:val="009E3A44"/>
    <w:rsid w:val="00A27151"/>
    <w:rsid w:val="00A673D9"/>
    <w:rsid w:val="00AD716E"/>
    <w:rsid w:val="00AE6580"/>
    <w:rsid w:val="00B06DE4"/>
    <w:rsid w:val="00B108DE"/>
    <w:rsid w:val="00B15ED9"/>
    <w:rsid w:val="00BB5606"/>
    <w:rsid w:val="00C01B92"/>
    <w:rsid w:val="00C17596"/>
    <w:rsid w:val="00C211D3"/>
    <w:rsid w:val="00C57B99"/>
    <w:rsid w:val="00DF1673"/>
    <w:rsid w:val="00EB5351"/>
    <w:rsid w:val="00F326A9"/>
    <w:rsid w:val="00F76412"/>
    <w:rsid w:val="00FA2397"/>
    <w:rsid w:val="00FB5C3C"/>
    <w:rsid w:val="00FC19B6"/>
    <w:rsid w:val="00FE3DB5"/>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footer" w:uiPriority="99"/>
    <w:lsdException w:name="caption" w:qFormat="1"/>
    <w:lsdException w:name="Hyperlink"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0" w:type="paragraph">
    <w:name w:val="Normal"/>
    <w:qFormat/>
    <w:rsid w:val="00401360"/>
    <w:pPr>
      <w:spacing w:after="0" w:line="300" w:lineRule="atLeast"/>
      <w:ind w:firstLine="425"/>
      <w:jc w:val="both"/>
    </w:pPr>
    <w:rPr>
      <w:rFonts w:ascii="Times New Roman" w:eastAsia="宋体" w:hAnsi="Times New Roman"/>
      <w:sz w:val="21"/>
    </w:rPr>
  </w:style>
  <w:style w:styleId="1" w:type="paragraph">
    <w:name w:val="heading 1"/>
    <w:basedOn w:val="a0"/>
    <w:next w:val="a1"/>
    <w:link w:val="10"/>
    <w:uiPriority w:val="9"/>
    <w:qFormat/>
    <w:rsid w:val="00646C57"/>
    <w:pPr>
      <w:keepNext/>
      <w:keepLines/>
      <w:widowControl w:val="0"/>
      <w:numPr>
        <w:ilvl w:val="1"/>
        <w:numId w:val="2"/>
      </w:numPr>
      <w:spacing w:after="100" w:afterLines="100" w:before="100" w:beforeLines="100" w:line="360" w:lineRule="auto"/>
      <w:outlineLvl w:val="0"/>
    </w:pPr>
    <w:rPr>
      <w:rFonts w:cstheme="majorBidi"/>
      <w:sz w:val="28"/>
      <w:szCs w:val="40"/>
    </w:rPr>
  </w:style>
  <w:style w:styleId="2" w:type="paragraph">
    <w:name w:val="heading 2"/>
    <w:basedOn w:val="a0"/>
    <w:next w:val="a1"/>
    <w:link w:val="20"/>
    <w:uiPriority w:val="9"/>
    <w:semiHidden/>
    <w:unhideWhenUsed/>
    <w:qFormat/>
    <w:rsid w:val="004631B3"/>
    <w:pPr>
      <w:widowControl w:val="0"/>
      <w:numPr>
        <w:ilvl w:val="2"/>
        <w:numId w:val="2"/>
      </w:numPr>
      <w:topLinePunct/>
      <w:spacing w:line="315" w:lineRule="atLeast"/>
      <w:outlineLvl w:val="1"/>
    </w:pPr>
    <w:rPr>
      <w:rFonts w:cstheme="majorBidi" w:eastAsia="黑体"/>
      <w:szCs w:val="32"/>
    </w:rPr>
  </w:style>
  <w:style w:styleId="3" w:type="paragraph">
    <w:name w:val="heading 3"/>
    <w:basedOn w:val="a0"/>
    <w:next w:val="a1"/>
    <w:link w:val="30"/>
    <w:uiPriority w:val="9"/>
    <w:unhideWhenUsed/>
    <w:qFormat/>
    <w:rsid w:val="004631B3"/>
    <w:pPr>
      <w:widowControl w:val="0"/>
      <w:numPr>
        <w:ilvl w:val="3"/>
        <w:numId w:val="2"/>
      </w:numPr>
      <w:topLinePunct/>
      <w:spacing w:line="315" w:lineRule="atLeast"/>
      <w:outlineLvl w:val="2"/>
    </w:pPr>
    <w:rPr>
      <w:rFonts w:cstheme="majorBidi" w:eastAsia="黑体"/>
      <w:szCs w:val="28"/>
    </w:rPr>
  </w:style>
  <w:style w:styleId="4" w:type="paragraph">
    <w:name w:val="heading 4"/>
    <w:basedOn w:val="3"/>
    <w:next w:val="a1"/>
    <w:link w:val="40"/>
    <w:uiPriority w:val="9"/>
    <w:unhideWhenUsed/>
    <w:qFormat/>
    <w:rsid w:val="00F326A9"/>
    <w:pPr>
      <w:numPr>
        <w:ilvl w:val="4"/>
      </w:numPr>
      <w:outlineLvl w:val="3"/>
    </w:pPr>
  </w:style>
  <w:style w:styleId="5" w:type="paragraph">
    <w:name w:val="heading 5"/>
    <w:basedOn w:val="3"/>
    <w:next w:val="a1"/>
    <w:link w:val="50"/>
    <w:uiPriority w:val="9"/>
    <w:unhideWhenUsed/>
    <w:qFormat/>
    <w:rsid w:val="00F326A9"/>
    <w:pPr>
      <w:keepNext/>
      <w:keepLines/>
      <w:numPr>
        <w:ilvl w:val="5"/>
      </w:numPr>
      <w:spacing w:after="40" w:before="80"/>
      <w:outlineLvl w:val="4"/>
    </w:pPr>
    <w:rPr>
      <w:rFonts w:eastAsiaTheme="majorEastAsia"/>
    </w:rPr>
  </w:style>
  <w:style w:styleId="6" w:type="paragraph">
    <w:name w:val="heading 6"/>
    <w:basedOn w:val="3"/>
    <w:next w:val="a1"/>
    <w:link w:val="60"/>
    <w:uiPriority w:val="9"/>
    <w:unhideWhenUsed/>
    <w:qFormat/>
    <w:rsid w:val="00F326A9"/>
    <w:pPr>
      <w:keepNext/>
      <w:keepLines/>
      <w:numPr>
        <w:ilvl w:val="6"/>
      </w:numPr>
      <w:spacing w:before="40"/>
      <w:outlineLvl w:val="5"/>
    </w:pPr>
    <w:rPr>
      <w:rFonts w:eastAsiaTheme="majorEastAsia"/>
    </w:rPr>
  </w:style>
  <w:style w:styleId="7" w:type="paragraph">
    <w:name w:val="heading 7"/>
    <w:basedOn w:val="3"/>
    <w:next w:val="a1"/>
    <w:link w:val="70"/>
    <w:uiPriority w:val="9"/>
    <w:unhideWhenUsed/>
    <w:qFormat/>
    <w:rsid w:val="00F326A9"/>
    <w:pPr>
      <w:keepNext/>
      <w:keepLines/>
      <w:numPr>
        <w:ilvl w:val="7"/>
      </w:numPr>
      <w:spacing w:before="40"/>
      <w:outlineLvl w:val="6"/>
    </w:pPr>
    <w:rPr>
      <w:rFonts w:eastAsiaTheme="majorEastAsia"/>
    </w:rPr>
  </w:style>
  <w:style w:styleId="8" w:type="paragraph">
    <w:name w:val="heading 8"/>
    <w:basedOn w:val="3"/>
    <w:next w:val="a1"/>
    <w:link w:val="80"/>
    <w:uiPriority w:val="9"/>
    <w:unhideWhenUsed/>
    <w:qFormat/>
    <w:rsid w:val="00F326A9"/>
    <w:pPr>
      <w:keepNext/>
      <w:keepLines/>
      <w:numPr>
        <w:ilvl w:val="8"/>
      </w:numPr>
      <w:outlineLvl w:val="7"/>
    </w:pPr>
    <w:rPr>
      <w:rFonts w:eastAsiaTheme="majorEastAsia"/>
    </w:rPr>
  </w:style>
  <w:style w:styleId="9" w:type="paragraph">
    <w:name w:val="heading 9"/>
    <w:basedOn w:val="3"/>
    <w:next w:val="a1"/>
    <w:link w:val="90"/>
    <w:uiPriority w:val="9"/>
    <w:semiHidden/>
    <w:unhideWhenUsed/>
    <w:qFormat/>
    <w:rsid w:val="00C17596"/>
    <w:pPr>
      <w:keepNext/>
      <w:keepLines/>
      <w:outlineLvl w:val="8"/>
    </w:pPr>
    <w:rPr>
      <w:rFonts w:eastAsiaTheme="majorEastAsia"/>
    </w:rPr>
  </w:style>
  <w:style w:default="1" w:styleId="a2" w:type="character">
    <w:name w:val="Default Paragraph Font"/>
    <w:uiPriority w:val="1"/>
    <w:semiHidden/>
    <w:unhideWhenUsed/>
  </w:style>
  <w:style w:default="1" w:styleId="a3" w:type="table">
    <w:name w:val="Normal Table"/>
    <w:uiPriority w:val="99"/>
    <w:semiHidden/>
    <w:unhideWhenUsed/>
    <w:tblPr>
      <w:tblInd w:type="dxa" w:w="0"/>
      <w:tblCellMar>
        <w:top w:type="dxa" w:w="0"/>
        <w:left w:type="dxa" w:w="108"/>
        <w:bottom w:type="dxa" w:w="0"/>
        <w:right w:type="dxa" w:w="108"/>
      </w:tblCellMar>
    </w:tblPr>
  </w:style>
  <w:style w:default="1" w:styleId="a4" w:type="numbering">
    <w:name w:val="No List"/>
    <w:uiPriority w:val="99"/>
    <w:semiHidden/>
    <w:unhideWhenUsed/>
  </w:style>
  <w:style w:styleId="a1" w:type="paragraph">
    <w:name w:val="Body Text"/>
    <w:basedOn w:val="a0"/>
    <w:qFormat/>
    <w:rsid w:val="00292E1A"/>
    <w:pPr>
      <w:widowControl w:val="0"/>
      <w:wordWrap w:val="0"/>
      <w:topLinePunct/>
      <w:snapToGrid w:val="0"/>
      <w:spacing w:after="20" w:afterLines="20" w:before="20" w:beforeLines="20"/>
    </w:pPr>
  </w:style>
  <w:style w:customStyle="1" w:styleId="FirstParagraph" w:type="paragraph">
    <w:name w:val="First Paragraph"/>
    <w:basedOn w:val="a1"/>
    <w:next w:val="a1"/>
    <w:qFormat/>
  </w:style>
  <w:style w:customStyle="1" w:styleId="Compact" w:type="paragraph">
    <w:name w:val="Compact"/>
    <w:basedOn w:val="a1"/>
    <w:qFormat/>
    <w:rsid w:val="00047C47"/>
    <w:pPr>
      <w:keepNext/>
      <w:keepLines/>
      <w:widowControl/>
      <w:spacing w:line="240" w:lineRule="auto"/>
      <w:ind w:firstLine="0"/>
      <w:jc w:val="center"/>
    </w:pPr>
  </w:style>
  <w:style w:styleId="a" w:type="paragraph">
    <w:name w:val="Title"/>
    <w:basedOn w:val="a0"/>
    <w:next w:val="a1"/>
    <w:link w:val="a5"/>
    <w:uiPriority w:val="10"/>
    <w:qFormat/>
    <w:rsid w:val="004631B3"/>
    <w:pPr>
      <w:numPr>
        <w:numId w:val="2"/>
      </w:numPr>
      <w:spacing w:after="100" w:afterLines="100" w:before="100" w:beforeLines="100"/>
      <w:contextualSpacing/>
      <w:jc w:val="center"/>
      <w:outlineLvl w:val="0"/>
    </w:pPr>
    <w:rPr>
      <w:rFonts w:cstheme="majorBidi" w:eastAsia="黑体"/>
      <w:sz w:val="44"/>
      <w:szCs w:val="56"/>
    </w:rPr>
  </w:style>
  <w:style w:customStyle="1" w:styleId="a5" w:type="character">
    <w:name w:val="标题 字符"/>
    <w:basedOn w:val="a2"/>
    <w:link w:val="a"/>
    <w:uiPriority w:val="10"/>
    <w:rsid w:val="004631B3"/>
    <w:rPr>
      <w:rFonts w:ascii="Times New Roman" w:cstheme="majorBidi" w:eastAsia="黑体" w:hAnsi="Times New Roman"/>
      <w:sz w:val="44"/>
      <w:szCs w:val="56"/>
    </w:rPr>
  </w:style>
  <w:style w:styleId="a6" w:type="paragraph">
    <w:name w:val="Subtitle"/>
    <w:basedOn w:val="a"/>
    <w:next w:val="a1"/>
    <w:link w:val="a7"/>
    <w:uiPriority w:val="11"/>
    <w:qFormat/>
    <w:rsid w:val="00077E88"/>
    <w:pPr>
      <w:widowControl w:val="0"/>
      <w:numPr>
        <w:ilvl w:val="1"/>
        <w:numId w:val="0"/>
      </w:numPr>
      <w:spacing w:before="0" w:beforeLines="0"/>
    </w:pPr>
    <w:rPr>
      <w:rFonts w:eastAsia="宋体"/>
      <w:spacing w:val="15"/>
      <w:sz w:val="21"/>
      <w:szCs w:val="28"/>
    </w:rPr>
  </w:style>
  <w:style w:customStyle="1" w:styleId="a7" w:type="character">
    <w:name w:val="副标题 字符"/>
    <w:basedOn w:val="a2"/>
    <w:link w:val="a6"/>
    <w:uiPriority w:val="11"/>
    <w:rsid w:val="00077E88"/>
    <w:rPr>
      <w:rFonts w:ascii="Times New Roman" w:cstheme="majorBidi" w:eastAsia="宋体" w:hAnsi="Times New Roman"/>
      <w:spacing w:val="15"/>
      <w:sz w:val="21"/>
      <w:szCs w:val="28"/>
    </w:rPr>
  </w:style>
  <w:style w:customStyle="1" w:styleId="Author" w:type="paragraph">
    <w:name w:val="Author"/>
    <w:basedOn w:val="a"/>
    <w:next w:val="a1"/>
    <w:qFormat/>
    <w:rsid w:val="000969BE"/>
    <w:pPr>
      <w:widowControl w:val="0"/>
      <w:spacing w:after="0" w:afterLines="0" w:before="0" w:beforeLines="0" w:line="313" w:lineRule="atLeast"/>
    </w:pPr>
    <w:rPr>
      <w:rFonts w:eastAsia="仿宋"/>
      <w:sz w:val="28"/>
      <w:szCs w:val="24"/>
    </w:rPr>
  </w:style>
  <w:style w:styleId="a8" w:type="paragraph">
    <w:name w:val="Date"/>
    <w:basedOn w:val="a"/>
    <w:next w:val="a1"/>
    <w:qFormat/>
    <w:pPr>
      <w:keepNext/>
      <w:keepLines/>
    </w:pPr>
    <w:rPr>
      <w:sz w:val="24"/>
      <w:szCs w:val="24"/>
    </w:rPr>
  </w:style>
  <w:style w:customStyle="1" w:styleId="AbstractTitle" w:type="paragraph">
    <w:name w:val="Abstract Title"/>
    <w:basedOn w:val="a0"/>
    <w:next w:val="Abstract"/>
    <w:link w:val="AbstractTitle0"/>
    <w:qFormat/>
    <w:rsid w:val="00886E22"/>
    <w:pPr>
      <w:widowControl w:val="0"/>
      <w:spacing w:line="290" w:lineRule="atLeast"/>
      <w:ind w:firstLine="0"/>
    </w:pPr>
    <w:rPr>
      <w:rFonts w:eastAsia="黑体"/>
      <w:sz w:val="20"/>
      <w:szCs w:val="20"/>
    </w:rPr>
  </w:style>
  <w:style w:customStyle="1" w:styleId="Abstract" w:type="paragraph">
    <w:name w:val="Abstract"/>
    <w:basedOn w:val="a0"/>
    <w:next w:val="a1"/>
    <w:qFormat/>
    <w:rsid w:val="00677C50"/>
    <w:pPr>
      <w:widowControl w:val="0"/>
      <w:adjustRightInd w:val="0"/>
      <w:snapToGrid w:val="0"/>
      <w:spacing w:after="20" w:afterLines="20" w:line="290" w:lineRule="atLeast"/>
      <w:ind w:firstLine="0"/>
    </w:pPr>
    <w:rPr>
      <w:sz w:val="18"/>
      <w:szCs w:val="20"/>
    </w:rPr>
  </w:style>
  <w:style w:styleId="a9" w:type="paragraph">
    <w:name w:val="Bibliography"/>
    <w:basedOn w:val="a0"/>
    <w:qFormat/>
    <w:rsid w:val="00174451"/>
    <w:pPr>
      <w:widowControl w:val="0"/>
      <w:tabs>
        <w:tab w:pos="442" w:val="left"/>
      </w:tabs>
      <w:topLinePunct/>
      <w:spacing w:line="260" w:lineRule="atLeast"/>
      <w:ind w:hanging="442" w:left="442"/>
    </w:pPr>
    <w:rPr>
      <w:kern w:val="2"/>
      <w:sz w:val="18"/>
    </w:rPr>
  </w:style>
  <w:style w:customStyle="1" w:styleId="10" w:type="character">
    <w:name w:val="标题 1 字符"/>
    <w:basedOn w:val="a2"/>
    <w:link w:val="1"/>
    <w:uiPriority w:val="9"/>
    <w:rsid w:val="00646C57"/>
    <w:rPr>
      <w:rFonts w:ascii="Times New Roman" w:cstheme="majorBidi" w:eastAsia="宋体" w:hAnsi="Times New Roman"/>
      <w:sz w:val="28"/>
      <w:szCs w:val="40"/>
    </w:rPr>
  </w:style>
  <w:style w:customStyle="1" w:styleId="20" w:type="character">
    <w:name w:val="标题 2 字符"/>
    <w:basedOn w:val="a2"/>
    <w:link w:val="2"/>
    <w:uiPriority w:val="9"/>
    <w:semiHidden/>
    <w:rsid w:val="004631B3"/>
    <w:rPr>
      <w:rFonts w:ascii="Times New Roman" w:cstheme="majorBidi" w:eastAsia="黑体" w:hAnsi="Times New Roman"/>
      <w:sz w:val="21"/>
      <w:szCs w:val="32"/>
    </w:rPr>
  </w:style>
  <w:style w:customStyle="1" w:styleId="30" w:type="character">
    <w:name w:val="标题 3 字符"/>
    <w:basedOn w:val="a2"/>
    <w:link w:val="3"/>
    <w:uiPriority w:val="9"/>
    <w:rsid w:val="004631B3"/>
    <w:rPr>
      <w:rFonts w:ascii="Times New Roman" w:cstheme="majorBidi" w:eastAsia="黑体" w:hAnsi="Times New Roman"/>
      <w:sz w:val="21"/>
      <w:szCs w:val="28"/>
    </w:rPr>
  </w:style>
  <w:style w:customStyle="1" w:styleId="40" w:type="character">
    <w:name w:val="标题 4 字符"/>
    <w:basedOn w:val="a2"/>
    <w:link w:val="4"/>
    <w:uiPriority w:val="9"/>
    <w:rsid w:val="00F326A9"/>
    <w:rPr>
      <w:rFonts w:ascii="Times New Roman" w:cstheme="majorBidi" w:eastAsia="黑体" w:hAnsi="Times New Roman"/>
      <w:sz w:val="21"/>
      <w:szCs w:val="28"/>
    </w:rPr>
  </w:style>
  <w:style w:customStyle="1" w:styleId="50" w:type="character">
    <w:name w:val="标题 5 字符"/>
    <w:basedOn w:val="a2"/>
    <w:link w:val="5"/>
    <w:uiPriority w:val="9"/>
    <w:rsid w:val="00F326A9"/>
    <w:rPr>
      <w:rFonts w:ascii="Times New Roman" w:cstheme="majorBidi" w:eastAsiaTheme="majorEastAsia" w:hAnsi="Times New Roman"/>
      <w:sz w:val="21"/>
      <w:szCs w:val="28"/>
    </w:rPr>
  </w:style>
  <w:style w:customStyle="1" w:styleId="60" w:type="character">
    <w:name w:val="标题 6 字符"/>
    <w:basedOn w:val="a2"/>
    <w:link w:val="6"/>
    <w:uiPriority w:val="9"/>
    <w:rsid w:val="00F326A9"/>
    <w:rPr>
      <w:rFonts w:ascii="Times New Roman" w:cstheme="majorBidi" w:eastAsiaTheme="majorEastAsia" w:hAnsi="Times New Roman"/>
      <w:sz w:val="21"/>
      <w:szCs w:val="28"/>
    </w:rPr>
  </w:style>
  <w:style w:customStyle="1" w:styleId="70" w:type="character">
    <w:name w:val="标题 7 字符"/>
    <w:basedOn w:val="a2"/>
    <w:link w:val="7"/>
    <w:uiPriority w:val="9"/>
    <w:rsid w:val="00F326A9"/>
    <w:rPr>
      <w:rFonts w:ascii="Times New Roman" w:cstheme="majorBidi" w:eastAsiaTheme="majorEastAsia" w:hAnsi="Times New Roman"/>
      <w:sz w:val="21"/>
      <w:szCs w:val="28"/>
    </w:rPr>
  </w:style>
  <w:style w:customStyle="1" w:styleId="80" w:type="character">
    <w:name w:val="标题 8 字符"/>
    <w:basedOn w:val="a2"/>
    <w:link w:val="8"/>
    <w:uiPriority w:val="9"/>
    <w:rsid w:val="00F326A9"/>
    <w:rPr>
      <w:rFonts w:ascii="Times New Roman" w:cstheme="majorBidi" w:eastAsiaTheme="majorEastAsia" w:hAnsi="Times New Roman"/>
      <w:sz w:val="21"/>
      <w:szCs w:val="28"/>
    </w:rPr>
  </w:style>
  <w:style w:customStyle="1" w:styleId="90" w:type="character">
    <w:name w:val="标题 9 字符"/>
    <w:basedOn w:val="a2"/>
    <w:link w:val="9"/>
    <w:uiPriority w:val="9"/>
    <w:semiHidden/>
    <w:rsid w:val="00C17596"/>
    <w:rPr>
      <w:rFonts w:ascii="Times New Roman" w:cstheme="majorBidi" w:eastAsiaTheme="majorEastAsia" w:hAnsi="Times New Roman"/>
      <w:sz w:val="21"/>
      <w:szCs w:val="28"/>
    </w:rPr>
  </w:style>
  <w:style w:styleId="aa" w:type="paragraph">
    <w:name w:val="Block Text"/>
    <w:basedOn w:val="a1"/>
    <w:next w:val="a1"/>
    <w:uiPriority w:val="9"/>
    <w:unhideWhenUsed/>
    <w:qFormat/>
    <w:pPr>
      <w:spacing w:after="100" w:before="100"/>
      <w:ind w:firstLine="0" w:left="480" w:right="480"/>
    </w:pPr>
  </w:style>
  <w:style w:styleId="ab" w:type="paragraph">
    <w:name w:val="footnote text"/>
    <w:basedOn w:val="a0"/>
    <w:uiPriority w:val="9"/>
    <w:unhideWhenUsed/>
    <w:qFormat/>
  </w:style>
  <w:style w:customStyle="1" w:styleId="FootnoteBlockText" w:type="paragraph">
    <w:name w:val="Footnote Block Text"/>
    <w:basedOn w:val="ab"/>
    <w:next w:val="ab"/>
    <w:uiPriority w:val="9"/>
    <w:unhideWhenUsed/>
    <w:qFormat/>
    <w:pPr>
      <w:spacing w:after="100" w:before="100"/>
      <w:ind w:firstLine="0" w:left="480" w:right="480"/>
    </w:pPr>
  </w:style>
  <w:style w:customStyle="1" w:styleId="Table" w:type="table">
    <w:name w:val="Table"/>
    <w:semiHidden/>
    <w:unhideWhenUsed/>
    <w:qFormat/>
    <w:rsid w:val="00047C47"/>
    <w:pPr>
      <w:keepNext/>
      <w:keepLines/>
      <w:adjustRightInd w:val="0"/>
      <w:snapToGrid w:val="0"/>
      <w:spacing w:after="0"/>
    </w:pPr>
    <w:tblPr>
      <w:jc w:val="center"/>
      <w:tblInd w:type="dxa" w:w="0"/>
      <w:tblCellMar>
        <w:top w:type="dxa" w:w="0"/>
        <w:left w:type="dxa" w:w="108"/>
        <w:bottom w:type="dxa" w:w="0"/>
        <w:right w:type="dxa" w:w="108"/>
      </w:tblCellMar>
    </w:tblPr>
    <w:trPr>
      <w:cantSplit/>
      <w:jc w:val="center"/>
    </w:trPr>
    <w:tcPr>
      <w:vAlign w:val="center"/>
    </w:tcPr>
    <w:tblStylePr w:type="firstRow">
      <w:tblPr/>
      <w:tcPr>
        <w:tcBorders>
          <w:bottom w:color="auto" w:space="0" w:sz="0" w:val="single"/>
        </w:tcBorders>
        <w:vAlign w:val="bottom"/>
      </w:tcPr>
    </w:tblStylePr>
  </w:style>
  <w:style w:customStyle="1" w:styleId="DefinitionTerm" w:type="paragraph">
    <w:name w:val="Definition Term"/>
    <w:basedOn w:val="a0"/>
    <w:next w:val="Definition"/>
    <w:pPr>
      <w:keepNext/>
      <w:keepLines/>
    </w:pPr>
    <w:rPr>
      <w:b/>
    </w:rPr>
  </w:style>
  <w:style w:customStyle="1" w:styleId="Definition" w:type="paragraph">
    <w:name w:val="Definition"/>
    <w:basedOn w:val="a0"/>
  </w:style>
  <w:style w:styleId="ac" w:type="paragraph">
    <w:name w:val="caption"/>
    <w:link w:val="ad"/>
    <w:qFormat/>
    <w:rsid w:val="004863D0"/>
    <w:pPr>
      <w:widowControl w:val="0"/>
      <w:spacing w:after="120" w:before="120" w:line="313" w:lineRule="atLeast"/>
      <w:jc w:val="center"/>
    </w:pPr>
    <w:rPr>
      <w:rFonts w:ascii="Times New Roman" w:eastAsia="宋体" w:hAnsi="Times New Roman"/>
      <w:sz w:val="18"/>
    </w:rPr>
  </w:style>
  <w:style w:customStyle="1" w:styleId="TableCaption" w:type="paragraph">
    <w:name w:val="Table Caption"/>
    <w:autoRedefine/>
    <w:qFormat/>
    <w:rsid w:val="00607B7F"/>
    <w:pPr>
      <w:keepNext/>
      <w:keepLines/>
      <w:adjustRightInd w:val="0"/>
      <w:spacing w:after="60" w:line="240" w:lineRule="atLeast"/>
      <w:jc w:val="center"/>
    </w:pPr>
    <w:rPr>
      <w:rFonts w:ascii="Times New Roman" w:eastAsia="黑体" w:hAnsi="Times New Roman"/>
      <w:b/>
      <w:sz w:val="18"/>
    </w:rPr>
  </w:style>
  <w:style w:customStyle="1" w:styleId="ImageCaption" w:type="paragraph">
    <w:name w:val="Image Caption"/>
    <w:autoRedefine/>
    <w:qFormat/>
    <w:rsid w:val="00F76412"/>
    <w:pPr>
      <w:keepNext/>
      <w:keepLines/>
      <w:spacing w:after="157"/>
      <w:jc w:val="center"/>
    </w:pPr>
    <w:rPr>
      <w:rFonts w:ascii="Times New Roman" w:eastAsia="宋体" w:hAnsi="Times New Roman"/>
      <w:sz w:val="18"/>
    </w:rPr>
  </w:style>
  <w:style w:customStyle="1" w:styleId="Figure" w:type="paragraph">
    <w:name w:val="Figure"/>
    <w:basedOn w:val="a0"/>
  </w:style>
  <w:style w:customStyle="1" w:styleId="CaptionedFigure" w:type="paragraph">
    <w:name w:val="Captioned Figure"/>
    <w:basedOn w:val="Figure"/>
    <w:pPr>
      <w:keepNext/>
    </w:pPr>
  </w:style>
  <w:style w:customStyle="1" w:styleId="ad" w:type="character">
    <w:name w:val="题注 字符"/>
    <w:basedOn w:val="a2"/>
    <w:link w:val="ac"/>
    <w:rsid w:val="004863D0"/>
    <w:rPr>
      <w:rFonts w:ascii="Times New Roman" w:eastAsia="宋体" w:hAnsi="Times New Roman"/>
      <w:sz w:val="18"/>
    </w:rPr>
  </w:style>
  <w:style w:customStyle="1" w:styleId="VerbatimChar" w:type="character">
    <w:name w:val="Verbatim Char"/>
    <w:basedOn w:val="ad"/>
    <w:rPr>
      <w:rFonts w:ascii="Consolas" w:eastAsia="宋体" w:hAnsi="Consolas"/>
      <w:sz w:val="22"/>
    </w:rPr>
  </w:style>
  <w:style w:customStyle="1" w:styleId="SectionNumber" w:type="character">
    <w:name w:val="Section Number"/>
    <w:basedOn w:val="ad"/>
    <w:rPr>
      <w:rFonts w:ascii="Times New Roman" w:eastAsia="宋体" w:hAnsi="Times New Roman"/>
      <w:sz w:val="18"/>
    </w:rPr>
  </w:style>
  <w:style w:styleId="ae" w:type="character">
    <w:name w:val="footnote reference"/>
    <w:basedOn w:val="ad"/>
    <w:rPr>
      <w:rFonts w:ascii="Times New Roman" w:eastAsia="宋体" w:hAnsi="Times New Roman"/>
      <w:sz w:val="18"/>
      <w:vertAlign w:val="superscript"/>
    </w:rPr>
  </w:style>
  <w:style w:styleId="af" w:type="character">
    <w:name w:val="Hyperlink"/>
    <w:basedOn w:val="ad"/>
    <w:qFormat/>
    <w:rsid w:val="004F155E"/>
    <w:rPr>
      <w:rFonts w:ascii="Times New Roman" w:eastAsia="宋体" w:hAnsi="Times New Roman"/>
      <w:color w:val="auto"/>
      <w:sz w:val="21"/>
    </w:rPr>
  </w:style>
  <w:style w:styleId="TOC" w:type="paragraph">
    <w:name w:val="TOC Heading"/>
    <w:basedOn w:val="1"/>
    <w:next w:val="a1"/>
    <w:uiPriority w:val="39"/>
    <w:unhideWhenUsed/>
    <w:qFormat/>
    <w:pPr>
      <w:spacing w:before="240" w:line="259" w:lineRule="auto"/>
      <w:outlineLvl w:val="9"/>
    </w:pPr>
    <w:rPr>
      <w:rFonts w:asciiTheme="majorHAnsi" w:eastAsiaTheme="majorEastAsia" w:hAnsiTheme="majorHAnsi"/>
      <w:color w:themeColor="accent1" w:themeShade="BF" w:val="0F4761"/>
    </w:rPr>
  </w:style>
  <w:style w:styleId="af0" w:type="paragraph">
    <w:name w:val="header"/>
    <w:basedOn w:val="a0"/>
    <w:link w:val="af1"/>
    <w:rsid w:val="00326C06"/>
    <w:pPr>
      <w:tabs>
        <w:tab w:pos="4153" w:val="center"/>
        <w:tab w:pos="8306" w:val="right"/>
      </w:tabs>
      <w:snapToGrid w:val="0"/>
      <w:jc w:val="center"/>
    </w:pPr>
    <w:rPr>
      <w:sz w:val="18"/>
      <w:szCs w:val="18"/>
    </w:rPr>
  </w:style>
  <w:style w:customStyle="1" w:styleId="af1" w:type="character">
    <w:name w:val="页眉 字符"/>
    <w:basedOn w:val="a2"/>
    <w:link w:val="af0"/>
    <w:rsid w:val="00326C06"/>
    <w:rPr>
      <w:sz w:val="18"/>
      <w:szCs w:val="18"/>
    </w:rPr>
  </w:style>
  <w:style w:styleId="af2" w:type="paragraph">
    <w:name w:val="footer"/>
    <w:basedOn w:val="a0"/>
    <w:link w:val="af3"/>
    <w:uiPriority w:val="99"/>
    <w:rsid w:val="00326C06"/>
    <w:pPr>
      <w:tabs>
        <w:tab w:pos="4153" w:val="center"/>
        <w:tab w:pos="8306" w:val="right"/>
      </w:tabs>
      <w:snapToGrid w:val="0"/>
    </w:pPr>
    <w:rPr>
      <w:sz w:val="18"/>
      <w:szCs w:val="18"/>
    </w:rPr>
  </w:style>
  <w:style w:customStyle="1" w:styleId="af3" w:type="character">
    <w:name w:val="页脚 字符"/>
    <w:basedOn w:val="a2"/>
    <w:link w:val="af2"/>
    <w:uiPriority w:val="99"/>
    <w:rsid w:val="00326C06"/>
    <w:rPr>
      <w:sz w:val="18"/>
      <w:szCs w:val="18"/>
    </w:rPr>
  </w:style>
  <w:style w:customStyle="1" w:styleId="EnglishTitle" w:type="paragraph">
    <w:name w:val="English Title"/>
    <w:basedOn w:val="a"/>
    <w:qFormat/>
    <w:rsid w:val="00C17596"/>
    <w:pPr>
      <w:widowControl w:val="0"/>
      <w:numPr>
        <w:numId w:val="0"/>
      </w:numPr>
      <w:snapToGrid w:val="0"/>
      <w:spacing w:line="12" w:lineRule="atLeast"/>
    </w:pPr>
    <w:rPr>
      <w:b/>
      <w:kern w:val="2"/>
      <w:sz w:val="30"/>
    </w:rPr>
  </w:style>
  <w:style w:styleId="81" w:type="paragraph">
    <w:name w:val="index 8"/>
    <w:basedOn w:val="a0"/>
    <w:next w:val="a0"/>
    <w:autoRedefine/>
    <w:rsid w:val="00C17596"/>
    <w:pPr>
      <w:ind w:firstLine="0" w:left="1400" w:leftChars="1400"/>
    </w:pPr>
  </w:style>
  <w:style w:customStyle="1" w:styleId="EnglishSubtitle" w:type="paragraph">
    <w:name w:val="English Subtitle"/>
    <w:basedOn w:val="a6"/>
    <w:qFormat/>
    <w:rsid w:val="00C57B99"/>
    <w:pPr>
      <w:keepNext/>
      <w:spacing w:line="312" w:lineRule="atLeast"/>
      <w:outlineLvl w:val="9"/>
    </w:pPr>
    <w:rPr>
      <w:spacing w:val="0"/>
      <w:kern w:val="2"/>
    </w:rPr>
  </w:style>
  <w:style w:customStyle="1" w:styleId="EnglishAuthor" w:type="paragraph">
    <w:name w:val="English Author"/>
    <w:basedOn w:val="EnglishSubtitle"/>
    <w:qFormat/>
    <w:rsid w:val="00C57B99"/>
    <w:pPr>
      <w:adjustRightInd w:val="0"/>
      <w:snapToGrid w:val="0"/>
      <w:contextualSpacing w:val="0"/>
    </w:pPr>
    <w:rPr>
      <w:sz w:val="24"/>
    </w:rPr>
  </w:style>
  <w:style w:customStyle="1" w:styleId="EnglishAbstract" w:type="paragraph">
    <w:name w:val="English Abstract"/>
    <w:basedOn w:val="Abstract"/>
    <w:qFormat/>
    <w:rsid w:val="00FC19B6"/>
    <w:rPr>
      <w:kern w:val="2"/>
    </w:rPr>
  </w:style>
  <w:style w:customStyle="1" w:styleId="EnglishAbstrctTitle" w:type="paragraph">
    <w:name w:val="English Abstrct Title"/>
    <w:basedOn w:val="AbstractTitle"/>
    <w:qFormat/>
    <w:rsid w:val="00231021"/>
    <w:rPr>
      <w:b/>
      <w:sz w:val="18"/>
    </w:rPr>
  </w:style>
  <w:style w:customStyle="1" w:styleId="BibliographyTitle" w:type="paragraph">
    <w:name w:val="Bibliography Title"/>
    <w:basedOn w:val="a0"/>
    <w:qFormat/>
    <w:rsid w:val="009E3A44"/>
    <w:pPr>
      <w:keepNext/>
      <w:keepLines/>
      <w:widowControl w:val="0"/>
      <w:adjustRightInd w:val="0"/>
      <w:spacing w:line="480" w:lineRule="auto"/>
      <w:ind w:firstLine="0"/>
      <w:jc w:val="center"/>
    </w:pPr>
    <w:rPr>
      <w:rFonts w:eastAsia="黑体"/>
      <w:kern w:val="2"/>
    </w:rPr>
  </w:style>
  <w:style w:customStyle="1" w:styleId="AbstractTitle0" w:type="character">
    <w:name w:val="Abstract Title 字符"/>
    <w:basedOn w:val="a2"/>
    <w:link w:val="AbstractTitle"/>
    <w:rsid w:val="003444A6"/>
    <w:rPr>
      <w:rFonts w:ascii="Times New Roman" w:eastAsia="黑体" w:hAnsi="Times New Roman"/>
      <w:sz w:val="20"/>
      <w:szCs w:val="20"/>
    </w:rPr>
  </w:style>
  <w:style w:customStyle="1" w:styleId="AbstractTitle2" w:type="character">
    <w:name w:val="Abstract Title2"/>
    <w:basedOn w:val="a2"/>
    <w:uiPriority w:val="1"/>
    <w:qFormat/>
    <w:rsid w:val="007853C2"/>
    <w:rPr>
      <w:rFonts w:ascii="Times New Roman" w:eastAsia="黑体" w:hAnsi="Times New Roman"/>
      <w:b w:val="0"/>
      <w:i w:val="0"/>
      <w:sz w:val="18"/>
    </w:rPr>
  </w:style>
  <w:style w:customStyle="1" w:styleId="EnglishAbstractTitle2" w:type="character">
    <w:name w:val="English Abstract Title2"/>
    <w:basedOn w:val="a2"/>
    <w:uiPriority w:val="1"/>
    <w:qFormat/>
    <w:rsid w:val="004C01EE"/>
    <w:rPr>
      <w:rFonts w:ascii="Times New Roman" w:eastAsia="黑体" w:hAnsi="Times New Roman"/>
      <w:b/>
      <w:sz w:val="18"/>
    </w:rPr>
  </w:style>
  <w:style w:customStyle="1" w:styleId="RefTitle" w:type="paragraph">
    <w:name w:val="RefTitle"/>
    <w:basedOn w:val="a1"/>
    <w:qFormat/>
    <w:rsid w:val="00FA2397"/>
    <w:pPr>
      <w:numPr>
        <w:numId w:val="2"/>
      </w:numPr>
      <w:spacing w:after="50" w:afterLines="50" w:before="50" w:beforeLines="50"/>
      <w:jc w:val="center"/>
    </w:pPr>
    <w:rPr>
      <w:rFonts w:eastAsia="黑体"/>
      <w:b/>
      <w:kern w:val="4"/>
      <w:sz w:val="24"/>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45" Type="http://schemas.openxmlformats.org/officeDocument/2006/relationships/image" Target="media/rId45.svg"/><Relationship Id="rId32" Type="http://schemas.openxmlformats.org/officeDocument/2006/relationships/image" Target="media/rId32.png"/><Relationship Id="rId28" Type="http://schemas.openxmlformats.org/officeDocument/2006/relationships/image" Target="media/rId28.png"/><Relationship Id="rId40" Type="http://schemas.openxmlformats.org/officeDocument/2006/relationships/image" Target="media/rId40.png"/><Relationship Id="rId36" Type="http://schemas.openxmlformats.org/officeDocument/2006/relationships/image" Target="media/rId36.png"/><Relationship Id="rId48" Type="http://schemas.openxmlformats.org/officeDocument/2006/relationships/image" Target="media/rId48.png"/><Relationship Id="rId69" Type="http://schemas.openxmlformats.org/officeDocument/2006/relationships/hyperlink" Target="https://doi.org/10.1016/j.ijforecast.2018.06.001" TargetMode="External"/><Relationship Id="rId71" Type="http://schemas.openxmlformats.org/officeDocument/2006/relationships/hyperlink" Target="https://doi.org/10.1080/09544828.2024.2302746" TargetMode="External"/><Relationship Id="rId88" Type="http://schemas.openxmlformats.org/officeDocument/2006/relationships/hyperlink" Target="https://doi.org/10.1109/ACCESS.2017.2677950" TargetMode="External"/><Relationship Id="rId63" Type="http://schemas.openxmlformats.org/officeDocument/2006/relationships/hyperlink" Target="https://doi.org/10.1111/ecog.02881" TargetMode="External"/><Relationship Id="rId58" Type="http://schemas.openxmlformats.org/officeDocument/2006/relationships/hyperlink" Target="https://doi.org/10.1145/2939672.2939785" TargetMode="External"/><Relationship Id="rId61" Type="http://schemas.openxmlformats.org/officeDocument/2006/relationships/hyperlink" Target="https://doi.org/10.13763/j.cnki.jhebnu.psse.2024.04.006" TargetMode="External"/><Relationship Id="rId86" Type="http://schemas.openxmlformats.org/officeDocument/2006/relationships/hyperlink" Target="https://doi.org/10.17762/ijritcc.v11i6.7725" TargetMode="External"/><Relationship Id="rId80" Type="http://schemas.openxmlformats.org/officeDocument/2006/relationships/hyperlink" Target="https://doi.org/10.3321/j.issn:1003-8728.2004.10.025" TargetMode="External"/><Relationship Id="rId67" Type="http://schemas.openxmlformats.org/officeDocument/2006/relationships/hyperlink" Target="https://doi.org/10.3354/cr030079" TargetMode="External"/><Relationship Id="rId78" Type="http://schemas.openxmlformats.org/officeDocument/2006/relationships/hyperlink" Target="https://doi.org/10.3969/j.issn.1006-5911.2003.11.003" TargetMode="External"/><Relationship Id="rId76" Type="http://schemas.openxmlformats.org/officeDocument/2006/relationships/hyperlink" Target="https://doi.org/10.3969/j.issn.1009-0134.2003.06.003" TargetMode="External"/><Relationship Id="rId82" Type="http://schemas.openxmlformats.org/officeDocument/2006/relationships/hyperlink" Target="https://doi.org/10.3969/j.issn.1671-7872.2011.03.012" TargetMode="External"/><Relationship Id="rId84" Type="http://schemas.openxmlformats.org/officeDocument/2006/relationships/hyperlink" Target="https://doi.org/10.3969/j.issn.2095-2783.2009.02.012" TargetMode="External"/><Relationship Id="rId65" Type="http://schemas.openxmlformats.org/officeDocument/2006/relationships/hyperlink" Target="https://doi.org/10.5194/gmd-7-1247-2014" TargetMode="External"/></Relationships>
</file>

<file path=word/_rels/footnotes.xml.rels><?xml version='1.0' encoding='UTF-8' standalone='yes'?>
<Relationships xmlns="http://schemas.openxmlformats.org/package/2006/relationships"><Relationship Id="rId69" Type="http://schemas.openxmlformats.org/officeDocument/2006/relationships/hyperlink" Target="https://doi.org/10.1016/j.ijforecast.2018.06.001" TargetMode="External"/><Relationship Id="rId71" Type="http://schemas.openxmlformats.org/officeDocument/2006/relationships/hyperlink" Target="https://doi.org/10.1080/09544828.2024.2302746" TargetMode="External"/><Relationship Id="rId88" Type="http://schemas.openxmlformats.org/officeDocument/2006/relationships/hyperlink" Target="https://doi.org/10.1109/ACCESS.2017.2677950" TargetMode="External"/><Relationship Id="rId63" Type="http://schemas.openxmlformats.org/officeDocument/2006/relationships/hyperlink" Target="https://doi.org/10.1111/ecog.02881" TargetMode="External"/><Relationship Id="rId58" Type="http://schemas.openxmlformats.org/officeDocument/2006/relationships/hyperlink" Target="https://doi.org/10.1145/2939672.2939785" TargetMode="External"/><Relationship Id="rId61" Type="http://schemas.openxmlformats.org/officeDocument/2006/relationships/hyperlink" Target="https://doi.org/10.13763/j.cnki.jhebnu.psse.2024.04.006" TargetMode="External"/><Relationship Id="rId86" Type="http://schemas.openxmlformats.org/officeDocument/2006/relationships/hyperlink" Target="https://doi.org/10.17762/ijritcc.v11i6.7725" TargetMode="External"/><Relationship Id="rId80" Type="http://schemas.openxmlformats.org/officeDocument/2006/relationships/hyperlink" Target="https://doi.org/10.3321/j.issn:1003-8728.2004.10.025" TargetMode="External"/><Relationship Id="rId67" Type="http://schemas.openxmlformats.org/officeDocument/2006/relationships/hyperlink" Target="https://doi.org/10.3354/cr030079" TargetMode="External"/><Relationship Id="rId78" Type="http://schemas.openxmlformats.org/officeDocument/2006/relationships/hyperlink" Target="https://doi.org/10.3969/j.issn.1006-5911.2003.11.003" TargetMode="External"/><Relationship Id="rId76" Type="http://schemas.openxmlformats.org/officeDocument/2006/relationships/hyperlink" Target="https://doi.org/10.3969/j.issn.1009-0134.2003.06.003" TargetMode="External"/><Relationship Id="rId82" Type="http://schemas.openxmlformats.org/officeDocument/2006/relationships/hyperlink" Target="https://doi.org/10.3969/j.issn.1671-7872.2011.03.012" TargetMode="External"/><Relationship Id="rId84" Type="http://schemas.openxmlformats.org/officeDocument/2006/relationships/hyperlink" Target="https://doi.org/10.3969/j.issn.2095-2783.2009.02.012" TargetMode="External"/><Relationship Id="rId65" Type="http://schemas.openxmlformats.org/officeDocument/2006/relationships/hyperlink" Target="https://doi.org/10.5194/gmd-7-1247-20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1114</TotalTime>
  <Pages>1</Pages>
  <Words>53</Words>
  <Characters>304</Characters>
  <Application>Microsoft Office Word</Application>
  <DocSecurity>0</DocSecurity>
  <Lines>2</Lines>
  <Paragraphs>1</Paragraphs>
  <ScaleCrop>false</ScaleCrop>
  <Company/>
  <LinksUpToDate>false</LinksUpToDate>
  <CharactersWithSpaces>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利用机器学习预测春运人流量的实例与思考</dc:title>
  <dc:creator>张瀚巍1</dc:creator>
  <cp:keywords/>
  <dcterms:created xsi:type="dcterms:W3CDTF">2026-06-16T05:03:36Z</dcterms:created>
  <dcterms:modified xsi:type="dcterms:W3CDTF">2026-06-16T05:03:36Z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itation-style">
    <vt:lpwstr>GB-T-7714_2025_顺序编码_双语_无URL_无DOI_.csl</vt:lpwstr>
  </property>
  <property fmtid="{D5CDD505-2E9C-101B-9397-08002B2CF9AE}" pid="7" name="crossref">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citations">
    <vt:lpwstr>True</vt:lpwstr>
  </property>
  <property fmtid="{D5CDD505-2E9C-101B-9397-08002B2CF9AE}" pid="14" name="tbl-cap-location">
    <vt:lpwstr>top</vt:lpwstr>
  </property>
  <property fmtid="{D5CDD505-2E9C-101B-9397-08002B2CF9AE}" pid="15" name="toc-title">
    <vt:lpwstr>目录</vt:lpwstr>
  </property>
</Properties>
</file>