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ANEXO I: Desenvolvimento das contas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Explicite aqui as contas referentes ao tratamento dos dados coletados. Pode ser preenchido à mão. </w:t>
      </w:r>
    </w:p>
    <w:p w:rsidR="00000000" w:rsidDel="00000000" w:rsidP="00000000" w:rsidRDefault="00000000" w:rsidRPr="00000000" w14:paraId="00000004">
      <w:pPr>
        <w:pBdr>
          <w:left w:color="auto" w:space="0" w:sz="0" w:val="none"/>
          <w:right w:color="auto" w:space="0" w:sz="0" w:val="non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ANEXO II: Planilhas de incertezas 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Construa aqui a(s) planilha(s) de incertezas pertinente(s) ao experimento. </w:t>
      </w:r>
    </w:p>
    <w:p w:rsidR="00000000" w:rsidDel="00000000" w:rsidP="00000000" w:rsidRDefault="00000000" w:rsidRPr="00000000" w14:paraId="00000008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Tabela 1 – Tabela de Incertezas Associadas à Medida de Distensão da Mola </w:t>
      </w:r>
    </w:p>
    <w:p w:rsidR="00000000" w:rsidDel="00000000" w:rsidP="00000000" w:rsidRDefault="00000000" w:rsidRPr="00000000" w14:paraId="0000000A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93.988254137747"/>
        <w:gridCol w:w="2553.6358782701545"/>
        <w:gridCol w:w="2268.788040576615"/>
        <w:gridCol w:w="2643.587827015483"/>
        <w:tblGridChange w:id="0">
          <w:tblGrid>
            <w:gridCol w:w="1893.988254137747"/>
            <w:gridCol w:w="2553.6358782701545"/>
            <w:gridCol w:w="2268.788040576615"/>
            <w:gridCol w:w="2643.587827015483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Componente de incerteza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Incerteza-padrão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f.d.p.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Tipo de avaliação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Leitura da régua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Triangular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 </w:t>
            </w:r>
          </w:p>
        </w:tc>
      </w:tr>
      <w:tr>
        <w:trPr>
          <w:trHeight w:val="138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Efeito paralaxe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Retangular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B </w:t>
            </w:r>
          </w:p>
        </w:tc>
      </w:tr>
    </w:tbl>
    <w:p w:rsidR="00000000" w:rsidDel="00000000" w:rsidP="00000000" w:rsidRDefault="00000000" w:rsidRPr="00000000" w14:paraId="00000017">
      <w:pPr>
        <w:pBdr>
          <w:left w:color="auto" w:space="0" w:sz="0" w:val="none"/>
          <w:right w:color="auto" w:space="0" w:sz="0" w:val="non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Incerteza-padrão combinada: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Δx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left w:color="auto" w:space="0" w:sz="0" w:val="none"/>
          <w:right w:color="auto" w:space="0" w:sz="0" w:val="none"/>
        </w:pBd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Tabela 2 – Tabela de Incertezas Associadas à Medida da Força da Mola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845.7023933402704"/>
        <w:gridCol w:w="1684.9947970863684"/>
        <w:gridCol w:w="2021.0197710718"/>
        <w:gridCol w:w="1845.7023933402704"/>
        <w:gridCol w:w="1962.5806451612902"/>
        <w:tblGridChange w:id="0">
          <w:tblGrid>
            <w:gridCol w:w="1845.7023933402704"/>
            <w:gridCol w:w="1684.9947970863684"/>
            <w:gridCol w:w="2021.0197710718"/>
            <w:gridCol w:w="1845.7023933402704"/>
            <w:gridCol w:w="1962.5806451612902"/>
          </w:tblGrid>
        </w:tblGridChange>
      </w:tblGrid>
      <w:tr>
        <w:trPr>
          <w:trHeight w:val="13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Componente de incerteza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Símbolo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Incerteza-padrão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f.d.p.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4"/>
                <w:szCs w:val="24"/>
                <w:rtl w:val="0"/>
              </w:rPr>
              <w:t xml:space="preserve">Tipo de avaliação</w:t>
            </w: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trHeight w:val="110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Times New Roman" w:cs="Times New Roman" w:eastAsia="Times New Roman" w:hAnsi="Times New Roman"/>
                <w:sz w:val="19"/>
                <w:szCs w:val="19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32"/>
                <w:szCs w:val="32"/>
                <w:vertAlign w:val="subscript"/>
                <w:rtl w:val="0"/>
              </w:rPr>
              <w:t xml:space="preserve">régua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9"/>
                <w:szCs w:val="19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     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     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left w:color="auto" w:space="0" w:sz="0" w:val="none"/>
                <w:right w:color="auto" w:space="0" w:sz="0" w:val="none"/>
              </w:pBdr>
              <w:jc w:val="center"/>
              <w:rPr>
                <w:rFonts w:ascii="Cambria" w:cs="Cambria" w:eastAsia="Cambria" w:hAnsi="Cambria"/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sz w:val="24"/>
                <w:szCs w:val="24"/>
                <w:rtl w:val="0"/>
              </w:rPr>
              <w:t xml:space="preserve">      </w:t>
            </w:r>
          </w:p>
        </w:tc>
      </w:tr>
    </w:tbl>
    <w:p w:rsidR="00000000" w:rsidDel="00000000" w:rsidP="00000000" w:rsidRDefault="00000000" w:rsidRPr="00000000" w14:paraId="00000024">
      <w:pPr>
        <w:pBdr>
          <w:left w:color="auto" w:space="0" w:sz="0" w:val="none"/>
          <w:right w:color="auto" w:space="0" w:sz="0" w:val="none"/>
        </w:pBd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Incerteza-padrão combinada: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vertAlign w:val="subscript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) =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left w:color="auto" w:space="0" w:sz="0" w:val="none"/>
          <w:right w:color="auto" w:space="0" w:sz="0" w:val="none"/>
        </w:pBdr>
        <w:spacing w:line="285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ANEXO III: Resultados experimentais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Utilizando-se de tabelas, apresente os seus dados experimentais no formato: (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valor mais provável para o mensurando 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±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 incerteza) unidade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C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ANEXO IV: Comparação dos resultados</w:t>
      </w:r>
      <w:r w:rsidDel="00000000" w:rsidR="00000000" w:rsidRPr="00000000">
        <w:rPr>
          <w:rFonts w:ascii="Cambria" w:cs="Cambria" w:eastAsia="Cambria" w:hAnsi="Cambria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Bdr>
          <w:left w:color="auto" w:space="0" w:sz="0" w:val="none"/>
          <w:right w:color="auto" w:space="0" w:sz="0" w:val="none"/>
        </w:pBdr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left w:color="auto" w:space="0" w:sz="0" w:val="none"/>
          <w:right w:color="auto" w:space="0" w:sz="0" w:val="none"/>
        </w:pBdr>
        <w:spacing w:line="307.56300000000005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Compare aqui, fazendo uso de uma representação gráfica, os resultados previstos pelos dois modelos para a combinação em série das molas e aquele obtido experimentalmente.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