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440000" cy="1491341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91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                  </w:t>
      </w:r>
      <w:r w:rsidDel="00000000" w:rsidR="00000000" w:rsidRPr="00000000">
        <w:rPr/>
        <w:drawing>
          <wp:inline distB="0" distT="0" distL="0" distR="0">
            <wp:extent cx="1440000" cy="1440000"/>
            <wp:effectExtent b="0" l="0" r="0" t="0"/>
            <wp:docPr id="5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                     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90"/>
          <w:szCs w:val="90"/>
        </w:rPr>
      </w:pPr>
      <w:r w:rsidDel="00000000" w:rsidR="00000000" w:rsidRPr="00000000">
        <w:rPr>
          <w:sz w:val="90"/>
          <w:szCs w:val="90"/>
          <w:rtl w:val="0"/>
        </w:rPr>
        <w:t xml:space="preserve">Grupo 13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Pilha de Leclanché</w:t>
        <w:br w:type="textWrapping"/>
        <w:t xml:space="preserve">(Zinco - Dióxido de Manganês)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Pedro Sader Azevedo 243245</w:t>
      </w:r>
    </w:p>
    <w:p w:rsidR="00000000" w:rsidDel="00000000" w:rsidP="00000000" w:rsidRDefault="00000000" w:rsidRPr="00000000" w14:paraId="00000007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Bruno Henrique Emídio Leite 214017</w:t>
        <w:br w:type="textWrapping"/>
        <w:t xml:space="preserve">Isabela Marcondes de Melo 218117</w:t>
        <w:br w:type="textWrapping"/>
        <w:t xml:space="preserve">Nicolas Bissoli Nattis 222903</w:t>
      </w:r>
    </w:p>
    <w:p w:rsidR="00000000" w:rsidDel="00000000" w:rsidP="00000000" w:rsidRDefault="00000000" w:rsidRPr="00000000" w14:paraId="00000009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QG111</w:t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Prof. Dr. Pablo Sebastián Fernández</w:t>
      </w:r>
    </w:p>
    <w:p w:rsidR="00000000" w:rsidDel="00000000" w:rsidP="00000000" w:rsidRDefault="00000000" w:rsidRPr="00000000" w14:paraId="0000000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Sr. Rafael Alcides Vicente (PAD)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Funcionamento da Pilha de Zinco - Dióxido de Manganês</w:t>
      </w:r>
    </w:p>
    <w:p w:rsidR="00000000" w:rsidDel="00000000" w:rsidP="00000000" w:rsidRDefault="00000000" w:rsidRPr="00000000" w14:paraId="0000000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Possíveis Nomenclaturas e Composição</w:t>
      </w:r>
    </w:p>
    <w:p w:rsidR="00000000" w:rsidDel="00000000" w:rsidP="00000000" w:rsidRDefault="00000000" w:rsidRPr="00000000" w14:paraId="0000000E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2333625" cy="232918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997" l="41904" r="14921" t="1521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29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[1]</w:t>
      </w:r>
      <w:r w:rsidDel="00000000" w:rsidR="00000000" w:rsidRPr="00000000">
        <w:rPr>
          <w:sz w:val="20"/>
          <w:szCs w:val="20"/>
          <w:rtl w:val="0"/>
        </w:rPr>
        <w:t xml:space="preserve">: arranjo da Pilha de Leclanché, em que se traduz de cima para baixo “Ânodo (revestimento interior de zinco)”, “Cátodo (bastão de grafite)”, “Pasta de MnO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, NH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4</w:t>
      </w:r>
      <w:r w:rsidDel="00000000" w:rsidR="00000000" w:rsidRPr="00000000">
        <w:rPr>
          <w:sz w:val="20"/>
          <w:szCs w:val="20"/>
          <w:rtl w:val="0"/>
        </w:rPr>
        <w:t xml:space="preserve">Cl e carbono”.</w:t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Pilha de Leclanché, apelidada em homenagem ao seu inventor Georges Leclanché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[2]</w:t>
      </w:r>
      <w:r w:rsidDel="00000000" w:rsidR="00000000" w:rsidRPr="00000000">
        <w:rPr>
          <w:sz w:val="24"/>
          <w:szCs w:val="24"/>
          <w:rtl w:val="0"/>
        </w:rPr>
        <w:t xml:space="preserve">, é uma célula eletroquímica que produz diferença de potencial a partir da oxidação do zinco metálico (Zn) e da redução do dióxido de manganês (</w:t>
      </w:r>
      <w:r w:rsidDel="00000000" w:rsidR="00000000" w:rsidRPr="00000000">
        <w:rPr>
          <w:sz w:val="24"/>
          <w:szCs w:val="24"/>
          <w:rtl w:val="0"/>
        </w:rPr>
        <w:t xml:space="preserve">MnO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). São outras denominações possíveis pilha comum, pilha seca e pilha ácida. Essa última se deve à presença de cloreto de amônio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[3]</w:t>
      </w:r>
      <w:r w:rsidDel="00000000" w:rsidR="00000000" w:rsidRPr="00000000">
        <w:rPr>
          <w:sz w:val="24"/>
          <w:szCs w:val="24"/>
          <w:rtl w:val="0"/>
        </w:rPr>
        <w:t xml:space="preserve"> (NH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Cl) que possui caráter ácido por seu ânion Cl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ser </w:t>
      </w:r>
      <w:r w:rsidDel="00000000" w:rsidR="00000000" w:rsidRPr="00000000">
        <w:rPr>
          <w:sz w:val="24"/>
          <w:szCs w:val="24"/>
          <w:rtl w:val="0"/>
        </w:rPr>
        <w:t xml:space="preserve">derivado do ácido forte HCl e seu cátion NH</w:t>
      </w:r>
      <w:r w:rsidDel="00000000" w:rsidR="00000000" w:rsidRPr="00000000">
        <w:rPr>
          <w:sz w:val="16"/>
          <w:szCs w:val="16"/>
          <w:rtl w:val="0"/>
        </w:rPr>
        <w:t xml:space="preserve">4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 ser derivado da base fraca NH</w:t>
      </w:r>
      <w:r w:rsidDel="00000000" w:rsidR="00000000" w:rsidRPr="00000000">
        <w:rPr>
          <w:sz w:val="16"/>
          <w:szCs w:val="16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OH.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pilha é construída com um eletrodo positivo (cátodo) de grafite - material escolhido por ser, além de bom condutor elétrico, abundante e inerte. Ele é mergulhado numa solução pastosa eletrolítica de cloreto de amônio, dióxido de manganês e carvão em pó. Fica separado dessa mistura por um papel poroso o eletrodo negativo (ânodo) da pilha, que consiste em um envoltório de zinco metálico.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[4]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Reações eletroquímicas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pasta úmida descrita anteriormente atua como eletrólito, pois a presença de íons livres (como </w:t>
      </w:r>
      <w:r w:rsidDel="00000000" w:rsidR="00000000" w:rsidRPr="00000000">
        <w:rPr>
          <w:sz w:val="24"/>
          <w:szCs w:val="24"/>
          <w:rtl w:val="0"/>
        </w:rPr>
        <w:t xml:space="preserve">NH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 e Cl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) a torna condutora de eletricidade. Por isso, o contato do zinco metálico com essa solução promove sua oxidação para a sua forma iônica mais comum, de carga 2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. Assim, dois mols de elétrons são liberados para cada mol de zinco metálico, como mostra a semirreação de oxidação (I)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[5]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4">
      <w:pPr>
        <w:rPr>
          <w:sz w:val="24"/>
          <w:szCs w:val="24"/>
          <w:vertAlign w:val="superscript"/>
        </w:rPr>
      </w:pPr>
      <w:r w:rsidDel="00000000" w:rsidR="00000000" w:rsidRPr="00000000">
        <w:rPr>
          <w:sz w:val="24"/>
          <w:szCs w:val="24"/>
          <w:rtl w:val="0"/>
        </w:rPr>
        <w:t xml:space="preserve">(I)  Zn</w:t>
      </w:r>
      <w:r w:rsidDel="00000000" w:rsidR="00000000" w:rsidRPr="00000000">
        <w:rPr>
          <w:sz w:val="24"/>
          <w:szCs w:val="24"/>
          <w:rtl w:val="0"/>
        </w:rPr>
        <w:t xml:space="preserve">(s)</w:t>
      </w:r>
      <w:r w:rsidDel="00000000" w:rsidR="00000000" w:rsidRPr="00000000">
        <w:rPr>
          <w:sz w:val="24"/>
          <w:szCs w:val="24"/>
          <w:rtl w:val="0"/>
        </w:rPr>
        <w:t xml:space="preserve"> → Zn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2+</w:t>
      </w:r>
      <w:r w:rsidDel="00000000" w:rsidR="00000000" w:rsidRPr="00000000">
        <w:rPr>
          <w:sz w:val="24"/>
          <w:szCs w:val="24"/>
          <w:rtl w:val="0"/>
        </w:rPr>
        <w:t xml:space="preserve">(aq)</w:t>
      </w:r>
      <w:r w:rsidDel="00000000" w:rsidR="00000000" w:rsidRPr="00000000">
        <w:rPr>
          <w:sz w:val="24"/>
          <w:szCs w:val="24"/>
          <w:rtl w:val="0"/>
        </w:rPr>
        <w:t xml:space="preserve"> + 2e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-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Esses dois elétrons são utilizados na reação de redução do manganês, que tem número de oxidação +4 enquanto reagente e +3 enquanto produto. Isso é atestado pela semirreação de redução (II)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[5]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(II) 2MnO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(aq)</w:t>
      </w:r>
      <w:r w:rsidDel="00000000" w:rsidR="00000000" w:rsidRPr="00000000">
        <w:rPr>
          <w:sz w:val="24"/>
          <w:szCs w:val="24"/>
          <w:rtl w:val="0"/>
        </w:rPr>
        <w:t xml:space="preserve"> + 2NH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(aq)  + 2e-  → Mn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(s) + 2NH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(g) + 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O(l)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Somando-se a equação da reação (I) com a equação da reação (II) obtém-se a reação global (III)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[5]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(III) Zn(s) + 2 MnO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(aq) + 2 NH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(aq) → Zn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2+</w:t>
      </w:r>
      <w:r w:rsidDel="00000000" w:rsidR="00000000" w:rsidRPr="00000000">
        <w:rPr>
          <w:sz w:val="24"/>
          <w:szCs w:val="24"/>
          <w:rtl w:val="0"/>
        </w:rPr>
        <w:t xml:space="preserve">(aq) + 1 Mn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(s) + 2NH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(g)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entanto, os íons zinco da solução podem reagir com a amônia e com os íons cloreto, de forma que os processos químicos podem ser representados de forma mais completa na seguinte equação (IV)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[5]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(IV) Zn(s) + 2MnO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(aq) + NH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Cl → Mn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(aq) + Zn(NH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Cl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(aq) + 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O(l)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Limitações e desvantagens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maior desvantagem da pilha comum é a impossibilidade de recarregá-la. Isso ocorre, pois a formação de trióxido de manganês (Mn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) é uma reação irreversível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[6]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Ademais, o uso prolongado da pilha pode causar acumulação de amônia (NH</w:t>
      </w:r>
      <w:r w:rsidDel="00000000" w:rsidR="00000000" w:rsidRPr="00000000">
        <w:rPr>
          <w:sz w:val="20"/>
          <w:szCs w:val="20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) no bastão de grafite, que isola o eletrodo e diminui temporariamente a tensão da célula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[6]</w:t>
      </w:r>
      <w:r w:rsidDel="00000000" w:rsidR="00000000" w:rsidRPr="00000000">
        <w:rPr>
          <w:sz w:val="24"/>
          <w:szCs w:val="24"/>
          <w:rtl w:val="0"/>
        </w:rPr>
        <w:t xml:space="preserve">. Eventualmente os íons zinco consomem essa amônia e o funcionamento da pilha é normalizado. Uma maneira mais rápida de reverter a perda de eficiência é esfriando a pilha, pois a solubilidade de gases como a amônia é inversamente proporcional à temperatura. Assim, a amônia volta a se dissolver na pasta úmida. 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o revestimento de zinco é gradualmente corroído, na medida que o uso da pilha oxida sua forma metálica para sua forma iônica. Uma possível consequência disso é o vazamento da pasta do invólucro da pilha, que pode danificar eletrônicos em que ela estiver inserida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[6]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Elementos essenciais para a Pilha: zinco e manganês</w:t>
      </w:r>
    </w:p>
    <w:p w:rsidR="00000000" w:rsidDel="00000000" w:rsidP="00000000" w:rsidRDefault="00000000" w:rsidRPr="00000000" w14:paraId="0000002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Justificativa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elementos zinco e manganês podem ser considerados os mais importantes para a Pilha de Leclanché. Isso pois o zinco metálico tem o papel de agente redutor, já que é oxidado para fornecer elétrons para o manganês, como visto na reação (I). O manganês tem a função de agente oxidante, pois é reduzido ao receber elétrons dos átomos de zinco, como visto na reação (II).</w:t>
      </w:r>
    </w:p>
    <w:p w:rsidR="00000000" w:rsidDel="00000000" w:rsidP="00000000" w:rsidRDefault="00000000" w:rsidRPr="00000000" w14:paraId="0000002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Estrutura Atômica do manganês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fim de estudar em detalhes o manganês, convém construir um diagrama de sua estrutura atômica. Com tal propósito, o número atômico (Z) e o número de massa (A) foram extraídos da tabela periódica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[7]</w:t>
      </w:r>
      <w:r w:rsidDel="00000000" w:rsidR="00000000" w:rsidRPr="00000000">
        <w:rPr>
          <w:sz w:val="24"/>
          <w:szCs w:val="24"/>
          <w:rtl w:val="0"/>
        </w:rPr>
        <w:t xml:space="preserve"> como 25 e 55, respectivamente. Sabemos, portanto, que o número de nêutrons do manganês é geralmente 30 e o número prótons é sempre 25. Quando possui carga neutra, a quantidade de elétrons é equivalente à de prótons e, portanto, também igual a 25. Usando o diagrama de Linus Pauling, é possível deduzir a distribuição eletrônica (da camada mais interna à camada mais externa) como 2, 8, 13, 2. É consenso que a posição exata de um elétron em certo instante é indeterminável, então assumimos disposição homogênea em cada camada eletrônica para o propósito de representação gráfica. Segue abaixo o resultado desse estudo:</w:t>
      </w:r>
    </w:p>
    <w:p w:rsidR="00000000" w:rsidDel="00000000" w:rsidP="00000000" w:rsidRDefault="00000000" w:rsidRPr="00000000" w14:paraId="00000026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06078" cy="294715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9243" l="33965" r="34034" t="31423"/>
                    <a:stretch>
                      <a:fillRect/>
                    </a:stretch>
                  </pic:blipFill>
                  <pic:spPr>
                    <a:xfrm>
                      <a:off x="0" y="0"/>
                      <a:ext cx="2906078" cy="2947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Figura 2: Nesse diagrama, a cor vermelha empregada no núcleo representa carga positiva, enquanto a cor azul utilizada nos elétrons representa carga negativa.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Componente ideal para repetição do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experimento de Rutherford</w:t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experimento de Rutherford, ou experimento Geiger–Marsden, é um dos mais importantes da história da Química. Ele consistiu no bombardeamento de uma folha de ouro com partículas alfa, que possuem carga positiva, frente a um anteparo capaz de detectar esse tipo de radiação. Nessa montagem, observou-se que a maioria das partículas atravessavam a folha de ouro sem desvio , que algumas tiveram suas trajetórias anguladas e que pouquíssimas foram refletidas. Assim, foi comprovado que grande parte da massa dos átomos é concentrada em uma região densa de carga positiva (o núcleo), que é rodeada por uma esparsa área de carga negativa (a eletrosfera). 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Nessa experiência, o ouro foi escolhido por ser inerte e facilmente moldável em folhas finas (devido à sua alta maleabilidade). Rutherford documentou que a espessura da folha deveria se aproximar de 0.00004 cm para repetir os resultados obtidos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[8]</w:t>
      </w:r>
      <w:r w:rsidDel="00000000" w:rsidR="00000000" w:rsidRPr="00000000">
        <w:rPr>
          <w:sz w:val="24"/>
          <w:szCs w:val="24"/>
          <w:rtl w:val="0"/>
        </w:rPr>
        <w:t xml:space="preserve">. Com esse critério em mente, o zinco é o elemento da pilha que poderia substituir o ouro com menos compromissos, pois  é maleável, inerte e com raio atômico (139) próximo ao do ouro (166).</w:t>
      </w:r>
    </w:p>
    <w:p w:rsidR="00000000" w:rsidDel="00000000" w:rsidP="00000000" w:rsidRDefault="00000000" w:rsidRPr="00000000" w14:paraId="0000002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Números Atômico e de Massa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zinco tem número de massa médio de 65.39 e número atômico 30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[7]</w:t>
      </w:r>
      <w:r w:rsidDel="00000000" w:rsidR="00000000" w:rsidRPr="00000000">
        <w:rPr>
          <w:sz w:val="24"/>
          <w:szCs w:val="24"/>
          <w:rtl w:val="0"/>
        </w:rPr>
        <w:t xml:space="preserve">. O isótipo de zinco mais comum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[9]</w:t>
      </w:r>
      <w:r w:rsidDel="00000000" w:rsidR="00000000" w:rsidRPr="00000000">
        <w:rPr>
          <w:sz w:val="24"/>
          <w:szCs w:val="24"/>
          <w:rtl w:val="0"/>
        </w:rPr>
        <w:t xml:space="preserve">, que tem número de massa igual a 64, que equivale à massa de 64 átomos de hidrogênio prótio.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manganês tem número de massa 55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[7]</w:t>
      </w:r>
      <w:r w:rsidDel="00000000" w:rsidR="00000000" w:rsidRPr="00000000">
        <w:rPr>
          <w:sz w:val="24"/>
          <w:szCs w:val="24"/>
          <w:rtl w:val="0"/>
        </w:rPr>
        <w:t xml:space="preserve"> e não tem isótopos naturais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[9]</w:t>
      </w:r>
      <w:r w:rsidDel="00000000" w:rsidR="00000000" w:rsidRPr="00000000">
        <w:rPr>
          <w:sz w:val="24"/>
          <w:szCs w:val="24"/>
          <w:rtl w:val="0"/>
        </w:rPr>
        <w:t xml:space="preserve">. A massa de um átomo de manganês corresponde, portanto, à massa de 55 átomos de hidrogênio prótio.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antes mencionado na seção Estrutura atômica do manganês, o número atômico (Z) quantifica os prótons de um elemento e o número de massa (A), a soma dos prótons e dos nêutrons. O número de massa é diretamente proporcional ao raio atômico e ambos são inversamente proporcionais à energia de ionização e à eletronegatividade. Quanto ao número atômico, a quantia de prótons é equivalente à quantia de elétrons em espécies neutras. Dessa forma, o número atômico determina muitas propriedades químicas importantes, tais como o número de ligações covalentes possíveis. </w:t>
      </w:r>
    </w:p>
    <w:p w:rsidR="00000000" w:rsidDel="00000000" w:rsidP="00000000" w:rsidRDefault="00000000" w:rsidRPr="00000000" w14:paraId="0000002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Isótopos de Zn e Mn</w:t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Isótopos são variações de um mesmo elemento químico, que possuem o mesmo número de prótons (e, portanto, propriedades químicas muito similares) e diferentes quantias de nêutrons. O manganês não possui isótopos naturais, tendo a forma 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55</w:t>
      </w:r>
      <w:r w:rsidDel="00000000" w:rsidR="00000000" w:rsidRPr="00000000">
        <w:rPr>
          <w:sz w:val="24"/>
          <w:szCs w:val="24"/>
          <w:rtl w:val="0"/>
        </w:rPr>
        <w:t xml:space="preserve">Mn abundância de 100%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[9]</w:t>
      </w:r>
      <w:r w:rsidDel="00000000" w:rsidR="00000000" w:rsidRPr="00000000">
        <w:rPr>
          <w:sz w:val="24"/>
          <w:szCs w:val="24"/>
          <w:rtl w:val="0"/>
        </w:rPr>
        <w:t xml:space="preserve">. O zinco possui cinco isótopos estáveis sendo eles 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64</w:t>
      </w:r>
      <w:r w:rsidDel="00000000" w:rsidR="00000000" w:rsidRPr="00000000">
        <w:rPr>
          <w:sz w:val="24"/>
          <w:szCs w:val="24"/>
          <w:rtl w:val="0"/>
        </w:rPr>
        <w:t xml:space="preserve">Zn (49,2%), 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66</w:t>
      </w:r>
      <w:r w:rsidDel="00000000" w:rsidR="00000000" w:rsidRPr="00000000">
        <w:rPr>
          <w:sz w:val="24"/>
          <w:szCs w:val="24"/>
          <w:rtl w:val="0"/>
        </w:rPr>
        <w:t xml:space="preserve">Zn</w:t>
      </w:r>
      <w:r w:rsidDel="00000000" w:rsidR="00000000" w:rsidRPr="00000000">
        <w:rPr>
          <w:sz w:val="24"/>
          <w:szCs w:val="24"/>
          <w:rtl w:val="0"/>
        </w:rPr>
        <w:t xml:space="preserve"> (27,7%), 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68</w:t>
      </w:r>
      <w:r w:rsidDel="00000000" w:rsidR="00000000" w:rsidRPr="00000000">
        <w:rPr>
          <w:sz w:val="24"/>
          <w:szCs w:val="24"/>
          <w:rtl w:val="0"/>
        </w:rPr>
        <w:t xml:space="preserve">Zn</w:t>
      </w:r>
      <w:r w:rsidDel="00000000" w:rsidR="00000000" w:rsidRPr="00000000">
        <w:rPr>
          <w:sz w:val="24"/>
          <w:szCs w:val="24"/>
          <w:rtl w:val="0"/>
        </w:rPr>
        <w:t xml:space="preserve"> (18,5%), 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67</w:t>
      </w:r>
      <w:r w:rsidDel="00000000" w:rsidR="00000000" w:rsidRPr="00000000">
        <w:rPr>
          <w:sz w:val="24"/>
          <w:szCs w:val="24"/>
          <w:rtl w:val="0"/>
        </w:rPr>
        <w:t xml:space="preserve">Zn</w:t>
      </w:r>
      <w:r w:rsidDel="00000000" w:rsidR="00000000" w:rsidRPr="00000000">
        <w:rPr>
          <w:sz w:val="24"/>
          <w:szCs w:val="24"/>
          <w:rtl w:val="0"/>
        </w:rPr>
        <w:t xml:space="preserve"> (4,0%), and 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70</w:t>
      </w:r>
      <w:r w:rsidDel="00000000" w:rsidR="00000000" w:rsidRPr="00000000">
        <w:rPr>
          <w:sz w:val="24"/>
          <w:szCs w:val="24"/>
          <w:rtl w:val="0"/>
        </w:rPr>
        <w:t xml:space="preserve">Zn</w:t>
      </w:r>
      <w:r w:rsidDel="00000000" w:rsidR="00000000" w:rsidRPr="00000000">
        <w:rPr>
          <w:sz w:val="24"/>
          <w:szCs w:val="24"/>
          <w:rtl w:val="0"/>
        </w:rPr>
        <w:t xml:space="preserve"> (0,6%)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[9]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Localização na tabela periódica e possíveis substituições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manganês e o zinco se encontram na região dos metais, e compartilham o período quatro da tabela periódica. O primeiro pertence ao grupo 7 e o segundo, ao grupo 12. Além deles, estão presentes na pilha cloro, da família dos halogênios ou família 7A, e nitrogênio, da família 5A. Ambos cloro e nitrogênio se posicionam no terceiro período.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Considerando as propriedades químicas semelhantes entre elementos da mesma família, seria possível fazer as seguintes substituições: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 → Br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 → P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Zn → Cd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Mn → Re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terceira funciona, pois cloro e bromo formam ânions de carga 1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e tem taxas de ionização semelhantes, já que ambos são derivados de ácidos fortes (HCl e HBr). A segunda funciona, porque NH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sz w:val="24"/>
          <w:szCs w:val="24"/>
          <w:rtl w:val="0"/>
        </w:rPr>
        <w:t xml:space="preserve">PH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 têm caráter básico (mesmo que o PH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 seja mais fraco devido ao maior raio atômico do fósforo) não alterando as dinâmicas ácido-base da pilha. A terceira funciona pois zinco e cádmio formam cátions de carga 2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. Por fim, a quarta funciona, pois o rênio, assim como o manganês, assume os estados de oxidação +3, +4 e +4.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Vale ressaltar que essas mudanças nos elementos provavelmente </w:t>
      </w:r>
      <w:r w:rsidDel="00000000" w:rsidR="00000000" w:rsidRPr="00000000">
        <w:rPr>
          <w:sz w:val="24"/>
          <w:szCs w:val="24"/>
          <w:rtl w:val="0"/>
        </w:rPr>
        <w:t xml:space="preserve">resultariam</w:t>
      </w:r>
      <w:r w:rsidDel="00000000" w:rsidR="00000000" w:rsidRPr="00000000">
        <w:rPr>
          <w:sz w:val="24"/>
          <w:szCs w:val="24"/>
          <w:rtl w:val="0"/>
        </w:rPr>
        <w:t xml:space="preserve"> na mudança na tensão gerada pela pilha, já que a mesma depende dos potenciais de oxidação e de redução dos elementos específicos que participam de seus processos eletroquímicos.</w:t>
      </w:r>
    </w:p>
    <w:p w:rsidR="00000000" w:rsidDel="00000000" w:rsidP="00000000" w:rsidRDefault="00000000" w:rsidRPr="00000000" w14:paraId="0000003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Propriedades de Zn e Mn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Zinco e manganês estão na região dos metais da tabela periódica e, portanto, compartilham algumas propriedades. Ambos são maleáveis, sólidos em temperatura ambiente e excelentes condutores térmicos e elétricos.</w:t>
      </w:r>
    </w:p>
    <w:p w:rsidR="00000000" w:rsidDel="00000000" w:rsidP="00000000" w:rsidRDefault="00000000" w:rsidRPr="00000000" w14:paraId="0000003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Íons de Zn e Mn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zinco apresenta apenas um estado normal de oxidação de carga 2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, como em ZnO e ZnCl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 O manganês, por outro lado, tem três diferentes estados de oxidação. São eles: Mn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3+</w:t>
      </w:r>
      <w:r w:rsidDel="00000000" w:rsidR="00000000" w:rsidRPr="00000000">
        <w:rPr>
          <w:sz w:val="24"/>
          <w:szCs w:val="24"/>
          <w:rtl w:val="0"/>
        </w:rPr>
        <w:t xml:space="preserve"> como em MnO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Mn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4+</w:t>
      </w:r>
      <w:r w:rsidDel="00000000" w:rsidR="00000000" w:rsidRPr="00000000">
        <w:rPr>
          <w:sz w:val="24"/>
          <w:szCs w:val="24"/>
          <w:rtl w:val="0"/>
        </w:rPr>
        <w:t xml:space="preserve"> como em Mn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sz w:val="24"/>
          <w:szCs w:val="24"/>
          <w:rtl w:val="0"/>
        </w:rPr>
        <w:t xml:space="preserve">Mn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7+</w:t>
      </w:r>
      <w:r w:rsidDel="00000000" w:rsidR="00000000" w:rsidRPr="00000000">
        <w:rPr>
          <w:sz w:val="24"/>
          <w:szCs w:val="24"/>
          <w:rtl w:val="0"/>
        </w:rPr>
        <w:t xml:space="preserve"> como em </w:t>
      </w:r>
      <w:r w:rsidDel="00000000" w:rsidR="00000000" w:rsidRPr="00000000">
        <w:rPr>
          <w:sz w:val="24"/>
          <w:szCs w:val="24"/>
          <w:rtl w:val="0"/>
        </w:rPr>
        <w:t xml:space="preserve">KMnO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Radiação Eletromagnética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radiação eletromagnética é imaterial, ou seja, não precisa de um matéria para se propagar. Ela pode ser interpretada de duas principais maneiras: deslocamento de unidades quantizadas de energia (fótons) e oscilações nos campos elétrico e magnético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[10]</w:t>
      </w:r>
      <w:r w:rsidDel="00000000" w:rsidR="00000000" w:rsidRPr="00000000">
        <w:rPr>
          <w:sz w:val="24"/>
          <w:szCs w:val="24"/>
          <w:rtl w:val="0"/>
        </w:rPr>
        <w:t xml:space="preserve">. Como toda onda, essas perturbações têm as seguintes propriedades: comprimento de onda (λ ), frequência (f), velocidade (v) e amplitude (A). As três primeiras grandezas são relacionadas pela Equação Fundamental da Ondulatória como: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 = λf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caso específico das ondas eletromagnéticas, as oscilações nos diferentes campos são perpendiculares entre si e definem um plano normal ao sentido de propagação da onda. Fenômenos ondulatórios como refração, difração e interferência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[11]</w:t>
      </w:r>
      <w:r w:rsidDel="00000000" w:rsidR="00000000" w:rsidRPr="00000000">
        <w:rPr>
          <w:sz w:val="24"/>
          <w:szCs w:val="24"/>
          <w:rtl w:val="0"/>
        </w:rPr>
        <w:t xml:space="preserve"> foram empiricamente observados nesse tipo de radiação, tornando a consolidação das interpretações de onda e de partícula um dos maiores desafios da </w:t>
      </w:r>
      <w:r w:rsidDel="00000000" w:rsidR="00000000" w:rsidRPr="00000000">
        <w:rPr>
          <w:sz w:val="24"/>
          <w:szCs w:val="24"/>
          <w:rtl w:val="0"/>
        </w:rPr>
        <w:t xml:space="preserve">físico</w:t>
      </w:r>
      <w:r w:rsidDel="00000000" w:rsidR="00000000" w:rsidRPr="00000000">
        <w:rPr>
          <w:sz w:val="24"/>
          <w:szCs w:val="24"/>
          <w:rtl w:val="0"/>
        </w:rPr>
        <w:t xml:space="preserve">-química.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Interação radiação-matéria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luz interage com a matéria em fenômenos como absorção e reflexão. Essas interações podem ser explicadas pelas duas interpretações citadas acima. Segundo a interpretação de deslocamento de fótons, a energia dos elétrons nos átomos aumenta ao absorver um fóton e diminui ao emitir um fóton. Segundo a interpretação de campos, os elétrons interagem com o campo elétrico e com o campo magnético, pois são uma partículas eletricamente carregada, com o valor negativo da carga fundamental ( -1,602 176 634 × 10−19 C)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[13]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exemplo de absorção é o funcionamento de forno de microondas, que aquece alimentos ao emitir ondas que possuem a mesma frequência que a vibração natural dos átomos de água. Um exemplo de reflexão é a própria visão humana, que capta parte do espectro refletido por objetos sobre os quais a luz incide.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Relação entre emissão de radiação e temperatura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  <w:vertAlign w:val="superscript"/>
        </w:rPr>
      </w:pPr>
      <w:r w:rsidDel="00000000" w:rsidR="00000000" w:rsidRPr="00000000">
        <w:rPr>
          <w:sz w:val="24"/>
          <w:szCs w:val="24"/>
          <w:rtl w:val="0"/>
        </w:rPr>
        <w:t xml:space="preserve">A temperatura de um objeto e sua temperatura são intimamente ligadas. Segundo Planck, a oscilação dos átomos que compõem a matéria provoca a emissão de radiação eletromagnética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[12]</w:t>
      </w:r>
      <w:r w:rsidDel="00000000" w:rsidR="00000000" w:rsidRPr="00000000">
        <w:rPr>
          <w:sz w:val="24"/>
          <w:szCs w:val="24"/>
          <w:rtl w:val="0"/>
        </w:rPr>
        <w:t xml:space="preserve">. Essa hipótese foi então complementada por Wien, que determinou a relação matemática entre o máximo comprimento de onda emitido (λ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máx</w:t>
      </w:r>
      <w:r w:rsidDel="00000000" w:rsidR="00000000" w:rsidRPr="00000000">
        <w:rPr>
          <w:sz w:val="24"/>
          <w:szCs w:val="24"/>
          <w:rtl w:val="0"/>
        </w:rPr>
        <w:t xml:space="preserve">) e a temperatura de um corpo (T) como: λ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máx</w:t>
      </w:r>
      <w:r w:rsidDel="00000000" w:rsidR="00000000" w:rsidRPr="00000000">
        <w:rPr>
          <w:sz w:val="24"/>
          <w:szCs w:val="24"/>
          <w:rtl w:val="0"/>
        </w:rPr>
        <w:t xml:space="preserve"> T = 2,898 . 10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-3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[14]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Radiação do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Corpo Negro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o século XIX, pensava-se que a intensidade  da radiação emitida por um objeto aquecido deveria aumentar conforme a diminuição do comprimento de onda. No entanto, a relação observada experimentalmente configurou uma curva inicialmente crescente e, após um pico, decrescente. Esse resultado surpreendente ficou conhecido como “Catástrofe Ultravioleta”.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solucionar o grande descompasso entre teoria e experimento, Planck sugeriu que que os osciladores (átomos) de um objeto aquecido teriam certa frequência fundamental e que poderiam vibrar apenas em múltiplos desse valor. Assim, a maioria dos osciladores de um corpo deveriam ter uma frequência intermediária, explicando o pico da dita curva experimental. A grande inovação dessa ideia foi considerar a energia como uma grandeza discreta, ao invés de contínua. Isso inaugurou o estudo da Física Quântica, que se dedica a investigar as propriedades, medidas e partículas que não podem ser subdivididas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[16]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 Efeito Fotoelétrico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efeito fotoelétrico é um dos mais notáveis exemplos de interação entre radiação eletromagnética e matéria, tanto que rendeu o prêmio Nobel ao físico Albert Einstein. O fenômeno ocorre quando a frequência da luz incidente sobre uma superfície metálica ultrapassa certo valor crítico, levando à liberação de elétrons pelos átomos atingidos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[17]</w:t>
      </w:r>
      <w:r w:rsidDel="00000000" w:rsidR="00000000" w:rsidRPr="00000000">
        <w:rPr>
          <w:sz w:val="24"/>
          <w:szCs w:val="24"/>
          <w:rtl w:val="0"/>
        </w:rPr>
        <w:t xml:space="preserve">. Esse valor mínimo depende da função trabalho de cada metal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[18]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  <w:vertAlign w:val="superscript"/>
        </w:rPr>
      </w:pPr>
      <w:r w:rsidDel="00000000" w:rsidR="00000000" w:rsidRPr="00000000">
        <w:rPr>
          <w:sz w:val="24"/>
          <w:szCs w:val="24"/>
          <w:rtl w:val="0"/>
        </w:rPr>
        <w:t xml:space="preserve">O efeito fotoelétrico observado em placas de zinco e de manganês seria pouco diferente, visto que ambos possuem funções trabalho semelhantes: 4.33 eV, do primeiro, e 4.1±0.2 eV, do segundo.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[19]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Espectros atômicos de emissão</w:t>
      </w:r>
    </w:p>
    <w:p w:rsidR="00000000" w:rsidDel="00000000" w:rsidP="00000000" w:rsidRDefault="00000000" w:rsidRPr="00000000" w14:paraId="0000004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20328" cy="124955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0328" cy="1249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48903" cy="125916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8903" cy="125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Figuras 3 e 4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[20]</w:t>
      </w:r>
      <w:r w:rsidDel="00000000" w:rsidR="00000000" w:rsidRPr="00000000">
        <w:rPr>
          <w:sz w:val="20"/>
          <w:szCs w:val="20"/>
          <w:rtl w:val="0"/>
        </w:rPr>
        <w:t xml:space="preserve">: observam-se, lado a lado, os espectros de emissão de absorção do manganês (à esquerda) e do zinco (a direita). Nota-se que os espectros de emissão e absorção são complementares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emissão de luz dos átomos ocorre quando um de seus elétrons faz a transição de uma camada eletrônica mais externa para uma camada eletrônica mais interna, emitindo um fóton nesse processo. O espectro de emissão é discreto pois o número quântico de nível eletrônico (n) é sempre um número natural. A energia do elétron é proporcional à Constante de Planck (h), à velocidade da luz no vácuo (c), à Constante de Rydberg (R), e inversamente proporcional ao número quântico de nível eletrônico (n) ao quadrado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[21]</w:t>
      </w:r>
      <w:r w:rsidDel="00000000" w:rsidR="00000000" w:rsidRPr="00000000">
        <w:rPr>
          <w:sz w:val="24"/>
          <w:szCs w:val="24"/>
          <w:rtl w:val="0"/>
        </w:rPr>
        <w:t xml:space="preserve">.  Assim, a fórmula Rhc/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é também descontínua, explicando porquê somente algumas frequências são emitidas pelos átomos.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Dualidade partícula-onda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das mais revolucionárias ideias do século foi a proposta da dualidade partícula-onda, do cientista De Broglie. Segundo seus estudos, comportamentos ondulatórios estão presentes em todo corpo, no entanto são perceptíveis apenas em objetos extremamente pequenos. Isso ocorre pois o comprimento das chamadas “ondas de matéria” é dado por: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36"/>
          <w:szCs w:val="36"/>
          <w:rtl w:val="0"/>
        </w:rPr>
        <w:t xml:space="preserve">λ = h/mv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que “m” é a massa do objeto e “v” é a velocidade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[22]</w:t>
      </w:r>
      <w:r w:rsidDel="00000000" w:rsidR="00000000" w:rsidRPr="00000000">
        <w:rPr>
          <w:sz w:val="24"/>
          <w:szCs w:val="24"/>
          <w:rtl w:val="0"/>
        </w:rPr>
        <w:t xml:space="preserve">. Ou seja, o produto de massa por velocidade deve ser muito pequeno para o comprimento de onda que seja relevante, já que a constante de Planck é ínfima.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Aplicação da Função de Onda de Schrödinger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Levando em conta a dualidade partícula-onda, Schrödinger elaborou o modelo matemático da Função de Onda do Elétron.  Ele leva em conta quatro parâmetros conhecidos como números quânticos, os quais serão detalhados na seção seguinte. O quadrado da função de pode ser utilizado para determinar a probabilidade de encontrar certo elétron em determinada região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[23]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1) Vamos refazer a resposta a última pergunta da atividade anterior.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a) Faça a estrutura eletrônica para os 2 átomos mais importantes de sua bateria utilizando a notação em caixa. Coloque todos os números quânticos dos 3 elétrons mais energéticos de seus átomos.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quatro números quânticos são o número quântico de nível (n), o número quântico de subnível ou azimutal (l), o número quântico magnético (m) e o número quântico de spin (m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). Eles podem ser determinados utilizando o Diagrama de Pauling e o Princípio da Exclusão de Pauli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[24]</w:t>
      </w:r>
      <w:r w:rsidDel="00000000" w:rsidR="00000000" w:rsidRPr="00000000">
        <w:rPr>
          <w:sz w:val="24"/>
          <w:szCs w:val="24"/>
          <w:rtl w:val="0"/>
        </w:rPr>
        <w:t xml:space="preserve">. Seguindo esse métodos foram obtidas as configurações eletrônicas dos três elétrons mais energéticos do zinco e do manganês, conforme seguem abaixo.</w:t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Zinco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jc w:val="both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1s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             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05D">
      <w:pPr>
        <w:spacing w:after="0" w:lineRule="auto"/>
        <w:jc w:val="both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2s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2p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6 </w:t>
      </w: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-1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+1</w:t>
      </w:r>
    </w:p>
    <w:p w:rsidR="00000000" w:rsidDel="00000000" w:rsidP="00000000" w:rsidRDefault="00000000" w:rsidRPr="00000000" w14:paraId="0000005E">
      <w:pPr>
        <w:spacing w:after="0" w:lineRule="auto"/>
        <w:jc w:val="both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3s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3p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6</w:t>
      </w:r>
      <w:r w:rsidDel="00000000" w:rsidR="00000000" w:rsidRPr="00000000">
        <w:rPr>
          <w:sz w:val="24"/>
          <w:szCs w:val="24"/>
          <w:rtl w:val="0"/>
        </w:rPr>
        <w:t xml:space="preserve"> 3d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10</w:t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-1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+1</w:t>
      </w: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-2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-1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+1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+2</w:t>
      </w:r>
    </w:p>
    <w:p w:rsidR="00000000" w:rsidDel="00000000" w:rsidP="00000000" w:rsidRDefault="00000000" w:rsidRPr="00000000" w14:paraId="0000005F">
      <w:pPr>
        <w:spacing w:after="0" w:lineRule="auto"/>
        <w:jc w:val="both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4s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             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14.756345177666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90"/>
        <w:gridCol w:w="1725"/>
        <w:gridCol w:w="1842.6802030456856"/>
        <w:gridCol w:w="1857.0761421319799"/>
        <w:tblGridChange w:id="0">
          <w:tblGrid>
            <w:gridCol w:w="3090"/>
            <w:gridCol w:w="1725"/>
            <w:gridCol w:w="1842.6802030456856"/>
            <w:gridCol w:w="1857.0761421319799"/>
          </w:tblGrid>
        </w:tblGridChange>
      </w:tblGrid>
      <w:tr>
        <w:trPr>
          <w:trHeight w:val="5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lineRule="auto"/>
              <w:jc w:val="both"/>
              <w:rPr>
                <w:b w:val="1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3d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lineRule="auto"/>
              <w:jc w:val="both"/>
              <w:rPr>
                <w:b w:val="1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3d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lineRule="auto"/>
              <w:jc w:val="both"/>
              <w:rPr>
                <w:b w:val="1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3d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  <w:rtl w:val="0"/>
              </w:rPr>
              <w:t xml:space="preserve">10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quântico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(M)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(M)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(M)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quântico azimutal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(d)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(d)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(d)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quântico magnético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+2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quântico de spin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-½</w:t>
            </w:r>
          </w:p>
        </w:tc>
      </w:tr>
    </w:tbl>
    <w:p w:rsidR="00000000" w:rsidDel="00000000" w:rsidP="00000000" w:rsidRDefault="00000000" w:rsidRPr="00000000" w14:paraId="00000075">
      <w:pPr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Manganês</w:t>
      </w:r>
    </w:p>
    <w:p w:rsidR="00000000" w:rsidDel="00000000" w:rsidP="00000000" w:rsidRDefault="00000000" w:rsidRPr="00000000" w14:paraId="00000076">
      <w:pPr>
        <w:spacing w:after="0" w:lineRule="auto"/>
        <w:jc w:val="both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1s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             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077">
      <w:pPr>
        <w:spacing w:after="0" w:lineRule="auto"/>
        <w:jc w:val="both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2s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2p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6 </w:t>
      </w: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-1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+1</w:t>
      </w:r>
    </w:p>
    <w:p w:rsidR="00000000" w:rsidDel="00000000" w:rsidP="00000000" w:rsidRDefault="00000000" w:rsidRPr="00000000" w14:paraId="00000078">
      <w:pPr>
        <w:spacing w:after="0" w:lineRule="auto"/>
        <w:jc w:val="both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3s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3p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6</w:t>
      </w:r>
      <w:r w:rsidDel="00000000" w:rsidR="00000000" w:rsidRPr="00000000">
        <w:rPr>
          <w:sz w:val="24"/>
          <w:szCs w:val="24"/>
          <w:rtl w:val="0"/>
        </w:rPr>
        <w:t xml:space="preserve"> 3d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 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-1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+1 </w:t>
      </w: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 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 -2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 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-1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 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 0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 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 +1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↑ 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 +2</w:t>
      </w:r>
    </w:p>
    <w:p w:rsidR="00000000" w:rsidDel="00000000" w:rsidP="00000000" w:rsidRDefault="00000000" w:rsidRPr="00000000" w14:paraId="00000079">
      <w:pPr>
        <w:spacing w:after="0" w:lineRule="auto"/>
        <w:jc w:val="both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4s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             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↑↓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2"/>
        <w:tblW w:w="8515.360406091371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90"/>
        <w:gridCol w:w="1740"/>
        <w:gridCol w:w="1842.6802030456856"/>
        <w:gridCol w:w="1842.6802030456856"/>
        <w:tblGridChange w:id="0">
          <w:tblGrid>
            <w:gridCol w:w="3090"/>
            <w:gridCol w:w="1740"/>
            <w:gridCol w:w="1842.6802030456856"/>
            <w:gridCol w:w="1842.6802030456856"/>
          </w:tblGrid>
        </w:tblGridChange>
      </w:tblGrid>
      <w:tr>
        <w:trPr>
          <w:trHeight w:val="5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lineRule="auto"/>
              <w:jc w:val="both"/>
              <w:rPr>
                <w:b w:val="1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3d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lineRule="auto"/>
              <w:jc w:val="both"/>
              <w:rPr>
                <w:b w:val="1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3d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lineRule="auto"/>
              <w:jc w:val="both"/>
              <w:rPr>
                <w:b w:val="1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3d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  <w:rtl w:val="0"/>
              </w:rPr>
              <w:t xml:space="preserve">5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quântico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(M)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(M)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(M)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quântico azimutal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(d)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(d)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(d)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quântico magnético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+2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quântico de spin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+½</w:t>
            </w:r>
          </w:p>
        </w:tc>
      </w:tr>
    </w:tbl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 Use a configuração de um de seus átomos para explicar o Princípio de Exclusão de Pauli e a Regra de Hund.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antes citado Princípio da Exclusão de Pauli foi enunciado da seguinte maneira: “</w:t>
      </w:r>
      <w:r w:rsidDel="00000000" w:rsidR="00000000" w:rsidRPr="00000000">
        <w:rPr>
          <w:i w:val="1"/>
          <w:sz w:val="24"/>
          <w:szCs w:val="24"/>
          <w:rtl w:val="0"/>
        </w:rPr>
        <w:t xml:space="preserve">Não mais que dois elétrons podem ser atribuídos ao mesmo orbital e, se houver dois elétrons no mesmo orbital, eles devem ter spins opostos</w:t>
      </w:r>
      <w:r w:rsidDel="00000000" w:rsidR="00000000" w:rsidRPr="00000000">
        <w:rPr>
          <w:sz w:val="24"/>
          <w:szCs w:val="24"/>
          <w:rtl w:val="0"/>
        </w:rPr>
        <w:t xml:space="preserve">”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[25]</w:t>
      </w:r>
      <w:r w:rsidDel="00000000" w:rsidR="00000000" w:rsidRPr="00000000">
        <w:rPr>
          <w:sz w:val="24"/>
          <w:szCs w:val="24"/>
          <w:rtl w:val="0"/>
        </w:rPr>
        <w:t xml:space="preserve">. Esse postulado pode ser visualizado na distribuição eletrônica do zinco, em que os elétrons ocupando o mesmo orbital têm spins contrários. 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a Regra de Hund define o estado fundamental, isto é, de menor energia, de um átomo como aquele que possui o maior número possível de elétrons desemparelhados e com o mesmo spin. A afirmação pode ser visualizada no subnível 3d do manganês, em que os elétrons têm o mesmo spin e ocupam diferentes orbitais.</w:t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 Entendendo a figura 7.2. Responda se as seguintes afirmações são verdadeiras ou falsas e justifique a sua resposta:</w:t>
      </w:r>
    </w:p>
    <w:p w:rsidR="00000000" w:rsidDel="00000000" w:rsidP="00000000" w:rsidRDefault="00000000" w:rsidRPr="00000000" w14:paraId="00000095">
      <w:pPr>
        <w:ind w:left="-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792982" cy="253396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238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2982" cy="2533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a) O elétron 1s pode ser encontrado a uma distância muito afastada do núcleo.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Verdadeiro. Como pode ser observado nos gráficos de função de densidade de superfície (4πR² x Ψ²)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[26]</w:t>
      </w:r>
      <w:r w:rsidDel="00000000" w:rsidR="00000000" w:rsidRPr="00000000">
        <w:rPr>
          <w:sz w:val="24"/>
          <w:szCs w:val="24"/>
          <w:rtl w:val="0"/>
        </w:rPr>
        <w:t xml:space="preserve">, a probabilidade de encontrar um elétron diminui à medida que se afasta do núcleo, no entanto nunca se torna nula. Matematicamente, isso pode ser explicado como uma assíntota na reta y = 0.</w:t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 O elétron 2s se encontra o tempo todo mais longe do núcleo que o 1s.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Falso. É possível observar que o gráfico do orbital 2s assume valor nulo ao cruzar o eixo horizontal no intervalo 0r/a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- 5r/a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, enquanto o gráfico do orbital 1s permanece positivo em todo o intervalo. Isso significa que é impossível encontrar um elétron do orbital 2s à certa distância do núcleo, porém é possível encontrar elétrons do orbital 1s à distâncias maiores. Portanto, nem sempre os elétrons 2s se encontram mais distantes do núcleo que os elétrons 1s.</w:t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c) Um nó é uma região do espaço onde a probabilidade de encontrar o elétron é zero. Por exemplo, para o elétron 1s o nó se encontra no núcleo. Antes de responder isto vejam a imagem abaixo, a qual mostra o valor da função de onda para orbitais do H (o resultado é similar para o Li).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Falso. Um nó ocorre, por definição, quando a função de onda é nula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[27]</w:t>
      </w:r>
      <w:r w:rsidDel="00000000" w:rsidR="00000000" w:rsidRPr="00000000">
        <w:rPr>
          <w:sz w:val="24"/>
          <w:szCs w:val="24"/>
          <w:rtl w:val="0"/>
        </w:rPr>
        <w:t xml:space="preserve">. Esse claramente não é o caso quando a distância até o núcleo é nula, em que a função atinge seu valor máximo. No entanto, a função de densidade de superfície de fato equivale a zero nessa situação, pois obtemos 4π0² x Ψ² = 0.</w:t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 O que significa carga nuclear efetiva (Z*)? Isto explica o fato de que a gente preenche em um mesmo nível primeiro o orbital s, depois o p, o d e assim por diante?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 carga nuclear efetiva é um número que representa o efeito com que a carga positiva do núcleo afeta certo elétron de um átomo polieletrônico, levando em conta a interferência da carga negativa dos demais elétrons do mesmo átomo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[28]</w:t>
      </w:r>
      <w:r w:rsidDel="00000000" w:rsidR="00000000" w:rsidRPr="00000000">
        <w:rPr>
          <w:sz w:val="24"/>
          <w:szCs w:val="24"/>
          <w:rtl w:val="0"/>
        </w:rPr>
        <w:t xml:space="preserve">. A carga nuclear efetiva em cada subnível aumenta na seguinte ordem: Z*s &lt; Z*p &lt; Z*d &lt; Z*f. A força eletrostática núcleo-elétron é proporcional a carga nuclear efetiva, ou seja, a energia potencial experimentada por elétrons s é menor que a experimentada por elétrons </w:t>
      </w:r>
      <w:r w:rsidDel="00000000" w:rsidR="00000000" w:rsidRPr="00000000">
        <w:rPr>
          <w:sz w:val="24"/>
          <w:szCs w:val="24"/>
          <w:rtl w:val="0"/>
        </w:rPr>
        <w:t xml:space="preserve">p, e</w:t>
      </w:r>
      <w:r w:rsidDel="00000000" w:rsidR="00000000" w:rsidRPr="00000000">
        <w:rPr>
          <w:sz w:val="24"/>
          <w:szCs w:val="24"/>
          <w:rtl w:val="0"/>
        </w:rPr>
        <w:t xml:space="preserve"> assim por diante. Por isso, a energia em cada subnível cresce na ordem Es &lt; Ep &lt; Ed &lt; Ef, então os preenchemos na mesma ordem (da menor para a maior energia).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4) Vamos fazer o exercício mental de começar com um átomo como, por exemplo o Li, o qual tem 3 prótons e 3 elétrons e ir construindo outros átomos. Quando vamos adicionando prótons (e, portanto, a mesma quantidade de elétrons) têm 2 efeitos: a) A adição dos prótons faz aumentar a interação atrativa entre o núcleo (o que agora aumentou sua carga) e a nuvem de elétrons e b) A adição de elétrons faz aumentar a força repulsiva elétron-elétron. Qual destes efeitos prevalece quando nos movemos em um mesmo período? Por quê? Será que isto tem alguma relação com a segunda pergunta da pergunta 3?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carga nuclear efetiva pode ser calculada pela fórmula Z*= Z + 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[29]</w:t>
      </w:r>
      <w:r w:rsidDel="00000000" w:rsidR="00000000" w:rsidRPr="00000000">
        <w:rPr>
          <w:sz w:val="24"/>
          <w:szCs w:val="24"/>
          <w:rtl w:val="0"/>
        </w:rPr>
        <w:t xml:space="preserve">, em que Z é o número atômico e S é a blindagem (isto é, o número de elétrons na região entre o núcleo e o elétron analisado). Analisando um único período da Tabela Periódica, da esquerda para a direita, percebemos que o número atômico aumenta mas a blindagem permanece constante, ou seja, a carga nuclear efetiva aumenta. Isso significa que, ao adicionarmos um próton e um elétron a um átomo, a força de atração do próton-elétron prevalece sobre a força de repulsão elétron-elétron. No mesmo período não se altera o número quântico de nível, então gradualmente preenchemos subníveis da mesma camada eletrônica. Isso se relaciona a pergunta anterior, portanto, explicando o mecanismo pelo qual a carga nuclear efetiva aumenta conforme mais subníveis são preenchidos.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5) </w:t>
      </w:r>
      <w:r w:rsidDel="00000000" w:rsidR="00000000" w:rsidRPr="00000000">
        <w:rPr>
          <w:b w:val="1"/>
          <w:sz w:val="24"/>
          <w:szCs w:val="24"/>
          <w:rtl w:val="0"/>
        </w:rPr>
        <w:t xml:space="preserve">Se você entendeu o avaliado até aqui então vai notar que todas as propriedades periódicas se explicam da mesma maneira!!!! Explique as mudanças do raio atômico e da energia de ionização e diga qual é a relação entre estas propriedades.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raio atômico diminui conforme a carga nuclear aumenta, já que a atração núcleo-elétron faz com que os elétron se aproximem mais do núcleo. Isso significa que, em um mesmo período, o raio atômico diminui conforme avançados da esquerda para a direita. Quando avançamos um período para baixo, o raio atômico aumenta, pois a carga nuclear efetiva diminui. </w:t>
      </w:r>
    </w:p>
    <w:p w:rsidR="00000000" w:rsidDel="00000000" w:rsidP="00000000" w:rsidRDefault="00000000" w:rsidRPr="00000000" w14:paraId="000000A6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rtl w:val="0"/>
        </w:rPr>
        <w:t xml:space="preserve">A energia de ionização aumenta conforme a carga nuclear aumenta, pois a atração núcleo-elétron dificulta a remoção de elétrons. Ou seja, em um mesmo período, a energia de ionização aumenta conforme avançados da esquerda para a direita. Quando avançamos um período para baixo, a energia de ionização diminui, assim como a carga nuclear efetiva.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6) Coloque uma imagem da tabela periódica e marque nela o átomo que se oxida e o que se reduz na sua bateria. Consulte com outros 4 grupos os átomos que se oxidam e reduzem na bateria deles e os marque na tabela. Encontra algum padrão? Isto tem alguma relação com as propriedades periódicas?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Esperávamos que, na Tabela Periódica, os agentes oxidantes se localizassem mais à direita que os agentes redutores. Isto, pois os elementos que perdem elétrons (oxidam) devem ter menor carga nuclear efetiva, permitindo que a atração próton-elétron seja facilmente superada. Por outro lado, os elementos que ganham elétrons (reduzem) devem ter maior carga nuclear efetiva, permitindo que elétrons externos sejam agregados à sua própria eletrosfera. Consultando outros grupos de trabalho, obtivemos os seguintes pares de elementos que participam de reações redox: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13: Mn (reduz), Zn (oxida)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8: S (reduz), Li (oxida)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18: O (reduz), H (oxida)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12: Ag (reduz), Zn (oxida) 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3: C (reduz), Al (oxida)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22: S (reduz), Na (oxida)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Posicionando na Tabela Periódica os elementos que reduzem (em lilás) e os elementos que oxidam (em amarelo) obtemos a imagem que segue abaixo. Salvas algumas exceções, foi confirmada nossa hipótese acerca da distribuição dos elementos.</w:t>
      </w:r>
    </w:p>
    <w:p w:rsidR="00000000" w:rsidDel="00000000" w:rsidP="00000000" w:rsidRDefault="00000000" w:rsidRPr="00000000" w14:paraId="000000B1">
      <w:pPr>
        <w:spacing w:after="0" w:line="276" w:lineRule="auto"/>
        <w:ind w:left="-1260" w:hanging="9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22615" cy="3556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4446" l="14736" r="13789" t="25245"/>
                    <a:stretch>
                      <a:fillRect/>
                    </a:stretch>
                  </pic:blipFill>
                  <pic:spPr>
                    <a:xfrm>
                      <a:off x="0" y="0"/>
                      <a:ext cx="562261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Figuras 5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[30]</w:t>
      </w:r>
      <w:r w:rsidDel="00000000" w:rsidR="00000000" w:rsidRPr="00000000">
        <w:rPr>
          <w:sz w:val="20"/>
          <w:szCs w:val="20"/>
          <w:rtl w:val="0"/>
        </w:rPr>
        <w:t xml:space="preserve">: como previsto, a tabela acima mostra a maioria dos elementos que reduzem à direita dos elementos que oxidam.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76" w:lineRule="auto"/>
        <w:ind w:left="-1260" w:hanging="9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Referências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JENSEN, William B. (Janeiro 2014). "The Leclanché Cell. Museum Notes, Oesper Collections", pp. 3.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 LECLANCHÉ, Georges (Junho 1866). "Une pile à oxyde insoluble", patente francesa n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 71,865 no: Ministério Francês de Agricultura e Comércio (1881).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FOGAÇA. Pilha Seca de Leclanché. Brasil Escola, 2019.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JENSEN, William B. (Janeiro 2014). "The Leclanché Cell. Museum Notes, Oesper Collections", pp. 1-2.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LibreTexts. Leclanché Dry Cell. Commercial Galvanic Cells, 26 mar. 2016.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FOGAÇA. Pilha Seca de Leclanché. Brasil Escola, 2019.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IUPAC. Periodic Table of Elements. International Union of Pure and Applied Chemistry, 2019 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RUTHERFORD, Ernest (1911). "The Scattering of α and β Particles by Matter and the Structure of the Atom". Philosophical Magazine. Série 6. 21 (125): 669–688.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PAC, 1994, 66, 2513 (Nomenclature for radioanalytical chemistry (IUPAC Recommendations 1994)), pp. 2520.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SANTOS. Radiação Eletromagnética. Brasil Escola, 2019.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 PAVAN. Propriedades das ondas, 2016.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 KOTZ. Química Geral e Reações Químicas, v. 1, p. 276, 2016.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 Bureau International des Poids et Mesures. Resolution 1 of the 26th CGPM, 2018.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IMPEY, C.; GAY, P. </w:t>
      </w:r>
      <w:r w:rsidDel="00000000" w:rsidR="00000000" w:rsidRPr="00000000">
        <w:rPr>
          <w:sz w:val="24"/>
          <w:szCs w:val="24"/>
          <w:rtl w:val="0"/>
        </w:rPr>
        <w:t xml:space="preserve">Wien’s</w:t>
      </w:r>
      <w:r w:rsidDel="00000000" w:rsidR="00000000" w:rsidRPr="00000000">
        <w:rPr>
          <w:sz w:val="24"/>
          <w:szCs w:val="24"/>
          <w:rtl w:val="0"/>
        </w:rPr>
        <w:t xml:space="preserve"> Law.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15. KOTZ. Química Geral e Reações Químicas, v. 1, p. 276, 2016.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 PLANCK. On the Law of Distribution of Energy in the Normal Spectrum. Annalen der physik, v. 4, p. 553 ff, 1901.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 KOTZ. Química Geral e Reações Químicas, v. 1, p. 277-278, 2016.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18. DRUMMOND. Work functions of the transition metals and metal silicides, 1999.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 Ibid, p. 18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20. PETTY, Alex. The Periodic Table of Light.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21. KOTZ. Química Geral e Reações Químicas, v. 1, p. 282, 2016.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22. KOTZ. Química Geral e Reações Químicas, v. 1, p. 288, 2016.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23. KOTZ. Química Geral e Reações Químicas, v. 1, p. 290, 2016.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24. DOS SANTOS, Luiz Ricardo. Diagrama de Pauling. InfoEscola.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25. KOTZ. Química Geral e Reações Químicas, v. 1, p. 310, 2016.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26. KOTZ. Química Geral e Reações Químicas, v. 1, p. 313, 2016.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27. </w:t>
      </w:r>
      <w:r w:rsidDel="00000000" w:rsidR="00000000" w:rsidRPr="00000000">
        <w:rPr>
          <w:sz w:val="24"/>
          <w:szCs w:val="24"/>
          <w:rtl w:val="0"/>
        </w:rPr>
        <w:t xml:space="preserve">HALLIDAY David, KRANE Kenneth S.. Física 2, Quinta edição. Editora LTC. Gaspar Alberto. Física Série Brasil, 1ª edição. Editora Ática.)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28. KOTZ. Química Geral e Reações Químicas, v. 1, p. 312, 2016.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29. KOTZ. Química Geral e Reações Químicas, v. 1, p. 313, 2016.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30. IUPAC/SBQ, baseada em DOI:10.1515/pac-2015-0305. Licença Creative Commons: BY-NC-SA 4.0. Disponível em &lt;https://www.tabelaperiodica.org/imprimir/&gt;. Acesso em 12 abr.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Bibliografia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BOCCHI, Nerilso; FERRACIN, Luiz Carlos; BIAGGIO, Sonia Regina. Pilhas e baterias: funcionamento e impacto ambiental. </w:t>
      </w:r>
      <w:r w:rsidDel="00000000" w:rsidR="00000000" w:rsidRPr="00000000">
        <w:rPr>
          <w:b w:val="1"/>
          <w:sz w:val="24"/>
          <w:szCs w:val="24"/>
          <w:rtl w:val="0"/>
        </w:rPr>
        <w:t xml:space="preserve">Química Nova na escola</w:t>
      </w:r>
      <w:r w:rsidDel="00000000" w:rsidR="00000000" w:rsidRPr="00000000">
        <w:rPr>
          <w:sz w:val="24"/>
          <w:szCs w:val="24"/>
          <w:rtl w:val="0"/>
        </w:rPr>
        <w:t xml:space="preserve">, v. 11, n. 3, 2000.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 SANTOS, Luiz Ricardo. Diagrama de Pauling.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InfoEscola</w:t>
      </w:r>
      <w:r w:rsidDel="00000000" w:rsidR="00000000" w:rsidRPr="00000000">
        <w:rPr>
          <w:sz w:val="24"/>
          <w:szCs w:val="24"/>
          <w:rtl w:val="0"/>
        </w:rPr>
        <w:t xml:space="preserve">. Disponível em: &lt;https://www.infoescola.com/quimica/diagrama-de-pauling/&gt;. Acesso em: 29 mar. 2019.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DRUMMOND, Timothy J. </w:t>
      </w:r>
      <w:r w:rsidDel="00000000" w:rsidR="00000000" w:rsidRPr="00000000">
        <w:rPr>
          <w:b w:val="1"/>
          <w:sz w:val="24"/>
          <w:szCs w:val="24"/>
          <w:rtl w:val="0"/>
        </w:rPr>
        <w:t xml:space="preserve">Work functions of the transition metals and metal silicides</w:t>
      </w:r>
      <w:r w:rsidDel="00000000" w:rsidR="00000000" w:rsidRPr="00000000">
        <w:rPr>
          <w:sz w:val="24"/>
          <w:szCs w:val="24"/>
          <w:rtl w:val="0"/>
        </w:rPr>
        <w:t xml:space="preserve">. Sandia National Labs., Albuquerque, NM (US); Sandia National Labs., Livermore, CA (US), 1999.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FOGAÇA, Jennifer Rocha Vargas. Pilha Seca de Leclanché. </w:t>
      </w:r>
      <w:r w:rsidDel="00000000" w:rsidR="00000000" w:rsidRPr="00000000">
        <w:rPr>
          <w:b w:val="1"/>
          <w:sz w:val="24"/>
          <w:szCs w:val="24"/>
          <w:rtl w:val="0"/>
        </w:rPr>
        <w:t xml:space="preserve">Brasil Escola</w:t>
      </w:r>
      <w:r w:rsidDel="00000000" w:rsidR="00000000" w:rsidRPr="00000000">
        <w:rPr>
          <w:sz w:val="24"/>
          <w:szCs w:val="24"/>
          <w:rtl w:val="0"/>
        </w:rPr>
        <w:t xml:space="preserve">. Disponível em: &lt;https://brasilescola.uol.com.br/quimica/pilha-seca-leclanche.htm&gt;. Acesso em: 20 mar. 2019.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JENSEN, William B.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 Leclanché Cell</w:t>
      </w:r>
      <w:r w:rsidDel="00000000" w:rsidR="00000000" w:rsidRPr="00000000">
        <w:rPr>
          <w:sz w:val="24"/>
          <w:szCs w:val="24"/>
          <w:rtl w:val="0"/>
        </w:rPr>
        <w:t xml:space="preserve">. Museum Notes, Oesper Collections, 2014. Disponível em: &lt;https://drc.libraries.uc.edu/bitstream/handle/2374.UC/731246/The_Leclanche_Cell.pdf?sequence=1&gt;. Acesso em: 21 mar. 2019.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KOTZ, John C et al. </w:t>
      </w:r>
      <w:r w:rsidDel="00000000" w:rsidR="00000000" w:rsidRPr="00000000">
        <w:rPr>
          <w:b w:val="1"/>
          <w:sz w:val="24"/>
          <w:szCs w:val="24"/>
          <w:rtl w:val="0"/>
        </w:rPr>
        <w:t xml:space="preserve">Química Geral e Reações Químicas</w:t>
      </w:r>
      <w:r w:rsidDel="00000000" w:rsidR="00000000" w:rsidRPr="00000000">
        <w:rPr>
          <w:sz w:val="24"/>
          <w:szCs w:val="24"/>
          <w:rtl w:val="0"/>
        </w:rPr>
        <w:t xml:space="preserve">, v. 1, 9ª ed., 2016.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LECLANCHÉ, Georges. </w:t>
      </w:r>
      <w:r w:rsidDel="00000000" w:rsidR="00000000" w:rsidRPr="00000000">
        <w:rPr>
          <w:b w:val="1"/>
          <w:sz w:val="24"/>
          <w:szCs w:val="24"/>
          <w:rtl w:val="0"/>
        </w:rPr>
        <w:t xml:space="preserve">Une pile à oxyde insoluble</w:t>
      </w:r>
      <w:r w:rsidDel="00000000" w:rsidR="00000000" w:rsidRPr="00000000">
        <w:rPr>
          <w:sz w:val="24"/>
          <w:szCs w:val="24"/>
          <w:rtl w:val="0"/>
        </w:rPr>
        <w:t xml:space="preserve">, patente francesa no. 71865 no: Ministério Francês de Agricultura e Comércio (1881), 1886. Obtido em Description des machines et procédés pour lesquels des brevets d'invention ont été pris. v. 98. Paris, França: Imprimerie Nationale. pp. 33–34.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LECLANCHÉ, Georges.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Quelques observations sur l'emploi des piles électriques</w:t>
      </w:r>
      <w:r w:rsidDel="00000000" w:rsidR="00000000" w:rsidRPr="00000000">
        <w:rPr>
          <w:sz w:val="24"/>
          <w:szCs w:val="24"/>
          <w:rtl w:val="0"/>
        </w:rPr>
        <w:t xml:space="preserve">, 1867. Disponível em: &lt;https://gallica.bnf.fr/ark:/12148/bpt6k62094v/f9.image&gt;. Acesso em: 21 mar. 2019.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IUPAC.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Periodic Table of Elements</w:t>
      </w:r>
      <w:r w:rsidDel="00000000" w:rsidR="00000000" w:rsidRPr="00000000">
        <w:rPr>
          <w:sz w:val="24"/>
          <w:szCs w:val="24"/>
          <w:rtl w:val="0"/>
        </w:rPr>
        <w:t xml:space="preserve">, 2019. Disponível em: &lt;https://iupac.org/what-we-do/periodic-table-of-elements/&gt;. Acesso em: 21 mar. 2019.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IUPAC.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Compendium of Chemical Terminology</w:t>
      </w:r>
      <w:r w:rsidDel="00000000" w:rsidR="00000000" w:rsidRPr="00000000">
        <w:rPr>
          <w:sz w:val="24"/>
          <w:szCs w:val="24"/>
          <w:rtl w:val="0"/>
        </w:rPr>
        <w:t xml:space="preserve">, 2ª ed. Compilado por A. D. McNaught and A. Wilkinson. Blackwell Scientific Publications, Oxford, 1997. Disponível em: &lt;http://goldbook.iupac.org&gt;, por M. Nic, J. Jirat, B. Kosata, A. Jenkins, 2006. 0-9678550-9-8.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LibreTexts. </w:t>
      </w:r>
      <w:r w:rsidDel="00000000" w:rsidR="00000000" w:rsidRPr="00000000">
        <w:rPr>
          <w:b w:val="1"/>
          <w:sz w:val="24"/>
          <w:szCs w:val="24"/>
          <w:rtl w:val="0"/>
        </w:rPr>
        <w:t xml:space="preserve">Leclanché Dry Cell</w:t>
      </w:r>
      <w:r w:rsidDel="00000000" w:rsidR="00000000" w:rsidRPr="00000000">
        <w:rPr>
          <w:sz w:val="24"/>
          <w:szCs w:val="24"/>
          <w:rtl w:val="0"/>
        </w:rPr>
        <w:t xml:space="preserve">. Commercial Galvanic Cells, 26 mar. 2016. Disponível em: &lt;https://chem.libretexts.org/Bookshelves/Analytical_Chemistry/Supplemental_Modules_(Analytical_Chemistry)/Electrochemistry/Exemplars/Commercial_Galvanic_Cells&gt;. Acesso em: 20 mar. 2019.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MAGALHÃES, Lana. Tabela Periódica. </w:t>
      </w:r>
      <w:r w:rsidDel="00000000" w:rsidR="00000000" w:rsidRPr="00000000">
        <w:rPr>
          <w:b w:val="1"/>
          <w:sz w:val="24"/>
          <w:szCs w:val="24"/>
          <w:rtl w:val="0"/>
        </w:rPr>
        <w:t xml:space="preserve">Toda Matéria</w:t>
      </w:r>
      <w:r w:rsidDel="00000000" w:rsidR="00000000" w:rsidRPr="00000000">
        <w:rPr>
          <w:sz w:val="24"/>
          <w:szCs w:val="24"/>
          <w:rtl w:val="0"/>
        </w:rPr>
        <w:t xml:space="preserve">, 2019. Disponível em: &lt;https://www.todamateria.com.br/tabela-periodica/&gt;. Acesso em: 28 mar. 2019.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NISENBAUM, Moisés André.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Estrutura Atômica</w:t>
      </w:r>
      <w:r w:rsidDel="00000000" w:rsidR="00000000" w:rsidRPr="00000000">
        <w:rPr>
          <w:sz w:val="24"/>
          <w:szCs w:val="24"/>
          <w:rtl w:val="0"/>
        </w:rPr>
        <w:t xml:space="preserve">, 1ª ed., 2013.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PAC, 66, 2513: </w:t>
      </w:r>
      <w:r w:rsidDel="00000000" w:rsidR="00000000" w:rsidRPr="00000000">
        <w:rPr>
          <w:b w:val="1"/>
          <w:sz w:val="24"/>
          <w:szCs w:val="24"/>
          <w:rtl w:val="0"/>
        </w:rPr>
        <w:t xml:space="preserve">Nomenclature for radioanalytical chemistry</w:t>
      </w:r>
      <w:r w:rsidDel="00000000" w:rsidR="00000000" w:rsidRPr="00000000">
        <w:rPr>
          <w:sz w:val="24"/>
          <w:szCs w:val="24"/>
          <w:rtl w:val="0"/>
        </w:rPr>
        <w:t xml:space="preserve">. IUPAC Recommendations 1994, 1994.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PAVAN, Theo Z.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Propriedades das ondas</w:t>
      </w:r>
      <w:r w:rsidDel="00000000" w:rsidR="00000000" w:rsidRPr="00000000">
        <w:rPr>
          <w:sz w:val="24"/>
          <w:szCs w:val="24"/>
          <w:rtl w:val="0"/>
        </w:rPr>
        <w:t xml:space="preserve">, 2016. Disponível em: &lt;https://edisciplinas.usp.br/pluginfile.php/4572212/mod_resource/content/0/Aula5%20-%20Propriedades%20das%20ondas.pdf&gt;. Acesso em: 28 mar. 2019.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RUTHERFORD, Ernest. The Scattering of α and β Particles by Matter and the Structure of the Atom. </w:t>
      </w:r>
      <w:r w:rsidDel="00000000" w:rsidR="00000000" w:rsidRPr="00000000">
        <w:rPr>
          <w:b w:val="1"/>
          <w:sz w:val="24"/>
          <w:szCs w:val="24"/>
          <w:rtl w:val="0"/>
        </w:rPr>
        <w:t xml:space="preserve">Philosophical Magazine</w:t>
      </w:r>
      <w:r w:rsidDel="00000000" w:rsidR="00000000" w:rsidRPr="00000000">
        <w:rPr>
          <w:sz w:val="24"/>
          <w:szCs w:val="24"/>
          <w:rtl w:val="0"/>
        </w:rPr>
        <w:t xml:space="preserve">, série 6. 21 (125), 1911. Disponível em: &lt;https://www.chemteam.info/Chem-History/Rutherford-1911/Rutherford-1911.html&gt;. Acesso em: 21 mar. 2019.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SANTANA, André Luiz. Manganês. </w:t>
      </w:r>
      <w:r w:rsidDel="00000000" w:rsidR="00000000" w:rsidRPr="00000000">
        <w:rPr>
          <w:b w:val="1"/>
          <w:sz w:val="24"/>
          <w:szCs w:val="24"/>
          <w:rtl w:val="0"/>
        </w:rPr>
        <w:t xml:space="preserve">Sumário Mineral</w:t>
      </w:r>
      <w:r w:rsidDel="00000000" w:rsidR="00000000" w:rsidRPr="00000000">
        <w:rPr>
          <w:sz w:val="24"/>
          <w:szCs w:val="24"/>
          <w:rtl w:val="0"/>
        </w:rPr>
        <w:t xml:space="preserve">, 2012.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SANTOS, Marco Aurélio da Silva. Radiação Eletromagnética. </w:t>
      </w:r>
      <w:r w:rsidDel="00000000" w:rsidR="00000000" w:rsidRPr="00000000">
        <w:rPr>
          <w:b w:val="1"/>
          <w:sz w:val="24"/>
          <w:szCs w:val="24"/>
          <w:rtl w:val="0"/>
        </w:rPr>
        <w:t xml:space="preserve">Brasil Escola</w:t>
      </w:r>
      <w:r w:rsidDel="00000000" w:rsidR="00000000" w:rsidRPr="00000000">
        <w:rPr>
          <w:sz w:val="24"/>
          <w:szCs w:val="24"/>
          <w:rtl w:val="0"/>
        </w:rPr>
        <w:t xml:space="preserve">. Disponível em: &lt;https://brasilescola.uol.com.br/fisica/radiacao-eletromagnetica.htm&gt;. Acesso em: 28 mar. 2019.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PETTY, Alex.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 Periodic Table of Light</w:t>
      </w:r>
      <w:r w:rsidDel="00000000" w:rsidR="00000000" w:rsidRPr="00000000">
        <w:rPr>
          <w:sz w:val="24"/>
          <w:szCs w:val="24"/>
          <w:rtl w:val="0"/>
        </w:rPr>
        <w:t xml:space="preserve">. Disponível em: &lt;http://www.alexpetty.com/2014/09/21/the-periodic-table-of-light/&gt;. Acesso em: 28 mar. 2019.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Bureau International des Poids et Mesures.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Resolution 1 of the 26th CGPM</w:t>
      </w:r>
      <w:r w:rsidDel="00000000" w:rsidR="00000000" w:rsidRPr="00000000">
        <w:rPr>
          <w:sz w:val="24"/>
          <w:szCs w:val="24"/>
          <w:rtl w:val="0"/>
        </w:rPr>
        <w:t xml:space="preserve">, 2018. Disponível em: &lt;https://www.bipm.org/en/CGPM/db/26/1/&gt; Acesso em 28 mar. 2019.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ELLERT, G. </w:t>
      </w:r>
      <w:r w:rsidDel="00000000" w:rsidR="00000000" w:rsidRPr="00000000">
        <w:rPr>
          <w:b w:val="1"/>
          <w:sz w:val="24"/>
          <w:szCs w:val="24"/>
          <w:rtl w:val="0"/>
        </w:rPr>
        <w:t xml:space="preserve">Photoeletric Effect</w:t>
      </w:r>
      <w:r w:rsidDel="00000000" w:rsidR="00000000" w:rsidRPr="00000000">
        <w:rPr>
          <w:sz w:val="24"/>
          <w:szCs w:val="24"/>
          <w:rtl w:val="0"/>
        </w:rPr>
        <w:t xml:space="preserve">. Disponível em: &lt;https://physics.info/photoelectric/&gt;. Acesso em: 28 mar. 2019. 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IMPEY, C.; GAY, P. </w:t>
      </w:r>
      <w:r w:rsidDel="00000000" w:rsidR="00000000" w:rsidRPr="00000000">
        <w:rPr>
          <w:b w:val="1"/>
          <w:sz w:val="24"/>
          <w:szCs w:val="24"/>
          <w:rtl w:val="0"/>
        </w:rPr>
        <w:t xml:space="preserve">Wien’s Law</w:t>
      </w:r>
      <w:r w:rsidDel="00000000" w:rsidR="00000000" w:rsidRPr="00000000">
        <w:rPr>
          <w:sz w:val="24"/>
          <w:szCs w:val="24"/>
          <w:rtl w:val="0"/>
        </w:rPr>
        <w:t xml:space="preserve">. Disponível em: &lt;https://www.teachastronomy.com/textbook/Matter-and-Energy-in-the-Universe/Wiens-Law/&gt;. Acesso em: 28 mar. 2019. 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KAMENKO, A. et al. </w:t>
      </w:r>
      <w:r w:rsidDel="00000000" w:rsidR="00000000" w:rsidRPr="00000000">
        <w:rPr>
          <w:b w:val="1"/>
          <w:sz w:val="24"/>
          <w:szCs w:val="24"/>
          <w:rtl w:val="0"/>
        </w:rPr>
        <w:t xml:space="preserve">Quantum Numbers</w:t>
      </w:r>
      <w:r w:rsidDel="00000000" w:rsidR="00000000" w:rsidRPr="00000000">
        <w:rPr>
          <w:sz w:val="24"/>
          <w:szCs w:val="24"/>
          <w:rtl w:val="0"/>
        </w:rPr>
        <w:t xml:space="preserve">. Disponível em: &lt;https://chem.libretexts.org/Bookshelves/Physical_and_Theoretical_Chemistry_Textbook_Maps/Supplemental_Modules_(Physical_and_Theoretical_Chemistry)/Quantum_Mechanics/10%3A_Multi-electron_Atoms/Quantum_Numbers&gt;. Acesso em: 28 mar. 2019. 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FREIBERGER, M. </w:t>
      </w:r>
      <w:r w:rsidDel="00000000" w:rsidR="00000000" w:rsidRPr="00000000">
        <w:rPr>
          <w:b w:val="1"/>
          <w:sz w:val="24"/>
          <w:szCs w:val="24"/>
          <w:rtl w:val="0"/>
        </w:rPr>
        <w:t xml:space="preserve">Schrödinger’s equation — what is it? </w:t>
      </w:r>
      <w:r w:rsidDel="00000000" w:rsidR="00000000" w:rsidRPr="00000000">
        <w:rPr>
          <w:sz w:val="24"/>
          <w:szCs w:val="24"/>
          <w:rtl w:val="0"/>
        </w:rPr>
        <w:t xml:space="preserve">Disponível em: &lt;https://plus.maths.org/content/schrodinger-1&gt;. Acesso em: 28 mar. 2019. 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HELMENSTINE, T. </w:t>
      </w:r>
      <w:r w:rsidDel="00000000" w:rsidR="00000000" w:rsidRPr="00000000">
        <w:rPr>
          <w:b w:val="1"/>
          <w:sz w:val="24"/>
          <w:szCs w:val="24"/>
          <w:rtl w:val="0"/>
        </w:rPr>
        <w:t xml:space="preserve">What Is the Rydberg Formula?</w:t>
      </w:r>
      <w:r w:rsidDel="00000000" w:rsidR="00000000" w:rsidRPr="00000000">
        <w:rPr>
          <w:sz w:val="24"/>
          <w:szCs w:val="24"/>
          <w:rtl w:val="0"/>
        </w:rPr>
        <w:t xml:space="preserve"> Disponível em: &lt;https://www.thoughtco.com/what-is-the-rydberg-formula-604285&gt;. Acesso em: 28 mar. 2019. 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DECROSS, M. </w:t>
      </w:r>
      <w:r w:rsidDel="00000000" w:rsidR="00000000" w:rsidRPr="00000000">
        <w:rPr>
          <w:b w:val="1"/>
          <w:sz w:val="24"/>
          <w:szCs w:val="24"/>
          <w:rtl w:val="0"/>
        </w:rPr>
        <w:t xml:space="preserve">Wave-Particle Duality</w:t>
      </w:r>
      <w:r w:rsidDel="00000000" w:rsidR="00000000" w:rsidRPr="00000000">
        <w:rPr>
          <w:sz w:val="24"/>
          <w:szCs w:val="24"/>
          <w:rtl w:val="0"/>
        </w:rPr>
        <w:t xml:space="preserve">. Disponível em: &lt;https://brilliant.org/wiki/wave-particle-duality/&gt;. Acesso em: 28 mar. 2019. 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ARDLEY, N., </w:t>
      </w:r>
      <w:r w:rsidDel="00000000" w:rsidR="00000000" w:rsidRPr="00000000">
        <w:rPr>
          <w:b w:val="1"/>
          <w:sz w:val="24"/>
          <w:szCs w:val="24"/>
          <w:rtl w:val="0"/>
        </w:rPr>
        <w:t xml:space="preserve">How Things Work</w:t>
      </w:r>
      <w:r w:rsidDel="00000000" w:rsidR="00000000" w:rsidRPr="00000000">
        <w:rPr>
          <w:sz w:val="24"/>
          <w:szCs w:val="24"/>
          <w:rtl w:val="0"/>
        </w:rPr>
        <w:t xml:space="preserve">, Dorling Kindersley limited, London, 1995. 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HALLIDAY, D., RESNICK, R. e WALKER, J.,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Fundamentos de Física</w:t>
      </w:r>
      <w:r w:rsidDel="00000000" w:rsidR="00000000" w:rsidRPr="00000000">
        <w:rPr>
          <w:sz w:val="24"/>
          <w:szCs w:val="24"/>
          <w:rtl w:val="0"/>
        </w:rPr>
        <w:t xml:space="preserve">, vol. 4 (Ótica e Física Moderna), LTC Editora, 4ª. Edição, 1995 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TIPLER, P., </w:t>
      </w:r>
      <w:r w:rsidDel="00000000" w:rsidR="00000000" w:rsidRPr="00000000">
        <w:rPr>
          <w:b w:val="1"/>
          <w:sz w:val="24"/>
          <w:szCs w:val="24"/>
          <w:rtl w:val="0"/>
        </w:rPr>
        <w:t xml:space="preserve">Física</w:t>
      </w:r>
      <w:r w:rsidDel="00000000" w:rsidR="00000000" w:rsidRPr="00000000">
        <w:rPr>
          <w:sz w:val="24"/>
          <w:szCs w:val="24"/>
          <w:rtl w:val="0"/>
        </w:rPr>
        <w:t xml:space="preserve">, vol.4, Editora Guanabara Koogan S.A., 3ª. Edição, 1994.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8" w:w="11906"/>
      <w:pgMar w:bottom="1417" w:top="1417" w:left="1350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>
        <w:vertAlign w:val="subscript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gif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