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SAN JOSÉ STATE UNIVERSITY</w:t>
      </w:r>
    </w:p>
    <w:p>
      <w:pPr>
        <w:pStyle w:val="Subtitle"/>
      </w:pPr>
      <w:r>
        <w:t>Color Theme &amp; UI Integration Guide</w:t>
      </w:r>
    </w:p>
    <w:p>
      <w:r>
        <w:t>Official brand colors + suggested implementation tokens for a hackathon prototype. These UI recommendations are not official SJSU design requirements.</w:t>
      </w:r>
    </w:p>
    <w:p>
      <w:pPr>
        <w:pStyle w:val="Heading1"/>
      </w:pPr>
      <w:r>
        <w:t>Official web palette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55A2"/>
          </w:tcPr>
          <w:p>
            <w:r>
              <w:rPr>
                <w:b/>
                <w:color w:val="FFFFFF"/>
              </w:rPr>
              <w:t>Color</w:t>
            </w:r>
          </w:p>
        </w:tc>
        <w:tc>
          <w:tcPr>
            <w:tcW w:type="dxa" w:w="2880"/>
            <w:shd w:fill="0055A2"/>
          </w:tcPr>
          <w:p>
            <w:r>
              <w:rPr>
                <w:b/>
                <w:color w:val="FFFFFF"/>
              </w:rPr>
              <w:t>HEX / RGB</w:t>
            </w:r>
          </w:p>
        </w:tc>
        <w:tc>
          <w:tcPr>
            <w:tcW w:type="dxa" w:w="2880"/>
            <w:shd w:fill="0055A2"/>
          </w:tcPr>
          <w:p>
            <w:r>
              <w:rPr>
                <w:b/>
                <w:color w:val="FFFFFF"/>
              </w:rPr>
              <w:t>Suggested use</w:t>
            </w:r>
          </w:p>
        </w:tc>
      </w:tr>
      <w:tr>
        <w:tc>
          <w:tcPr>
            <w:tcW w:type="dxa" w:w="2880"/>
            <w:shd w:fill="0055A2"/>
          </w:tcPr>
          <w:p>
            <w:r>
              <w:rPr>
                <w:color w:val="FFFFFF"/>
              </w:rPr>
              <w:t>SJSU Blue</w:t>
            </w:r>
          </w:p>
        </w:tc>
        <w:tc>
          <w:tcPr>
            <w:tcW w:type="dxa" w:w="2880"/>
          </w:tcPr>
          <w:p>
            <w:r>
              <w:t>#0055A2</w:t>
            </w:r>
          </w:p>
        </w:tc>
        <w:tc>
          <w:tcPr>
            <w:tcW w:type="dxa" w:w="2880"/>
          </w:tcPr>
          <w:p>
            <w:r>
              <w:t>Primary brand color; headers and navigation</w:t>
            </w:r>
          </w:p>
        </w:tc>
      </w:tr>
      <w:tr>
        <w:tc>
          <w:tcPr>
            <w:tcW w:type="dxa" w:w="2880"/>
            <w:shd w:fill="E5A823"/>
          </w:tcPr>
          <w:p>
            <w:r>
              <w:rPr>
                <w:color w:val="000000"/>
              </w:rPr>
              <w:t>SJSU Gold</w:t>
            </w:r>
          </w:p>
        </w:tc>
        <w:tc>
          <w:tcPr>
            <w:tcW w:type="dxa" w:w="2880"/>
          </w:tcPr>
          <w:p>
            <w:r>
              <w:t>#E5A823</w:t>
            </w:r>
          </w:p>
        </w:tc>
        <w:tc>
          <w:tcPr>
            <w:tcW w:type="dxa" w:w="2880"/>
          </w:tcPr>
          <w:p>
            <w:r>
              <w:t>Brand accent; visual highlights</w:t>
            </w:r>
          </w:p>
        </w:tc>
      </w:tr>
      <w:tr>
        <w:tc>
          <w:tcPr>
            <w:tcW w:type="dxa" w:w="2880"/>
            <w:shd w:fill="939597"/>
          </w:tcPr>
          <w:p>
            <w:r>
              <w:rPr>
                <w:color w:val="000000"/>
              </w:rPr>
              <w:t>SJSU Gray</w:t>
            </w:r>
          </w:p>
        </w:tc>
        <w:tc>
          <w:tcPr>
            <w:tcW w:type="dxa" w:w="2880"/>
          </w:tcPr>
          <w:p>
            <w:r>
              <w:t>#939597</w:t>
            </w:r>
          </w:p>
        </w:tc>
        <w:tc>
          <w:tcPr>
            <w:tcW w:type="dxa" w:w="2880"/>
          </w:tcPr>
          <w:p>
            <w:r>
              <w:t>Neutral brand color</w:t>
            </w:r>
          </w:p>
        </w:tc>
      </w:tr>
      <w:tr>
        <w:tc>
          <w:tcPr>
            <w:tcW w:type="dxa" w:w="2880"/>
            <w:shd w:fill="D2D2D2"/>
          </w:tcPr>
          <w:p>
            <w:r>
              <w:rPr>
                <w:color w:val="000000"/>
              </w:rPr>
              <w:t>Light Gray</w:t>
            </w:r>
          </w:p>
        </w:tc>
        <w:tc>
          <w:tcPr>
            <w:tcW w:type="dxa" w:w="2880"/>
          </w:tcPr>
          <w:p>
            <w:r>
              <w:t>#D2D2D2</w:t>
            </w:r>
          </w:p>
        </w:tc>
        <w:tc>
          <w:tcPr>
            <w:tcW w:type="dxa" w:w="2880"/>
          </w:tcPr>
          <w:p>
            <w:r>
              <w:t>Borders and soft dividers</w:t>
            </w:r>
          </w:p>
        </w:tc>
      </w:tr>
      <w:tr>
        <w:tc>
          <w:tcPr>
            <w:tcW w:type="dxa" w:w="2880"/>
            <w:shd w:fill="666666"/>
          </w:tcPr>
          <w:p>
            <w:r>
              <w:rPr>
                <w:color w:val="FFFFFF"/>
              </w:rPr>
              <w:t>Dark Gray</w:t>
            </w:r>
          </w:p>
        </w:tc>
        <w:tc>
          <w:tcPr>
            <w:tcW w:type="dxa" w:w="2880"/>
          </w:tcPr>
          <w:p>
            <w:r>
              <w:t>#666666</w:t>
            </w:r>
          </w:p>
        </w:tc>
        <w:tc>
          <w:tcPr>
            <w:tcW w:type="dxa" w:w="2880"/>
          </w:tcPr>
          <w:p>
            <w:r>
              <w:t>Secondary text</w:t>
            </w:r>
          </w:p>
        </w:tc>
      </w:tr>
    </w:tbl>
    <w:p>
      <w:r>
        <w:t>Official source: https://www.sjsu.edu/communications/brand/visual-style/color/web.php</w:t>
      </w:r>
    </w:p>
    <w:p>
      <w:pPr>
        <w:pStyle w:val="Heading1"/>
      </w:pPr>
      <w:r>
        <w:t>Suggested app theme (unofficial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55A2"/>
          </w:tcPr>
          <w:p>
            <w:r>
              <w:rPr>
                <w:b/>
                <w:color w:val="FFFFFF"/>
              </w:rPr>
              <w:t>Color</w:t>
            </w:r>
          </w:p>
        </w:tc>
        <w:tc>
          <w:tcPr>
            <w:tcW w:type="dxa" w:w="2880"/>
            <w:shd w:fill="0055A2"/>
          </w:tcPr>
          <w:p>
            <w:r>
              <w:rPr>
                <w:b/>
                <w:color w:val="FFFFFF"/>
              </w:rPr>
              <w:t>HEX / RGB</w:t>
            </w:r>
          </w:p>
        </w:tc>
        <w:tc>
          <w:tcPr>
            <w:tcW w:type="dxa" w:w="2880"/>
            <w:shd w:fill="0055A2"/>
          </w:tcPr>
          <w:p>
            <w:r>
              <w:rPr>
                <w:b/>
                <w:color w:val="FFFFFF"/>
              </w:rPr>
              <w:t>Suggested use</w:t>
            </w:r>
          </w:p>
        </w:tc>
      </w:tr>
      <w:tr>
        <w:tc>
          <w:tcPr>
            <w:tcW w:type="dxa" w:w="2880"/>
            <w:shd w:fill="FFFFFF"/>
          </w:tcPr>
          <w:p>
            <w:r>
              <w:rPr>
                <w:color w:val="000000"/>
              </w:rPr>
              <w:t>Main background</w:t>
            </w:r>
          </w:p>
        </w:tc>
        <w:tc>
          <w:tcPr>
            <w:tcW w:type="dxa" w:w="2880"/>
          </w:tcPr>
          <w:p>
            <w:r>
              <w:t>#FFFFFF</w:t>
            </w:r>
          </w:p>
        </w:tc>
        <w:tc>
          <w:tcPr>
            <w:tcW w:type="dxa" w:w="2880"/>
          </w:tcPr>
          <w:p>
            <w:r>
              <w:t>Page background</w:t>
            </w:r>
          </w:p>
        </w:tc>
      </w:tr>
      <w:tr>
        <w:tc>
          <w:tcPr>
            <w:tcW w:type="dxa" w:w="2880"/>
            <w:shd w:fill="F5F7FA"/>
          </w:tcPr>
          <w:p>
            <w:r>
              <w:rPr>
                <w:color w:val="000000"/>
              </w:rPr>
              <w:t>Soft background</w:t>
            </w:r>
          </w:p>
        </w:tc>
        <w:tc>
          <w:tcPr>
            <w:tcW w:type="dxa" w:w="2880"/>
          </w:tcPr>
          <w:p>
            <w:r>
              <w:t>#F5F7FA</w:t>
            </w:r>
          </w:p>
        </w:tc>
        <w:tc>
          <w:tcPr>
            <w:tcW w:type="dxa" w:w="2880"/>
          </w:tcPr>
          <w:p>
            <w:r>
              <w:t>Cards and content sections</w:t>
            </w:r>
          </w:p>
        </w:tc>
      </w:tr>
      <w:tr>
        <w:tc>
          <w:tcPr>
            <w:tcW w:type="dxa" w:w="2880"/>
            <w:shd w:fill="0055A2"/>
          </w:tcPr>
          <w:p>
            <w:r>
              <w:rPr>
                <w:color w:val="FFFFFF"/>
              </w:rPr>
              <w:t>Blue</w:t>
            </w:r>
          </w:p>
        </w:tc>
        <w:tc>
          <w:tcPr>
            <w:tcW w:type="dxa" w:w="2880"/>
          </w:tcPr>
          <w:p>
            <w:r>
              <w:t>#0055A2</w:t>
            </w:r>
          </w:p>
        </w:tc>
        <w:tc>
          <w:tcPr>
            <w:tcW w:type="dxa" w:w="2880"/>
          </w:tcPr>
          <w:p>
            <w:r>
              <w:t>Navigation, primary actions, links</w:t>
            </w:r>
          </w:p>
        </w:tc>
      </w:tr>
      <w:tr>
        <w:tc>
          <w:tcPr>
            <w:tcW w:type="dxa" w:w="2880"/>
            <w:shd w:fill="E5A823"/>
          </w:tcPr>
          <w:p>
            <w:r>
              <w:rPr>
                <w:color w:val="000000"/>
              </w:rPr>
              <w:t>Gold</w:t>
            </w:r>
          </w:p>
        </w:tc>
        <w:tc>
          <w:tcPr>
            <w:tcW w:type="dxa" w:w="2880"/>
          </w:tcPr>
          <w:p>
            <w:r>
              <w:t>#E5A823</w:t>
            </w:r>
          </w:p>
        </w:tc>
        <w:tc>
          <w:tcPr>
            <w:tcW w:type="dxa" w:w="2880"/>
          </w:tcPr>
          <w:p>
            <w:r>
              <w:t>Decorative accents and icons; avoid gold text on white</w:t>
            </w:r>
          </w:p>
        </w:tc>
      </w:tr>
      <w:tr>
        <w:tc>
          <w:tcPr>
            <w:tcW w:type="dxa" w:w="2880"/>
            <w:shd w:fill="242B33"/>
          </w:tcPr>
          <w:p>
            <w:r>
              <w:rPr>
                <w:color w:val="000000"/>
              </w:rPr>
              <w:t>Dark text</w:t>
            </w:r>
          </w:p>
        </w:tc>
        <w:tc>
          <w:tcPr>
            <w:tcW w:type="dxa" w:w="2880"/>
          </w:tcPr>
          <w:p>
            <w:r>
              <w:t>#242B33</w:t>
            </w:r>
          </w:p>
        </w:tc>
        <w:tc>
          <w:tcPr>
            <w:tcW w:type="dxa" w:w="2880"/>
          </w:tcPr>
          <w:p>
            <w:r>
              <w:t>Headings and body text</w:t>
            </w:r>
          </w:p>
        </w:tc>
      </w:tr>
      <w:tr>
        <w:tc>
          <w:tcPr>
            <w:tcW w:type="dxa" w:w="2880"/>
            <w:shd w:fill="133761"/>
          </w:tcPr>
          <w:p>
            <w:r>
              <w:rPr>
                <w:color w:val="FFFFFF"/>
              </w:rPr>
              <w:t>Dark blue</w:t>
            </w:r>
          </w:p>
        </w:tc>
        <w:tc>
          <w:tcPr>
            <w:tcW w:type="dxa" w:w="2880"/>
          </w:tcPr>
          <w:p>
            <w:r>
              <w:t>#133761</w:t>
            </w:r>
          </w:p>
        </w:tc>
        <w:tc>
          <w:tcPr>
            <w:tcW w:type="dxa" w:w="2880"/>
          </w:tcPr>
          <w:p>
            <w:r>
              <w:t>Optional dark navigation and hover state</w:t>
            </w:r>
          </w:p>
        </w:tc>
      </w:tr>
    </w:tbl>
    <w:p>
      <w:pPr>
        <w:pStyle w:val="Heading1"/>
      </w:pPr>
      <w:r>
        <w:t>Recommended visual hierarchy</w:t>
      </w:r>
    </w:p>
    <w:p>
      <w:r>
        <w:t>Use white or a very light gray as the main canvas. Put the application name and navigation in SJSU blue. Use gold sparingly for important accents, charts, and decorative rules. Keep paragraphs dark gray or nearly black. Use clear keyboard focus indicators and check contrast for buttons and small text.</w:t>
      </w:r>
    </w:p>
    <w:p>
      <w:pPr>
        <w:pStyle w:val="Heading1"/>
      </w:pPr>
      <w:r>
        <w:t>Copy-ready CSS</w:t>
      </w:r>
    </w:p>
    <w:p>
      <w:pPr>
        <w:spacing w:after="0"/>
      </w:pPr>
      <w:r>
        <w:rPr>
          <w:rFonts w:ascii="Consolas" w:hAnsi="Consolas"/>
          <w:sz w:val="15"/>
        </w:rPr>
        <w:t>/* Official SJSU brand HEX values are marked. Other tokens are application suggestions. */</w:t>
      </w:r>
    </w:p>
    <w:p>
      <w:pPr>
        <w:spacing w:after="0"/>
      </w:pPr>
      <w:r>
        <w:rPr>
          <w:rFonts w:ascii="Consolas" w:hAnsi="Consolas"/>
          <w:sz w:val="15"/>
        </w:rPr>
        <w:t>:root {</w:t>
      </w:r>
    </w:p>
    <w:p>
      <w:pPr>
        <w:spacing w:after="0"/>
      </w:pPr>
      <w:r>
        <w:rPr>
          <w:rFonts w:ascii="Consolas" w:hAnsi="Consolas"/>
          <w:sz w:val="15"/>
        </w:rPr>
        <w:t xml:space="preserve">  --sjsu-blue: #0055A2;   /* official */</w:t>
      </w:r>
    </w:p>
    <w:p>
      <w:pPr>
        <w:spacing w:after="0"/>
      </w:pPr>
      <w:r>
        <w:rPr>
          <w:rFonts w:ascii="Consolas" w:hAnsi="Consolas"/>
          <w:sz w:val="15"/>
        </w:rPr>
        <w:t xml:space="preserve">  --sjsu-gold: #E5A823;   /* official */</w:t>
      </w:r>
    </w:p>
    <w:p>
      <w:pPr>
        <w:spacing w:after="0"/>
      </w:pPr>
      <w:r>
        <w:rPr>
          <w:rFonts w:ascii="Consolas" w:hAnsi="Consolas"/>
          <w:sz w:val="15"/>
        </w:rPr>
        <w:t xml:space="preserve">  --sjsu-gray: #939597;   /* official */</w:t>
      </w:r>
    </w:p>
    <w:p>
      <w:pPr>
        <w:spacing w:after="0"/>
      </w:pPr>
      <w:r>
        <w:rPr>
          <w:rFonts w:ascii="Consolas" w:hAnsi="Consolas"/>
          <w:sz w:val="15"/>
        </w:rPr>
        <w:t xml:space="preserve">  --sjsu-light-gray: #D2D2D2; /* official */</w:t>
      </w:r>
    </w:p>
    <w:p>
      <w:pPr>
        <w:spacing w:after="0"/>
      </w:pPr>
      <w:r>
        <w:rPr>
          <w:rFonts w:ascii="Consolas" w:hAnsi="Consolas"/>
          <w:sz w:val="15"/>
        </w:rPr>
        <w:t xml:space="preserve">  --sjsu-dark-gray: #666666;  /* official */</w:t>
      </w:r>
    </w:p>
    <w:p>
      <w:pPr>
        <w:spacing w:after="0"/>
      </w:pPr>
      <w:r>
        <w:rPr>
          <w:rFonts w:ascii="Consolas" w:hAnsi="Consolas"/>
          <w:sz w:val="15"/>
        </w:rPr>
        <w:t xml:space="preserve">  --app-background: #FFFFFF;</w:t>
      </w:r>
    </w:p>
    <w:p>
      <w:pPr>
        <w:spacing w:after="0"/>
      </w:pPr>
      <w:r>
        <w:rPr>
          <w:rFonts w:ascii="Consolas" w:hAnsi="Consolas"/>
          <w:sz w:val="15"/>
        </w:rPr>
        <w:t xml:space="preserve">  --app-surface: #F5F7FA;</w:t>
      </w:r>
    </w:p>
    <w:p>
      <w:pPr>
        <w:spacing w:after="0"/>
      </w:pPr>
      <w:r>
        <w:rPr>
          <w:rFonts w:ascii="Consolas" w:hAnsi="Consolas"/>
          <w:sz w:val="15"/>
        </w:rPr>
        <w:t xml:space="preserve">  --app-ink: #242B33;</w:t>
      </w:r>
    </w:p>
    <w:p>
      <w:pPr>
        <w:spacing w:after="0"/>
      </w:pPr>
      <w:r>
        <w:rPr>
          <w:rFonts w:ascii="Consolas" w:hAnsi="Consolas"/>
          <w:sz w:val="15"/>
        </w:rPr>
        <w:t xml:space="preserve">  --app-blue-dark: #133761; /* official print palette secondary */</w:t>
      </w:r>
    </w:p>
    <w:p>
      <w:pPr>
        <w:spacing w:after="0"/>
      </w:pPr>
      <w:r>
        <w:rPr>
          <w:rFonts w:ascii="Consolas" w:hAnsi="Consolas"/>
          <w:sz w:val="15"/>
        </w:rPr>
        <w:t>}</w:t>
      </w:r>
    </w:p>
    <w:p>
      <w:pPr>
        <w:spacing w:after="0"/>
      </w:pPr>
      <w:r>
        <w:rPr>
          <w:rFonts w:ascii="Consolas" w:hAnsi="Consolas"/>
          <w:sz w:val="15"/>
        </w:rPr>
        <w:t>body { background: var(--app-background); color: var(--app-ink); }</w:t>
      </w:r>
    </w:p>
    <w:p>
      <w:pPr>
        <w:spacing w:after="0"/>
      </w:pPr>
      <w:r>
        <w:rPr>
          <w:rFonts w:ascii="Consolas" w:hAnsi="Consolas"/>
          <w:sz w:val="15"/>
        </w:rPr>
        <w:t>header, nav { background: var(--sjsu-blue); color: white; }</w:t>
      </w:r>
    </w:p>
    <w:p>
      <w:pPr>
        <w:spacing w:after="0"/>
      </w:pPr>
      <w:r>
        <w:rPr>
          <w:rFonts w:ascii="Consolas" w:hAnsi="Consolas"/>
          <w:sz w:val="15"/>
        </w:rPr>
        <w:t>button.primary { background: var(--sjsu-blue); color: white; }</w:t>
      </w:r>
    </w:p>
    <w:p>
      <w:pPr>
        <w:spacing w:after="0"/>
      </w:pPr>
      <w:r>
        <w:rPr>
          <w:rFonts w:ascii="Consolas" w:hAnsi="Consolas"/>
          <w:sz w:val="15"/>
        </w:rPr>
        <w:t>button.primary:hover { background: var(--app-blue-dark); }</w:t>
      </w:r>
    </w:p>
    <w:p>
      <w:pPr>
        <w:spacing w:after="0"/>
      </w:pPr>
      <w:r>
        <w:rPr>
          <w:rFonts w:ascii="Consolas" w:hAnsi="Consolas"/>
          <w:sz w:val="15"/>
        </w:rPr>
        <w:t>.card { background: var(--app-surface); border: 1px solid var(--sjsu-light-gray); }</w:t>
      </w:r>
    </w:p>
    <w:p>
      <w:pPr>
        <w:spacing w:after="0"/>
      </w:pPr>
      <w:r>
        <w:rPr>
          <w:rFonts w:ascii="Consolas" w:hAnsi="Consolas"/>
          <w:sz w:val="15"/>
        </w:rPr>
        <w:t>.accent { border-left: 4px solid var(--sjsu-gold); }</w:t>
      </w:r>
    </w:p>
    <w:p>
      <w:pPr>
        <w:spacing w:after="0"/>
      </w:pPr>
      <w:r>
        <w:rPr>
          <w:rFonts w:ascii="Consolas" w:hAnsi="Consolas"/>
          <w:sz w:val="15"/>
        </w:rPr>
        <w:t>a { color: var(--sjsu-blue); }</w:t>
      </w:r>
    </w:p>
    <w:p>
      <w:pPr>
        <w:spacing w:after="0"/>
      </w:pPr>
      <w:r>
        <w:rPr>
          <w:rFonts w:ascii="Consolas" w:hAnsi="Consolas"/>
          <w:sz w:val="15"/>
        </w:rPr>
        <w:t>:focus-visible { outline: 3px solid var(--sjsu-gold); outline-offset: 2px; }</w:t>
      </w:r>
    </w:p>
    <w:p>
      <w:pPr>
        <w:pStyle w:val="Heading1"/>
      </w:pPr>
      <w:r>
        <w:t>Brand and accessibility notes</w:t>
      </w:r>
    </w:p>
    <w:p>
      <w:r>
        <w:t>Using official colors does not imply SJSU endorsement or authorization to use its logos. For university marks, refer to https://www.sjsu.edu/communications/brand/visual-style/university-marks/index.php. Test text/background contrast against WCAG guidelines, especially on gold and gray. The proposed UI roles are practical suggestions for your prototype, not an official institutional template.</w:t>
      </w:r>
    </w:p>
    <w:p>
      <w:pPr>
        <w:pStyle w:val="Heading1"/>
      </w:pPr>
      <w:r>
        <w:t>Sources</w:t>
      </w:r>
    </w:p>
    <w:p>
      <w:r>
        <w:t>SJSU University Marketing and Communications — Web Colors: https://www.sjsu.edu/communications/brand/visual-style/color/web.php</w:t>
      </w:r>
    </w:p>
    <w:p>
      <w:r>
        <w:t>SJSU University Marketing and Communications — Print Colors: https://phones.sjsu.edu/communications/brand/visual-style/color/print.php</w:t>
      </w:r>
    </w:p>
    <w:p>
      <w:r>
        <w:t>SJSU University Marks: https://www.sjsu.edu/communications/brand/visual-style/university-marks/index.php</w:t>
      </w:r>
    </w:p>
    <w:sectPr w:rsidR="00FC693F" w:rsidRPr="0006063C" w:rsidSect="00034616">
      <w:pgSz w:w="12240" w:h="15840"/>
      <w:pgMar w:top="1008"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5A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55A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55A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