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szCs w:val="40"/>
        </w:rPr>
        <w:t xml:space="preserve">Quant Investment Dashboard</w:t>
      </w:r>
    </w:p>
    <w:p>
      <w:pPr>
        <w:jc w:val="center"/>
      </w:pPr>
      <w:r>
        <w:rPr>
          <w:b/>
          <w:sz w:val="34"/>
          <w:szCs w:val="34"/>
        </w:rPr>
        <w:t xml:space="preserve">System Implementation Proposal v2.0</w:t>
      </w:r>
    </w:p>
    <w:p>
      <w:pPr>
        <w:jc w:val="center"/>
      </w:pPr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Executable Design and Coding Blueprint</w:t>
      </w:r>
    </w:p>
    <w:p>
      <w:pPr>
        <w:jc w:val="center"/>
      </w:pPr>
      <w:r>
        <w:t xml:space="preserve"/>
      </w:r>
    </w:p>
    <w:p>
      <w:pPr>
        <w:jc w:val="center"/>
      </w:pPr>
      <w:r>
        <w:t xml:space="preserve">Generated at: 2026-05-14 05:38 UTC</w:t>
      </w:r>
    </w:p>
    <w:p>
      <w:pPr>
        <w:jc w:val="center"/>
      </w:pPr>
      <w:r>
        <w:t xml:space="preserve">Audience: Product / Quant / Backend / Frontend / QA / DevOps</w:t>
      </w:r>
    </w:p>
    <w:p>
      <w:r>
        <w:t xml:space="preserve"/>
      </w:r>
    </w:p>
    <w:p>
      <w:r>
        <w:t xml:space="preserve"/>
      </w:r>
    </w:p>
    <w:p>
      <w:r>
        <w:rPr>
          <w:b/>
          <w:sz w:val="28"/>
          <w:szCs w:val="28"/>
        </w:rPr>
        <w:t xml:space="preserve">Table of Contents</w:t>
      </w:r>
    </w:p>
    <w:p>
      <w:r>
        <w:t xml:space="preserve">- 1. Executive Summary</w:t>
      </w:r>
    </w:p>
    <w:p>
      <w:r>
        <w:t xml:space="preserve">- 2. Architecture and Layer Responsibilities</w:t>
      </w:r>
    </w:p>
    <w:p>
      <w:r>
        <w:t xml:space="preserve">- 3. Core Quant Policies (P0)</w:t>
      </w:r>
    </w:p>
    <w:p>
      <w:r>
        <w:t xml:space="preserve">- 4. API Contracts and Data Models</w:t>
      </w:r>
    </w:p>
    <w:p>
      <w:r>
        <w:t xml:space="preserve">- 5. UI Composition and Interaction Design</w:t>
      </w:r>
    </w:p>
    <w:p>
      <w:r>
        <w:t xml:space="preserve">- 6. Risk Drill-down Functional Design (P1)</w:t>
      </w:r>
    </w:p>
    <w:p>
      <w:r>
        <w:t xml:space="preserve">- 7. Error and Missing-data UX</w:t>
      </w:r>
    </w:p>
    <w:p>
      <w:r>
        <w:t xml:space="preserve">- 8. Development Backlog and Delivery Plan</w:t>
      </w:r>
    </w:p>
    <w:p>
      <w:r>
        <w:t xml:space="preserve">- 9. Requirement Traceability Matrix</w:t>
      </w:r>
    </w:p>
    <w:p>
      <w:r>
        <w:t xml:space="preserve">- 10. Test Strategy and Regression Checklist</w:t>
      </w:r>
    </w:p>
    <w:p>
      <w:r>
        <w:t xml:space="preserve">- 11. Done Criteria and Operational Handover</w:t>
      </w:r>
    </w:p>
    <w:p>
      <w:r>
        <w:t xml:space="preserve"/>
      </w:r>
    </w:p>
    <w:p>
      <w:r>
        <w:rPr>
          <w:b/>
          <w:sz w:val="28"/>
          <w:szCs w:val="28"/>
        </w:rPr>
        <w:t xml:space="preserve">1. Executive Summary</w:t>
      </w:r>
    </w:p>
    <w:p>
      <w:r>
        <w:t xml:space="preserve">This document is written as a coding-ready design. It freezes formulas, policies, API fields, UI component boundaries, and test gates so engineers can implement without interpretation drift.</w:t>
      </w:r>
    </w:p>
    <w:p>
      <w:r>
        <w:t xml:space="preserve"/>
      </w:r>
    </w:p>
    <w:p>
      <w:r>
        <w:rPr>
          <w:b/>
          <w:sz w:val="28"/>
          <w:szCs w:val="28"/>
        </w:rPr>
        <w:t xml:space="preserve">2. Architecture and Layer Responsibilities</w:t>
      </w:r>
    </w:p>
    <w:tbl>
      <w:tblPr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4" w:space="0" w:color="C7D1DC"/>
          <w:insideV w:val="single" w:sz="4" w:space="0" w:color="C7D1DC"/>
        </w:tblBorders>
      </w:tblPr>
      <w:tblGrid>
        <w:gridCol w:w="4500"/>
        <w:gridCol w:w="4500"/>
      </w:tblGrid>
      <w:tr>
        <w:tc>
          <w:tcPr>
            <w:shd w:val="clear" w:color="auto" w:fill="EAF0F7"/>
          </w:tcPr>
          <w:p>
            <w:r>
              <w:rPr>
                <w:b/>
              </w:rPr>
              <w:t xml:space="preserve">Layer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Responsibility</w:t>
            </w:r>
          </w:p>
        </w:tc>
      </w:tr>
      <w:tr>
        <w:tc>
          <w:p>
            <w:r>
              <w:t xml:space="preserve">Provider Layer</w:t>
            </w:r>
          </w:p>
        </w:tc>
        <w:tc>
          <w:p>
            <w:r>
              <w:t xml:space="preserve">Naver/OpenDART/Yahoo fetch, parse, and failure diagnostics</w:t>
            </w:r>
          </w:p>
        </w:tc>
      </w:tr>
      <w:tr>
        <w:tc>
          <w:p>
            <w:r>
              <w:t xml:space="preserve">Pipeline Layer</w:t>
            </w:r>
          </w:p>
        </w:tc>
        <w:tc>
          <w:p>
            <w:r>
              <w:t xml:space="preserve">Acquire + enrich + derive + aggregate diagnostics</w:t>
            </w:r>
          </w:p>
        </w:tc>
      </w:tr>
      <w:tr>
        <w:tc>
          <w:p>
            <w:r>
              <w:t xml:space="preserve">Quant Core Layer</w:t>
            </w:r>
          </w:p>
        </w:tc>
        <w:tc>
          <w:p>
            <w:r>
              <w:t xml:space="preserve">Shared formulas: weights, disparity, fair value, confidence, delay</w:t>
            </w:r>
          </w:p>
        </w:tc>
      </w:tr>
      <w:tr>
        <w:tc>
          <w:p>
            <w:r>
              <w:t xml:space="preserve">Display Layer</w:t>
            </w:r>
          </w:p>
        </w:tc>
        <w:tc>
          <w:p>
            <w:r>
              <w:t xml:space="preserve">Single DTO used by UI and export</w:t>
            </w:r>
          </w:p>
        </w:tc>
      </w:tr>
      <w:tr>
        <w:tc>
          <w:p>
            <w:r>
              <w:t xml:space="preserve">Delivery Layer</w:t>
            </w:r>
          </w:p>
        </w:tc>
        <w:tc>
          <w:p>
            <w:r>
              <w:t xml:space="preserve">FastAPI endpoints + static dashboard + CSV/Excel download</w:t>
            </w:r>
          </w:p>
        </w:tc>
      </w:tr>
    </w:tbl>
    <w:p>
      <w:r>
        <w:t xml:space="preserve"/>
      </w:r>
    </w:p>
    <w:p>
      <w:r>
        <w:rPr>
          <w:b/>
          <w:sz w:val="28"/>
          <w:szCs w:val="28"/>
        </w:rPr>
        <w:t xml:space="preserve">3. Core Quant Policies (P0)</w:t>
      </w:r>
    </w:p>
    <w:p>
      <w:r>
        <w:rPr>
          <w:b/>
        </w:rPr>
        <w:t xml:space="preserve">3.1 Holdings weight normalization policy</w:t>
      </w:r>
    </w:p>
    <w:p>
      <w:r>
        <w:t xml:space="preserve">- Weight basis: market_value</w:t>
      </w:r>
    </w:p>
    <w:p>
      <w:r>
        <w:t xml:space="preserve">- Optional cash inclusion: include_cash + cash_value</w:t>
      </w:r>
    </w:p>
    <w:p>
      <w:r>
        <w:t xml:space="preserve">- Display precision: 2 digits, ROUND_HALF_UP</w:t>
      </w:r>
    </w:p>
    <w:p>
      <w:r>
        <w:t xml:space="preserve">- Guaranteed display sum: 100.00 via last-row adjustment</w:t>
      </w:r>
    </w:p>
    <w:p>
      <w:r>
        <w:rPr>
          <w:b/>
        </w:rPr>
        <w:t xml:space="preserve">3.2 Fair value disparity policy</w:t>
      </w:r>
    </w:p>
    <w:p>
      <w:r>
        <w:t xml:space="preserve">- Formula: (fair_value - current_price) / current_price * 100</w:t>
      </w:r>
    </w:p>
    <w:p>
      <w:r>
        <w:t xml:space="preserve">- Formula implementation must be centralized in one function</w:t>
      </w:r>
    </w:p>
    <w:p>
      <w:r>
        <w:t xml:space="preserve">- Same numeric output required across UI/API/CSV/Excel</w:t>
      </w:r>
    </w:p>
    <w:p>
      <w:r>
        <w:t xml:space="preserve"/>
      </w:r>
    </w:p>
    <w:p>
      <w:r>
        <w:rPr>
          <w:b/>
          <w:sz w:val="28"/>
          <w:szCs w:val="28"/>
        </w:rPr>
        <w:t xml:space="preserve">4. API Contracts and Data Models</w:t>
      </w:r>
    </w:p>
    <w:tbl>
      <w:tblPr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4" w:space="0" w:color="C7D1DC"/>
          <w:insideV w:val="single" w:sz="4" w:space="0" w:color="C7D1DC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EAF0F7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Key Params</w:t>
            </w:r>
          </w:p>
        </w:tc>
      </w:tr>
      <w:tr>
        <w:tc>
          <w:p>
            <w:r>
              <w:t xml:space="preserve">/api/snapshot/{ticker}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market, corp_code, years, include_cash, cash_value, dart_api_key</w:t>
            </w:r>
          </w:p>
        </w:tc>
      </w:tr>
      <w:tr>
        <w:tc>
          <w:p>
            <w:r>
              <w:t xml:space="preserve">/api/snapshot/{ticker}/download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format=csv|excel + snapshot query params</w:t>
            </w:r>
          </w:p>
        </w:tc>
      </w:tr>
    </w:tbl>
    <w:p>
      <w:r>
        <w:rPr>
          <w:b/>
        </w:rPr>
        <w:t xml:space="preserve">Required response keys in display payload:</w:t>
      </w:r>
    </w:p>
    <w:p>
      <w:r>
        <w:t xml:space="preserve">- tabs, meta, holdings, holdings_policy, fair_value, risk, market_regime, portfolio_performance</w:t>
      </w:r>
    </w:p>
    <w:p>
      <w:r>
        <w:t xml:space="preserve">- meta contains source, as_of, delay_sec, confidence</w:t>
      </w:r>
    </w:p>
    <w:p>
      <w:r>
        <w:t xml:space="preserve"/>
      </w:r>
    </w:p>
    <w:p>
      <w:r>
        <w:rPr>
          <w:b/>
          <w:sz w:val="28"/>
          <w:szCs w:val="28"/>
        </w:rPr>
        <w:t xml:space="preserve">5. UI Composition and Interaction Design</w:t>
      </w:r>
    </w:p>
    <w:p>
      <w:r>
        <w:t xml:space="preserve">Tabbed card layout (must not render all sections in one long list):</w:t>
      </w:r>
    </w:p>
    <w:p>
      <w:r>
        <w:t xml:space="preserve">- Market Regime Board</w:t>
      </w:r>
    </w:p>
    <w:p>
      <w:r>
        <w:t xml:space="preserve">- Holdings</w:t>
      </w:r>
    </w:p>
    <w:p>
      <w:r>
        <w:t xml:space="preserve">- Fair Value</w:t>
      </w:r>
    </w:p>
    <w:p>
      <w:r>
        <w:t xml:space="preserve">- Risk (with drill-down panel)</w:t>
      </w:r>
    </w:p>
    <w:p>
      <w:r>
        <w:t xml:space="preserve">- Portfolio Performance</w:t>
      </w:r>
    </w:p>
    <w:p>
      <w:r>
        <w:t xml:space="preserve">Unified state colors: up / down / neutral / risk</w:t>
      </w:r>
    </w:p>
    <w:p>
      <w:r>
        <w:t xml:space="preserve">Numeric table style: right aligned, tabular-nums, thousand separators, fixed 2 decimals</w:t>
      </w:r>
    </w:p>
    <w:p>
      <w:r>
        <w:t xml:space="preserve">Chart convention: series-specific colors and line patterns (solid, dashed)</w:t>
      </w:r>
    </w:p>
    <w:p>
      <w:r>
        <w:t xml:space="preserve"/>
      </w:r>
    </w:p>
    <w:p>
      <w:r>
        <w:rPr>
          <w:b/>
          <w:sz w:val="28"/>
          <w:szCs w:val="28"/>
        </w:rPr>
        <w:t xml:space="preserve">6. Risk Drill-down Functional Design (P1)</w:t>
      </w:r>
    </w:p>
    <w:p>
      <w:r>
        <w:rPr>
          <w:b/>
        </w:rPr>
        <w:t xml:space="preserve">Alert object fields:</w:t>
      </w:r>
    </w:p>
    <w:p>
      <w:r>
        <w:t xml:space="preserve">- id, severity, title, summary</w:t>
      </w:r>
    </w:p>
    <w:p>
      <w:r>
        <w:t xml:space="preserve">- factors[]</w:t>
      </w:r>
    </w:p>
    <w:p>
      <w:r>
        <w:t xml:space="preserve">- contributors[] (Top N positions)</w:t>
      </w:r>
    </w:p>
    <w:p>
      <w:r>
        <w:t xml:space="preserve">- impact</w:t>
      </w:r>
    </w:p>
    <w:p>
      <w:r>
        <w:t xml:space="preserve">- actions[]</w:t>
      </w:r>
    </w:p>
    <w:p>
      <w:r>
        <w:t xml:space="preserve">Interaction rule: clicking an alert must immediately populate the drill-down panel</w:t>
      </w:r>
    </w:p>
    <w:p>
      <w:r>
        <w:t xml:space="preserve"/>
      </w:r>
    </w:p>
    <w:p>
      <w:r>
        <w:rPr>
          <w:b/>
          <w:sz w:val="28"/>
          <w:szCs w:val="28"/>
        </w:rPr>
        <w:t xml:space="preserve">7. Error and Missing-data UX</w:t>
      </w:r>
    </w:p>
    <w:p>
      <w:r>
        <w:t xml:space="preserve">- If fetch fails and previous snapshot exists: render last-known-good + warning banner</w:t>
      </w:r>
    </w:p>
    <w:p>
      <w:r>
        <w:t xml:space="preserve">- If provider partially fails: keep layout stable and display diagnostics summary</w:t>
      </w:r>
    </w:p>
    <w:p>
      <w:r>
        <w:t xml:space="preserve">- Missing numeric fields should display placeholders, never collapse cards/tables</w:t>
      </w:r>
    </w:p>
    <w:p>
      <w:r>
        <w:t xml:space="preserve"/>
      </w:r>
    </w:p>
    <w:p>
      <w:r>
        <w:rPr>
          <w:b/>
          <w:sz w:val="28"/>
          <w:szCs w:val="28"/>
        </w:rPr>
        <w:t xml:space="preserve">8. Development Backlog and Delivery Plan</w:t>
      </w:r>
    </w:p>
    <w:tbl>
      <w:tblPr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4" w:space="0" w:color="C7D1DC"/>
          <w:insideV w:val="single" w:sz="4" w:space="0" w:color="C7D1DC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EAF0F7"/>
          </w:tcPr>
          <w:p>
            <w:r>
              <w:rPr>
                <w:b/>
              </w:rPr>
              <w:t xml:space="preserve">Ticket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Deliverable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Owner</w:t>
            </w:r>
          </w:p>
        </w:tc>
      </w:tr>
      <w:tr>
        <w:tc>
          <w:p>
            <w:r>
              <w:t xml:space="preserve">QNT-101</w:t>
            </w:r>
          </w:p>
        </w:tc>
        <w:tc>
          <w:p>
            <w:r>
              <w:t xml:space="preserve">P0</w:t>
            </w:r>
          </w:p>
        </w:tc>
        <w:tc>
          <w:p>
            <w:r>
              <w:t xml:space="preserve">Holdings weight normalization and cash policy</w:t>
            </w:r>
          </w:p>
        </w:tc>
        <w:tc>
          <w:p>
            <w:r>
              <w:t xml:space="preserve">Quant + Backend</w:t>
            </w:r>
          </w:p>
        </w:tc>
      </w:tr>
      <w:tr>
        <w:tc>
          <w:p>
            <w:r>
              <w:t xml:space="preserve">QNT-102</w:t>
            </w:r>
          </w:p>
        </w:tc>
        <w:tc>
          <w:p>
            <w:r>
              <w:t xml:space="preserve">P0</w:t>
            </w:r>
          </w:p>
        </w:tc>
        <w:tc>
          <w:p>
            <w:r>
              <w:t xml:space="preserve">Central disparity function and display/export consistency</w:t>
            </w:r>
          </w:p>
        </w:tc>
        <w:tc>
          <w:p>
            <w:r>
              <w:t xml:space="preserve">Quant + Backend</w:t>
            </w:r>
          </w:p>
        </w:tc>
      </w:tr>
      <w:tr>
        <w:tc>
          <w:p>
            <w:r>
              <w:t xml:space="preserve">QNT-103</w:t>
            </w:r>
          </w:p>
        </w:tc>
        <w:tc>
          <w:p>
            <w:r>
              <w:t xml:space="preserve">P0</w:t>
            </w:r>
          </w:p>
        </w:tc>
        <w:tc>
          <w:p>
            <w:r>
              <w:t xml:space="preserve">Number format standardization in all tables/cards</w:t>
            </w:r>
          </w:p>
        </w:tc>
        <w:tc>
          <w:p>
            <w:r>
              <w:t xml:space="preserve">Frontend</w:t>
            </w:r>
          </w:p>
        </w:tc>
      </w:tr>
      <w:tr>
        <w:tc>
          <w:p>
            <w:r>
              <w:t xml:space="preserve">QNT-201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Risk alert drill-down panel and interaction</w:t>
            </w:r>
          </w:p>
        </w:tc>
        <w:tc>
          <w:p>
            <w:r>
              <w:t xml:space="preserve">Frontend + Backend</w:t>
            </w:r>
          </w:p>
        </w:tc>
      </w:tr>
      <w:tr>
        <w:tc>
          <w:p>
            <w:r>
              <w:t xml:space="preserve">QNT-202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Metadata exposure: source/as_of/delay_sec/confidence</w:t>
            </w:r>
          </w:p>
        </w:tc>
        <w:tc>
          <w:p>
            <w:r>
              <w:t xml:space="preserve">Backend</w:t>
            </w:r>
          </w:p>
        </w:tc>
      </w:tr>
      <w:tr>
        <w:tc>
          <w:p>
            <w:r>
              <w:t xml:space="preserve">QNT-203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Resilient missing/error UX states</w:t>
            </w:r>
          </w:p>
        </w:tc>
        <w:tc>
          <w:p>
            <w:r>
              <w:t xml:space="preserve">Frontend</w:t>
            </w:r>
          </w:p>
        </w:tc>
      </w:tr>
      <w:tr>
        <w:tc>
          <w:p>
            <w:r>
              <w:t xml:space="preserve">QNT-301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Stress scenario simulation panel</w:t>
            </w:r>
          </w:p>
        </w:tc>
        <w:tc>
          <w:p>
            <w:r>
              <w:t xml:space="preserve">Quant + Backend</w:t>
            </w:r>
          </w:p>
        </w:tc>
      </w:tr>
      <w:tr>
        <w:tc>
          <w:p>
            <w:r>
              <w:t xml:space="preserve">QNT-302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Extended reporting pipeline</w:t>
            </w:r>
          </w:p>
        </w:tc>
        <w:tc>
          <w:p>
            <w:r>
              <w:t xml:space="preserve">Backend</w:t>
            </w:r>
          </w:p>
        </w:tc>
      </w:tr>
    </w:tbl>
    <w:p>
      <w:r>
        <w:t xml:space="preserve"/>
      </w:r>
    </w:p>
    <w:p>
      <w:r>
        <w:rPr>
          <w:b/>
          <w:sz w:val="28"/>
          <w:szCs w:val="28"/>
        </w:rPr>
        <w:t xml:space="preserve">9. Requirement Traceability Matrix</w:t>
      </w:r>
    </w:p>
    <w:tbl>
      <w:tblPr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4" w:space="0" w:color="C7D1DC"/>
          <w:insideV w:val="single" w:sz="4" w:space="0" w:color="C7D1DC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color="auto" w:fill="EAF0F7"/>
          </w:tcPr>
          <w:p>
            <w:r>
              <w:rPr>
                <w:b/>
              </w:rPr>
              <w:t xml:space="preserve">Req ID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Implementation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Verification</w:t>
            </w:r>
          </w:p>
        </w:tc>
        <w:tc>
          <w:tcPr>
            <w:shd w:val="clear" w:color="auto" w:fill="EAF0F7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REQ-UI-01</w:t>
            </w:r>
          </w:p>
        </w:tc>
        <w:tc>
          <w:p>
            <w:r>
              <w:t xml:space="preserve">Tabbed card layout</w:t>
            </w:r>
          </w:p>
        </w:tc>
        <w:tc>
          <w:p>
            <w:r>
              <w:t xml:space="preserve">static/index.html</w:t>
            </w:r>
          </w:p>
        </w:tc>
        <w:tc>
          <w:p>
            <w:r>
              <w:t xml:space="preserve">E2E tab navigation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REQ-UI-02</w:t>
            </w:r>
          </w:p>
        </w:tc>
        <w:tc>
          <w:p>
            <w:r>
              <w:t xml:space="preserve">Color state consistency</w:t>
            </w:r>
          </w:p>
        </w:tc>
        <w:tc>
          <w:p>
            <w:r>
              <w:t xml:space="preserve">static/index.html</w:t>
            </w:r>
          </w:p>
        </w:tc>
        <w:tc>
          <w:p>
            <w:r>
              <w:t xml:space="preserve">Visual regression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REQ-P0-01</w:t>
            </w:r>
          </w:p>
        </w:tc>
        <w:tc>
          <w:p>
            <w:r>
              <w:t xml:space="preserve">Weight sum = 100.00</w:t>
            </w:r>
          </w:p>
        </w:tc>
        <w:tc>
          <w:p>
            <w:r>
              <w:t xml:space="preserve">app/quant.py</w:t>
            </w:r>
          </w:p>
        </w:tc>
        <w:tc>
          <w:p>
            <w:r>
              <w:t xml:space="preserve">tests/test_quant_calculations.py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REQ-P0-02</w:t>
            </w:r>
          </w:p>
        </w:tc>
        <w:tc>
          <w:p>
            <w:r>
              <w:t xml:space="preserve">Shared disparity formula</w:t>
            </w:r>
          </w:p>
        </w:tc>
        <w:tc>
          <w:p>
            <w:r>
              <w:t xml:space="preserve">app/quant.py + app/display.py</w:t>
            </w:r>
          </w:p>
        </w:tc>
        <w:tc>
          <w:p>
            <w:r>
              <w:t xml:space="preserve">tests/test_quant_calculations.py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REQ-P0-03</w:t>
            </w:r>
          </w:p>
        </w:tc>
        <w:tc>
          <w:p>
            <w:r>
              <w:t xml:space="preserve">UI/API/Export value parity</w:t>
            </w:r>
          </w:p>
        </w:tc>
        <w:tc>
          <w:p>
            <w:r>
              <w:t xml:space="preserve">app/display.py + app/export.py</w:t>
            </w:r>
          </w:p>
        </w:tc>
        <w:tc>
          <w:p>
            <w:r>
              <w:t xml:space="preserve">tests/test_export.py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REQ-P1-01</w:t>
            </w:r>
          </w:p>
        </w:tc>
        <w:tc>
          <w:p>
            <w:r>
              <w:t xml:space="preserve">Risk drill-down</w:t>
            </w:r>
          </w:p>
        </w:tc>
        <w:tc>
          <w:p>
            <w:r>
              <w:t xml:space="preserve">app/display.py + static/index.html</w:t>
            </w:r>
          </w:p>
        </w:tc>
        <w:tc>
          <w:p>
            <w:r>
              <w:t xml:space="preserve">E2E risk drill-down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REQ-P1-02</w:t>
            </w:r>
          </w:p>
        </w:tc>
        <w:tc>
          <w:p>
            <w:r>
              <w:t xml:space="preserve">Metadata on key metrics</w:t>
            </w:r>
          </w:p>
        </w:tc>
        <w:tc>
          <w:p>
            <w:r>
              <w:t xml:space="preserve">app/display.py</w:t>
            </w:r>
          </w:p>
        </w:tc>
        <w:tc>
          <w:p>
            <w:r>
              <w:t xml:space="preserve">API contract tests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REQ-UX-01</w:t>
            </w:r>
          </w:p>
        </w:tc>
        <w:tc>
          <w:p>
            <w:r>
              <w:t xml:space="preserve">Last-known-good fallback</w:t>
            </w:r>
          </w:p>
        </w:tc>
        <w:tc>
          <w:p>
            <w:r>
              <w:t xml:space="preserve">static/index.html</w:t>
            </w:r>
          </w:p>
        </w:tc>
        <w:tc>
          <w:p>
            <w:r>
              <w:t xml:space="preserve">Network failure test</w:t>
            </w:r>
          </w:p>
        </w:tc>
        <w:tc>
          <w:p>
            <w:r>
              <w:t xml:space="preserve">Planned</w:t>
            </w:r>
          </w:p>
        </w:tc>
      </w:tr>
    </w:tbl>
    <w:p>
      <w:r>
        <w:t xml:space="preserve"/>
      </w:r>
    </w:p>
    <w:p>
      <w:r>
        <w:rPr>
          <w:b/>
          <w:sz w:val="28"/>
          <w:szCs w:val="28"/>
        </w:rPr>
        <w:t xml:space="preserve">10. Test Strategy and Regression Checklist</w:t>
      </w:r>
    </w:p>
    <w:p>
      <w:r>
        <w:t xml:space="preserve">- Unit: disparity formula, weight normalization, export parity</w:t>
      </w:r>
    </w:p>
    <w:p>
      <w:r>
        <w:t xml:space="preserve">- Integration: snapshot payload schema, include_cash/cash_value behavior</w:t>
      </w:r>
    </w:p>
    <w:p>
      <w:r>
        <w:t xml:space="preserve">- E2E: tab flow, risk drill-down, download behavior, error fallback</w:t>
      </w:r>
    </w:p>
    <w:p>
      <w:r>
        <w:t xml:space="preserve">- Regression gate: all P0 pass, 0 High defects, no UI/API/Export numeric mismatch</w:t>
      </w:r>
    </w:p>
    <w:p>
      <w:r>
        <w:t xml:space="preserve"/>
      </w:r>
    </w:p>
    <w:p>
      <w:r>
        <w:rPr>
          <w:b/>
          <w:sz w:val="28"/>
          <w:szCs w:val="28"/>
        </w:rPr>
        <w:t xml:space="preserve">11. Done Criteria and Operational Handover</w:t>
      </w:r>
    </w:p>
    <w:p>
      <w:r>
        <w:t xml:space="preserve">- [ ] Holdings displayed weights always equal 100.00</w:t>
      </w:r>
    </w:p>
    <w:p>
      <w:r>
        <w:t xml:space="preserve">- [ ] Disparity formula centralized and reused everywhere</w:t>
      </w:r>
    </w:p>
    <w:p>
      <w:r>
        <w:t xml:space="preserve">- [ ] CSV/Excel values equal to dashboard values</w:t>
      </w:r>
    </w:p>
    <w:p>
      <w:r>
        <w:t xml:space="preserve">- [ ] Risk drill-down is interactive and complete</w:t>
      </w:r>
    </w:p>
    <w:p>
      <w:r>
        <w:t xml:space="preserve">- [ ] Metadata displayed for core metrics</w:t>
      </w:r>
    </w:p>
    <w:p>
      <w:r>
        <w:t xml:space="preserve">- [ ] Error and missing-data states do not break layout</w:t>
      </w:r>
    </w:p>
    <w:sectPr>
      <w:pgSz w:w="11906" w:h="16838"/>
      <w:pgMar w:top="1440" w:right="1200" w:bottom="1440" w:left="120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 System Implementation Proposal v2.0</dc:title>
  <dc:creator>Cursor Agent</dc:creator>
  <cp:lastModifiedBy>Cursor Agent</cp:lastModifiedBy>
  <dcterms:created xsi:type="dcterms:W3CDTF">2026-05-14T05:38:26+00:00</dcterms:created>
  <dcterms:modified xsi:type="dcterms:W3CDTF">2026-05-14T05:38:26+00:00</dcterms:modified>
</cp:coreProperties>
</file>