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4D78"/>
          <w:sz w:val="48"/>
        </w:rPr>
        <w:t>WPF .NET Framework 4.7.2</w:t>
      </w:r>
    </w:p>
    <w:p>
      <w:pPr>
        <w:spacing w:after="280"/>
      </w:pPr>
      <w:r>
        <w:rPr>
          <w:rFonts w:ascii="Calibri" w:hAnsi="Calibri"/>
          <w:b/>
          <w:i w:val="0"/>
          <w:color w:val="2E74B5"/>
          <w:sz w:val="34"/>
        </w:rPr>
        <w:t>Air-Gapped Claude Code Plugin Fork Handoff</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F2F4F7"/>
            <w:vAlign w:val="center"/>
          </w:tcPr>
          <w:p>
            <w:pPr>
              <w:spacing w:after="0"/>
            </w:pPr>
            <w:r>
              <w:rPr>
                <w:rFonts w:ascii="Calibri" w:hAnsi="Calibri"/>
                <w:b/>
                <w:i w:val="0"/>
                <w:color w:val="1F4D78"/>
                <w:sz w:val="19"/>
              </w:rPr>
              <w:t>Target</w:t>
            </w:r>
          </w:p>
        </w:tc>
        <w:tc>
          <w:tcPr>
            <w:tcW w:type="dxa" w:w="6660"/>
            <w:vAlign w:val="center"/>
          </w:tcPr>
          <w:p>
            <w:pPr>
              <w:spacing w:after="0"/>
            </w:pPr>
            <w:r>
              <w:rPr>
                <w:rFonts w:ascii="Calibri" w:hAnsi="Calibri"/>
                <w:b w:val="0"/>
                <w:i w:val="0"/>
                <w:sz w:val="19"/>
              </w:rPr>
              <w:t>VS Code + Claude Code on an air-gapped Windows network</w:t>
            </w:r>
          </w:p>
        </w:tc>
      </w:tr>
      <w:tr>
        <w:tc>
          <w:tcPr>
            <w:tcW w:type="dxa" w:w="2700"/>
            <w:shd w:fill="F2F4F7"/>
            <w:vAlign w:val="center"/>
          </w:tcPr>
          <w:p>
            <w:pPr>
              <w:spacing w:after="0"/>
            </w:pPr>
            <w:r>
              <w:rPr>
                <w:rFonts w:ascii="Calibri" w:hAnsi="Calibri"/>
                <w:b/>
                <w:i w:val="0"/>
                <w:color w:val="1F4D78"/>
                <w:sz w:val="19"/>
              </w:rPr>
              <w:t>Application stack</w:t>
            </w:r>
          </w:p>
        </w:tc>
        <w:tc>
          <w:tcPr>
            <w:tcW w:type="dxa" w:w="6660"/>
            <w:vAlign w:val="center"/>
          </w:tcPr>
          <w:p>
            <w:pPr>
              <w:spacing w:after="0"/>
            </w:pPr>
            <w:r>
              <w:rPr>
                <w:rFonts w:ascii="Calibri" w:hAnsi="Calibri"/>
                <w:b w:val="0"/>
                <w:i w:val="0"/>
                <w:sz w:val="19"/>
              </w:rPr>
              <w:t>Existing WPF applications targeting .NET Framework 4.7.2</w:t>
            </w:r>
          </w:p>
        </w:tc>
      </w:tr>
      <w:tr>
        <w:tc>
          <w:tcPr>
            <w:tcW w:type="dxa" w:w="2700"/>
            <w:shd w:fill="F2F4F7"/>
            <w:vAlign w:val="center"/>
          </w:tcPr>
          <w:p>
            <w:pPr>
              <w:spacing w:after="0"/>
            </w:pPr>
            <w:r>
              <w:rPr>
                <w:rFonts w:ascii="Calibri" w:hAnsi="Calibri"/>
                <w:b/>
                <w:i w:val="0"/>
                <w:color w:val="1F4D78"/>
                <w:sz w:val="19"/>
              </w:rPr>
              <w:t>Upstream baseline</w:t>
            </w:r>
          </w:p>
        </w:tc>
        <w:tc>
          <w:tcPr>
            <w:tcW w:type="dxa" w:w="6660"/>
            <w:vAlign w:val="center"/>
          </w:tcPr>
          <w:p>
            <w:pPr>
              <w:spacing w:after="0"/>
            </w:pPr>
            <w:r>
              <w:rPr>
                <w:rFonts w:ascii="Calibri" w:hAnsi="Calibri"/>
                <w:b w:val="0"/>
                <w:i w:val="0"/>
                <w:sz w:val="19"/>
              </w:rPr>
              <w:t>wpf-dev-pack 1.7.4, commit cf27bbe2a513430f17f5d644aae6bfe094e54cff</w:t>
            </w:r>
          </w:p>
        </w:tc>
      </w:tr>
      <w:tr>
        <w:tc>
          <w:tcPr>
            <w:tcW w:type="dxa" w:w="2700"/>
            <w:shd w:fill="F2F4F7"/>
            <w:vAlign w:val="center"/>
          </w:tcPr>
          <w:p>
            <w:pPr>
              <w:spacing w:after="0"/>
            </w:pPr>
            <w:r>
              <w:rPr>
                <w:rFonts w:ascii="Calibri" w:hAnsi="Calibri"/>
                <w:b/>
                <w:i w:val="0"/>
                <w:color w:val="1F4D78"/>
                <w:sz w:val="19"/>
              </w:rPr>
              <w:t>Scope boundary</w:t>
            </w:r>
          </w:p>
        </w:tc>
        <w:tc>
          <w:tcPr>
            <w:tcW w:type="dxa" w:w="6660"/>
            <w:vAlign w:val="center"/>
          </w:tcPr>
          <w:p>
            <w:pPr>
              <w:spacing w:after="0"/>
            </w:pPr>
            <w:r>
              <w:rPr>
                <w:rFonts w:ascii="Calibri" w:hAnsi="Calibri"/>
                <w:b w:val="0"/>
                <w:i w:val="0"/>
                <w:sz w:val="19"/>
              </w:rPr>
              <w:t>External plugin fork; not a Gajae-Code product change</w:t>
            </w:r>
          </w:p>
        </w:tc>
      </w:tr>
    </w:tbl>
    <w:p>
      <w:pPr>
        <w:pStyle w:val="Heading1"/>
        <w:keepNext/>
      </w:pPr>
      <w:r>
        <w:t>Executive decision</w:t>
      </w:r>
    </w:p>
    <w:p>
      <w:r>
        <w:t>Create a private fork rather than deploy upstream unchanged. Preserve the useful WPF knowledge and analysis lanes, but make routine operation deterministic without internet access and prevent unrequested modernization of existing net472 solutions.</w:t>
      </w:r>
    </w:p>
    <w:p>
      <w:pPr>
        <w:pStyle w:val="Heading1"/>
        <w:keepNext/>
      </w:pPr>
      <w:r>
        <w:t>Decisions already made</w:t>
      </w:r>
    </w:p>
    <w:p>
      <w:pPr>
        <w:pStyle w:val="ListNumber"/>
        <w:spacing w:after="80"/>
      </w:pPr>
      <w:r>
        <w:t>Target applications remain .NET Framework 4.7.2; support tools may run on .NET 10.</w:t>
      </w:r>
    </w:p>
    <w:p>
      <w:pPr>
        <w:pStyle w:val="ListNumber"/>
        <w:spacing w:after="80"/>
      </w:pPr>
      <w:r>
        <w:t>Context7 is unavailable. Microsoft Learn MCP is also treated as unavailable unless an internal endpoint exists.</w:t>
      </w:r>
    </w:p>
    <w:p>
      <w:pPr>
        <w:pStyle w:val="ListNumber"/>
        <w:spacing w:after="80"/>
      </w:pPr>
      <w:r>
        <w:t>One-time external acquisition is acceptable, but normal execution must use packaged local binaries or approved internal feeds.</w:t>
      </w:r>
    </w:p>
    <w:p>
      <w:pPr>
        <w:pStyle w:val="ListNumber"/>
        <w:spacing w:after="80"/>
      </w:pPr>
      <w:r>
        <w:t>Existing project format, language version, package-management style, MVVM framework, and build process take priority.</w:t>
      </w:r>
    </w:p>
    <w:p>
      <w:pPr>
        <w:pStyle w:val="ListNumber"/>
        <w:spacing w:after="80"/>
      </w:pPr>
      <w:r>
        <w:t>Upstream modern project generators and unconditional MVVM composition rules are not safe defaults.</w:t>
      </w:r>
    </w:p>
    <w:p>
      <w:pPr>
        <w:pStyle w:val="Heading1"/>
        <w:keepNext/>
      </w:pPr>
      <w:r>
        <w:t>Compatibility assessment</w:t>
      </w:r>
    </w:p>
    <w:p>
      <w:r>
        <w:t>CommunityToolkit.Mvvm 8.4 and Microsoft.Extensions.Hosting 10 have assets compatible with net472. This means they can technically be referenced; it does not justify adding them to an existing solution. .NET SDK 10 is required by upstream hooks and MCP support but does not itself change the target framework.</w:t>
      </w:r>
    </w:p>
    <w:p>
      <w:pPr>
        <w:pStyle w:val="Heading1"/>
        <w:keepNext/>
      </w:pPr>
      <w:r>
        <w:t>Offline dependency matrix</w:t>
      </w:r>
    </w:p>
    <w:tbl>
      <w:tblPr>
        <w:tblStyle w:val="TableGrid"/>
        <w:tblW w:type="dxa" w:w="9360"/>
        <w:tblLayout w:type="fixed"/>
        <w:tblLook w:firstColumn="1" w:firstRow="1" w:lastColumn="0" w:lastRow="0" w:noHBand="0" w:noVBand="1" w:val="04A0"/>
        <w:tblInd w:w="120" w:type="dxa"/>
      </w:tblPr>
      <w:tblGrid>
        <w:gridCol w:w="2050"/>
        <w:gridCol w:w="2200"/>
        <w:gridCol w:w="5110"/>
      </w:tblGrid>
      <w:tr>
        <w:trPr>
          <w:tblHeader/>
        </w:trPr>
        <w:tc>
          <w:tcPr>
            <w:tcW w:type="dxa" w:w="2050"/>
            <w:shd w:fill="E8EEF5"/>
            <w:vAlign w:val="center"/>
          </w:tcPr>
          <w:p>
            <w:pPr>
              <w:spacing w:after="0"/>
            </w:pPr>
            <w:r>
              <w:rPr>
                <w:rFonts w:ascii="Calibri" w:hAnsi="Calibri"/>
                <w:b/>
                <w:i w:val="0"/>
                <w:color w:val="1F4D78"/>
                <w:sz w:val="20"/>
              </w:rPr>
              <w:t>Component</w:t>
            </w:r>
          </w:p>
        </w:tc>
        <w:tc>
          <w:tcPr>
            <w:tcW w:type="dxa" w:w="2200"/>
            <w:shd w:fill="E8EEF5"/>
            <w:vAlign w:val="center"/>
          </w:tcPr>
          <w:p>
            <w:pPr>
              <w:spacing w:after="0"/>
            </w:pPr>
            <w:r>
              <w:rPr>
                <w:rFonts w:ascii="Calibri" w:hAnsi="Calibri"/>
                <w:b/>
                <w:i w:val="0"/>
                <w:color w:val="1F4D78"/>
                <w:sz w:val="20"/>
              </w:rPr>
              <w:t>Offline disposition</w:t>
            </w:r>
          </w:p>
        </w:tc>
        <w:tc>
          <w:tcPr>
            <w:tcW w:type="dxa" w:w="5110"/>
            <w:shd w:fill="E8EEF5"/>
            <w:vAlign w:val="center"/>
          </w:tcPr>
          <w:p>
            <w:pPr>
              <w:spacing w:after="0"/>
            </w:pPr>
            <w:r>
              <w:rPr>
                <w:rFonts w:ascii="Calibri" w:hAnsi="Calibri"/>
                <w:b/>
                <w:i w:val="0"/>
                <w:color w:val="1F4D78"/>
                <w:sz w:val="20"/>
              </w:rPr>
              <w:t>Fork action</w:t>
            </w:r>
          </w:p>
        </w:tc>
      </w:tr>
      <w:tr>
        <w:tc>
          <w:tcPr>
            <w:tcW w:type="dxa" w:w="2050"/>
            <w:vAlign w:val="center"/>
          </w:tcPr>
          <w:p>
            <w:pPr>
              <w:spacing w:after="0"/>
            </w:pPr>
            <w:r>
              <w:rPr>
                <w:rFonts w:ascii="Calibri" w:hAnsi="Calibri"/>
                <w:b w:val="0"/>
                <w:i w:val="0"/>
                <w:sz w:val="19"/>
              </w:rPr>
              <w:t>Plugin skills, agents, rules</w:t>
            </w:r>
          </w:p>
        </w:tc>
        <w:tc>
          <w:tcPr>
            <w:tcW w:type="dxa" w:w="2200"/>
            <w:vAlign w:val="center"/>
          </w:tcPr>
          <w:p>
            <w:pPr>
              <w:spacing w:after="0"/>
            </w:pPr>
            <w:r>
              <w:rPr>
                <w:rFonts w:ascii="Calibri" w:hAnsi="Calibri"/>
                <w:b w:val="0"/>
                <w:i w:val="0"/>
                <w:sz w:val="19"/>
              </w:rPr>
              <w:t>Works locally</w:t>
            </w:r>
          </w:p>
        </w:tc>
        <w:tc>
          <w:tcPr>
            <w:tcW w:type="dxa" w:w="5110"/>
            <w:vAlign w:val="center"/>
          </w:tcPr>
          <w:p>
            <w:pPr>
              <w:spacing w:after="0"/>
            </w:pPr>
            <w:r>
              <w:rPr>
                <w:rFonts w:ascii="Calibri" w:hAnsi="Calibri"/>
                <w:b w:val="0"/>
                <w:i w:val="0"/>
                <w:sz w:val="19"/>
              </w:rPr>
              <w:t>Adapt content and remove unavailable tools</w:t>
            </w:r>
          </w:p>
        </w:tc>
      </w:tr>
      <w:tr>
        <w:tc>
          <w:tcPr>
            <w:tcW w:type="dxa" w:w="2050"/>
            <w:vAlign w:val="center"/>
          </w:tcPr>
          <w:p>
            <w:pPr>
              <w:spacing w:after="0"/>
            </w:pPr>
            <w:r>
              <w:rPr>
                <w:rFonts w:ascii="Calibri" w:hAnsi="Calibri"/>
                <w:b w:val="0"/>
                <w:i w:val="0"/>
                <w:sz w:val="19"/>
              </w:rPr>
              <w:t>WpfDevPackMcp</w:t>
            </w:r>
          </w:p>
        </w:tc>
        <w:tc>
          <w:tcPr>
            <w:tcW w:type="dxa" w:w="2200"/>
            <w:vAlign w:val="center"/>
          </w:tcPr>
          <w:p>
            <w:pPr>
              <w:spacing w:after="0"/>
            </w:pPr>
            <w:r>
              <w:rPr>
                <w:rFonts w:ascii="Calibri" w:hAnsi="Calibri"/>
                <w:b w:val="0"/>
                <w:i w:val="0"/>
                <w:sz w:val="19"/>
              </w:rPr>
              <w:t>Suitable after local setup</w:t>
            </w:r>
          </w:p>
        </w:tc>
        <w:tc>
          <w:tcPr>
            <w:tcW w:type="dxa" w:w="5110"/>
            <w:vAlign w:val="center"/>
          </w:tcPr>
          <w:p>
            <w:pPr>
              <w:spacing w:after="0"/>
            </w:pPr>
            <w:r>
              <w:rPr>
                <w:rFonts w:ascii="Calibri" w:hAnsi="Calibri"/>
                <w:b w:val="0"/>
                <w:i w:val="0"/>
                <w:sz w:val="19"/>
              </w:rPr>
              <w:t>Package executable; point it to the local repository</w:t>
            </w:r>
          </w:p>
        </w:tc>
      </w:tr>
      <w:tr>
        <w:tc>
          <w:tcPr>
            <w:tcW w:type="dxa" w:w="2050"/>
            <w:vAlign w:val="center"/>
          </w:tcPr>
          <w:p>
            <w:pPr>
              <w:spacing w:after="0"/>
            </w:pPr>
            <w:r>
              <w:rPr>
                <w:rFonts w:ascii="Calibri" w:hAnsi="Calibri"/>
                <w:b w:val="0"/>
                <w:i w:val="0"/>
                <w:sz w:val="19"/>
              </w:rPr>
              <w:t>HandMirrorMcp</w:t>
            </w:r>
          </w:p>
        </w:tc>
        <w:tc>
          <w:tcPr>
            <w:tcW w:type="dxa" w:w="2200"/>
            <w:vAlign w:val="center"/>
          </w:tcPr>
          <w:p>
            <w:pPr>
              <w:spacing w:after="0"/>
            </w:pPr>
            <w:r>
              <w:rPr>
                <w:rFonts w:ascii="Calibri" w:hAnsi="Calibri"/>
                <w:b w:val="0"/>
                <w:i w:val="0"/>
                <w:sz w:val="19"/>
              </w:rPr>
              <w:t>Local assembly inspection works</w:t>
            </w:r>
          </w:p>
        </w:tc>
        <w:tc>
          <w:tcPr>
            <w:tcW w:type="dxa" w:w="5110"/>
            <w:vAlign w:val="center"/>
          </w:tcPr>
          <w:p>
            <w:pPr>
              <w:spacing w:after="0"/>
            </w:pPr>
            <w:r>
              <w:rPr>
                <w:rFonts w:ascii="Calibri" w:hAnsi="Calibri"/>
                <w:b w:val="0"/>
                <w:i w:val="0"/>
                <w:sz w:val="19"/>
              </w:rPr>
              <w:t>Package executable; disable public NuGet assumptions</w:t>
            </w:r>
          </w:p>
        </w:tc>
      </w:tr>
      <w:tr>
        <w:tc>
          <w:tcPr>
            <w:tcW w:type="dxa" w:w="2050"/>
            <w:vAlign w:val="center"/>
          </w:tcPr>
          <w:p>
            <w:pPr>
              <w:spacing w:after="0"/>
            </w:pPr>
            <w:r>
              <w:rPr>
                <w:rFonts w:ascii="Calibri" w:hAnsi="Calibri"/>
                <w:b w:val="0"/>
                <w:i w:val="0"/>
                <w:sz w:val="19"/>
              </w:rPr>
              <w:t>Context7</w:t>
            </w:r>
          </w:p>
        </w:tc>
        <w:tc>
          <w:tcPr>
            <w:tcW w:type="dxa" w:w="2200"/>
            <w:vAlign w:val="center"/>
          </w:tcPr>
          <w:p>
            <w:pPr>
              <w:spacing w:after="0"/>
            </w:pPr>
            <w:r>
              <w:rPr>
                <w:rFonts w:ascii="Calibri" w:hAnsi="Calibri"/>
                <w:b w:val="0"/>
                <w:i w:val="0"/>
                <w:sz w:val="19"/>
              </w:rPr>
              <w:t>Unavailable</w:t>
            </w:r>
          </w:p>
        </w:tc>
        <w:tc>
          <w:tcPr>
            <w:tcW w:type="dxa" w:w="5110"/>
            <w:vAlign w:val="center"/>
          </w:tcPr>
          <w:p>
            <w:pPr>
              <w:spacing w:after="0"/>
            </w:pPr>
            <w:r>
              <w:rPr>
                <w:rFonts w:ascii="Calibri" w:hAnsi="Calibri"/>
                <w:b w:val="0"/>
                <w:i w:val="0"/>
                <w:sz w:val="19"/>
              </w:rPr>
              <w:t>Remove from requirements and agent declarations</w:t>
            </w:r>
          </w:p>
        </w:tc>
      </w:tr>
      <w:tr>
        <w:tc>
          <w:tcPr>
            <w:tcW w:type="dxa" w:w="2050"/>
            <w:vAlign w:val="center"/>
          </w:tcPr>
          <w:p>
            <w:pPr>
              <w:spacing w:after="0"/>
            </w:pPr>
            <w:r>
              <w:rPr>
                <w:rFonts w:ascii="Calibri" w:hAnsi="Calibri"/>
                <w:b w:val="0"/>
                <w:i w:val="0"/>
                <w:sz w:val="19"/>
              </w:rPr>
              <w:t>Microsoft Learn MCP</w:t>
            </w:r>
          </w:p>
        </w:tc>
        <w:tc>
          <w:tcPr>
            <w:tcW w:type="dxa" w:w="2200"/>
            <w:vAlign w:val="center"/>
          </w:tcPr>
          <w:p>
            <w:pPr>
              <w:spacing w:after="0"/>
            </w:pPr>
            <w:r>
              <w:rPr>
                <w:rFonts w:ascii="Calibri" w:hAnsi="Calibri"/>
                <w:b w:val="0"/>
                <w:i w:val="0"/>
                <w:sz w:val="19"/>
              </w:rPr>
              <w:t>Unavailable by default</w:t>
            </w:r>
          </w:p>
        </w:tc>
        <w:tc>
          <w:tcPr>
            <w:tcW w:type="dxa" w:w="5110"/>
            <w:vAlign w:val="center"/>
          </w:tcPr>
          <w:p>
            <w:pPr>
              <w:spacing w:after="0"/>
            </w:pPr>
            <w:r>
              <w:rPr>
                <w:rFonts w:ascii="Calibri" w:hAnsi="Calibri"/>
                <w:b w:val="0"/>
                <w:i w:val="0"/>
                <w:sz w:val="19"/>
              </w:rPr>
              <w:t>Remove or replace with an internal endpoint</w:t>
            </w:r>
          </w:p>
        </w:tc>
      </w:tr>
      <w:tr>
        <w:tc>
          <w:tcPr>
            <w:tcW w:type="dxa" w:w="2050"/>
            <w:vAlign w:val="center"/>
          </w:tcPr>
          <w:p>
            <w:pPr>
              <w:spacing w:after="0"/>
            </w:pPr>
            <w:r>
              <w:rPr>
                <w:rFonts w:ascii="Calibri" w:hAnsi="Calibri"/>
                <w:b w:val="0"/>
                <w:i w:val="0"/>
                <w:sz w:val="19"/>
              </w:rPr>
              <w:t>Serena</w:t>
            </w:r>
          </w:p>
        </w:tc>
        <w:tc>
          <w:tcPr>
            <w:tcW w:type="dxa" w:w="2200"/>
            <w:vAlign w:val="center"/>
          </w:tcPr>
          <w:p>
            <w:pPr>
              <w:spacing w:after="0"/>
            </w:pPr>
            <w:r>
              <w:rPr>
                <w:rFonts w:ascii="Calibri" w:hAnsi="Calibri"/>
                <w:b w:val="0"/>
                <w:i w:val="0"/>
                <w:sz w:val="19"/>
              </w:rPr>
              <w:t>Possible after transfer</w:t>
            </w:r>
          </w:p>
        </w:tc>
        <w:tc>
          <w:tcPr>
            <w:tcW w:type="dxa" w:w="5110"/>
            <w:vAlign w:val="center"/>
          </w:tcPr>
          <w:p>
            <w:pPr>
              <w:spacing w:after="0"/>
            </w:pPr>
            <w:r>
              <w:rPr>
                <w:rFonts w:ascii="Calibri" w:hAnsi="Calibri"/>
                <w:b w:val="0"/>
                <w:i w:val="0"/>
                <w:sz w:val="19"/>
              </w:rPr>
              <w:t>Install/package locally; do not use uvx git URLs</w:t>
            </w:r>
          </w:p>
        </w:tc>
      </w:tr>
      <w:tr>
        <w:tc>
          <w:tcPr>
            <w:tcW w:type="dxa" w:w="2050"/>
            <w:vAlign w:val="center"/>
          </w:tcPr>
          <w:p>
            <w:pPr>
              <w:spacing w:after="0"/>
            </w:pPr>
            <w:r>
              <w:rPr>
                <w:rFonts w:ascii="Calibri" w:hAnsi="Calibri"/>
                <w:b w:val="0"/>
                <w:i w:val="0"/>
                <w:sz w:val="19"/>
              </w:rPr>
              <w:t>C# LSP</w:t>
            </w:r>
          </w:p>
        </w:tc>
        <w:tc>
          <w:tcPr>
            <w:tcW w:type="dxa" w:w="2200"/>
            <w:vAlign w:val="center"/>
          </w:tcPr>
          <w:p>
            <w:pPr>
              <w:spacing w:after="0"/>
            </w:pPr>
            <w:r>
              <w:rPr>
                <w:rFonts w:ascii="Calibri" w:hAnsi="Calibri"/>
                <w:b w:val="0"/>
                <w:i w:val="0"/>
                <w:sz w:val="19"/>
              </w:rPr>
              <w:t>Possible after transfer</w:t>
            </w:r>
          </w:p>
        </w:tc>
        <w:tc>
          <w:tcPr>
            <w:tcW w:type="dxa" w:w="5110"/>
            <w:vAlign w:val="center"/>
          </w:tcPr>
          <w:p>
            <w:pPr>
              <w:spacing w:after="0"/>
            </w:pPr>
            <w:r>
              <w:rPr>
                <w:rFonts w:ascii="Calibri" w:hAnsi="Calibri"/>
                <w:b w:val="0"/>
                <w:i w:val="0"/>
                <w:sz w:val="19"/>
              </w:rPr>
              <w:t>Pin and test against representative legacy solutions</w:t>
            </w:r>
          </w:p>
        </w:tc>
      </w:tr>
      <w:tr>
        <w:tc>
          <w:tcPr>
            <w:tcW w:type="dxa" w:w="2050"/>
            <w:vAlign w:val="center"/>
          </w:tcPr>
          <w:p>
            <w:pPr>
              <w:spacing w:after="0"/>
            </w:pPr>
            <w:r>
              <w:rPr>
                <w:rFonts w:ascii="Calibri" w:hAnsi="Calibri"/>
                <w:b w:val="0"/>
                <w:i w:val="0"/>
                <w:sz w:val="19"/>
              </w:rPr>
              <w:t>XamlStyler</w:t>
            </w:r>
          </w:p>
        </w:tc>
        <w:tc>
          <w:tcPr>
            <w:tcW w:type="dxa" w:w="2200"/>
            <w:vAlign w:val="center"/>
          </w:tcPr>
          <w:p>
            <w:pPr>
              <w:spacing w:after="0"/>
            </w:pPr>
            <w:r>
              <w:rPr>
                <w:rFonts w:ascii="Calibri" w:hAnsi="Calibri"/>
                <w:b w:val="0"/>
                <w:i w:val="0"/>
                <w:sz w:val="19"/>
              </w:rPr>
              <w:t>Possible after transfer</w:t>
            </w:r>
          </w:p>
        </w:tc>
        <w:tc>
          <w:tcPr>
            <w:tcW w:type="dxa" w:w="5110"/>
            <w:vAlign w:val="center"/>
          </w:tcPr>
          <w:p>
            <w:pPr>
              <w:spacing w:after="0"/>
            </w:pPr>
            <w:r>
              <w:rPr>
                <w:rFonts w:ascii="Calibri" w:hAnsi="Calibri"/>
                <w:b w:val="0"/>
                <w:i w:val="0"/>
                <w:sz w:val="19"/>
              </w:rPr>
              <w:t>Package locally or disable automatic formatting</w:t>
            </w:r>
          </w:p>
        </w:tc>
      </w:tr>
      <w:tr>
        <w:tc>
          <w:tcPr>
            <w:tcW w:type="dxa" w:w="2050"/>
            <w:vAlign w:val="center"/>
          </w:tcPr>
          <w:p>
            <w:pPr>
              <w:spacing w:after="0"/>
            </w:pPr>
            <w:r>
              <w:rPr>
                <w:rFonts w:ascii="Calibri" w:hAnsi="Calibri"/>
                <w:b w:val="0"/>
                <w:i w:val="0"/>
                <w:sz w:val="19"/>
              </w:rPr>
              <w:t>dotnet format</w:t>
            </w:r>
          </w:p>
        </w:tc>
        <w:tc>
          <w:tcPr>
            <w:tcW w:type="dxa" w:w="2200"/>
            <w:vAlign w:val="center"/>
          </w:tcPr>
          <w:p>
            <w:pPr>
              <w:spacing w:after="0"/>
            </w:pPr>
            <w:r>
              <w:rPr>
                <w:rFonts w:ascii="Calibri" w:hAnsi="Calibri"/>
                <w:b w:val="0"/>
                <w:i w:val="0"/>
                <w:sz w:val="19"/>
              </w:rPr>
              <w:t>Local but compatibility varies</w:t>
            </w:r>
          </w:p>
        </w:tc>
        <w:tc>
          <w:tcPr>
            <w:tcW w:type="dxa" w:w="5110"/>
            <w:vAlign w:val="center"/>
          </w:tcPr>
          <w:p>
            <w:pPr>
              <w:spacing w:after="0"/>
            </w:pPr>
            <w:r>
              <w:rPr>
                <w:rFonts w:ascii="Calibri" w:hAnsi="Calibri"/>
                <w:b w:val="0"/>
                <w:i w:val="0"/>
                <w:sz w:val="19"/>
              </w:rPr>
              <w:t>Make opt-in and test with non-SDK net472 projects</w:t>
            </w:r>
          </w:p>
        </w:tc>
      </w:tr>
    </w:tbl>
    <w:p>
      <w:pPr>
        <w:spacing w:after="0"/>
      </w:pPr>
    </w:p>
    <w:p>
      <w:pPr>
        <w:pStyle w:val="Heading1"/>
        <w:keepNext/>
      </w:pPr>
      <w:r>
        <w:t>Required implementation changes</w:t>
      </w:r>
    </w:p>
    <w:p>
      <w:pPr>
        <w:pStyle w:val="Heading2"/>
        <w:keepNext/>
      </w:pPr>
      <w:r>
        <w:t>Identity and policy</w:t>
      </w:r>
    </w:p>
    <w:p>
      <w:pPr>
        <w:pStyle w:val="ListBullet"/>
        <w:spacing w:after="80"/>
      </w:pPr>
      <w:r>
        <w:t>Rename the plugin, update its command namespace, repository URL, and configuration names.</w:t>
      </w:r>
    </w:p>
    <w:p>
      <w:pPr>
        <w:pStyle w:val="ListBullet"/>
        <w:spacing w:after="80"/>
      </w:pPr>
      <w:r>
        <w:t>Retain MIT attribution and record the upstream baseline.</w:t>
      </w:r>
    </w:p>
    <w:p>
      <w:pPr>
        <w:pStyle w:val="ListBullet"/>
        <w:spacing w:after="80"/>
      </w:pPr>
      <w:r>
        <w:t>Add an explicit offline policy prohibiting implicit Git, marketplace, NuGet, and documentation downloads.</w:t>
      </w:r>
    </w:p>
    <w:p>
      <w:pPr>
        <w:pStyle w:val="Heading2"/>
        <w:keepNext/>
      </w:pPr>
      <w:r>
        <w:t>Deterministic local tools</w:t>
      </w:r>
    </w:p>
    <w:p>
      <w:pPr>
        <w:pStyle w:val="ListBullet"/>
        <w:spacing w:after="80"/>
      </w:pPr>
      <w:r>
        <w:t>Replace dnx and uvx launch paths with plugin-relative executables or approved fixed paths.</w:t>
      </w:r>
    </w:p>
    <w:p>
      <w:pPr>
        <w:pStyle w:val="ListBullet"/>
        <w:spacing w:after="80"/>
      </w:pPr>
      <w:r>
        <w:t>Package MCP servers, language tools, optional Serena, and optional XamlStyler with version and hash metadata.</w:t>
      </w:r>
    </w:p>
    <w:p>
      <w:pPr>
        <w:pStyle w:val="ListBullet"/>
        <w:spacing w:after="80"/>
      </w:pPr>
      <w:r>
        <w:t>Verify Claude Code expands CLAUDE_PLUGIN_ROOT in MCP configuration on the target Windows version.</w:t>
      </w:r>
    </w:p>
    <w:p>
      <w:pPr>
        <w:pStyle w:val="Heading2"/>
        <w:keepNext/>
      </w:pPr>
      <w:r>
        <w:t>net472 project guardrails</w:t>
      </w:r>
    </w:p>
    <w:p>
      <w:pPr>
        <w:pStyle w:val="ListBullet"/>
        <w:spacing w:after="80"/>
      </w:pPr>
      <w:r>
        <w:t>Never upgrade the target framework or convert project/package format without explicit approval.</w:t>
      </w:r>
    </w:p>
    <w:p>
      <w:pPr>
        <w:pStyle w:val="ListBullet"/>
        <w:spacing w:after="80"/>
      </w:pPr>
      <w:r>
        <w:t>Detect effective LangVersion instead of assuming it from net472.</w:t>
      </w:r>
    </w:p>
    <w:p>
      <w:pPr>
        <w:pStyle w:val="ListBullet"/>
        <w:spacing w:after="80"/>
      </w:pPr>
      <w:r>
        <w:t>Preserve app.config, binding redirects, platform target, build configurations, root namespace, and assembly name.</w:t>
      </w:r>
    </w:p>
    <w:p>
      <w:pPr>
        <w:pStyle w:val="ListBullet"/>
        <w:spacing w:after="80"/>
      </w:pPr>
      <w:r>
        <w:t>Preserve existing MVVM and DI patterns; make CommunityToolkit and Prism optional.</w:t>
      </w:r>
    </w:p>
    <w:p>
      <w:pPr>
        <w:pStyle w:val="Heading2"/>
        <w:keepNext/>
      </w:pPr>
      <w:r>
        <w:t>Build and formatting</w:t>
      </w:r>
    </w:p>
    <w:p>
      <w:pPr>
        <w:pStyle w:val="ListBullet"/>
        <w:spacing w:after="80"/>
      </w:pPr>
      <w:r>
        <w:t>Locate Visual Studio MSBuild with vswhere or an administrator-provided fixed path.</w:t>
      </w:r>
    </w:p>
    <w:p>
      <w:pPr>
        <w:pStyle w:val="ListBullet"/>
        <w:spacing w:after="80"/>
      </w:pPr>
      <w:r>
        <w:t>Use local/internal NuGet sources only and avoid public restore.</w:t>
      </w:r>
    </w:p>
    <w:p>
      <w:pPr>
        <w:pStyle w:val="ListBullet"/>
        <w:spacing w:after="80"/>
      </w:pPr>
      <w:r>
        <w:t>Disable automatic formatting initially; enable only after representative legacy-project tests.</w:t>
      </w:r>
    </w:p>
    <w:p>
      <w:pPr>
        <w:pStyle w:val="Heading2"/>
        <w:keepNext/>
      </w:pPr>
      <w:r>
        <w:t>Agents, skills, and knowledge</w:t>
      </w:r>
    </w:p>
    <w:p>
      <w:pPr>
        <w:pStyle w:val="ListBullet"/>
        <w:spacing w:after="80"/>
      </w:pPr>
      <w:r>
        <w:t>Keep WPF/XAML/control/binding/threading/rendering/performance/review expertise.</w:t>
      </w:r>
    </w:p>
    <w:p>
      <w:pPr>
        <w:pStyle w:val="ListBullet"/>
        <w:spacing w:after="80"/>
      </w:pPr>
      <w:r>
        <w:t>Rewrite modern project, AI chat, and online-package generators.</w:t>
      </w:r>
    </w:p>
    <w:p>
      <w:pPr>
        <w:pStyle w:val="ListBullet"/>
        <w:spacing w:after="80"/>
      </w:pPr>
      <w:r>
        <w:t>Add legacy csproj, packages.config, binding redirect, MSBuild, platform target, designer, COM/PInvoke, and net472 API topics.</w:t>
      </w:r>
    </w:p>
    <w:p>
      <w:pPr>
        <w:pStyle w:val="Heading1"/>
        <w:keepNext/>
      </w:pPr>
      <w:r>
        <w:t>Target-project guardrails</w:t>
      </w:r>
    </w:p>
    <w:p>
      <w:pPr>
        <w:spacing w:before="80" w:after="160" w:line="276" w:lineRule="auto"/>
        <w:ind w:left="360" w:right="360"/>
      </w:pPr>
      <w:r>
        <w:rPr>
          <w:rFonts w:ascii="Calibri" w:hAnsi="Calibri"/>
          <w:b/>
          <w:i w:val="0"/>
          <w:color w:val="1F4D78"/>
          <w:sz w:val="21"/>
        </w:rPr>
        <w:t>Target .NET Framework 4.7.2. Preserve project format, NuGet style, effective C# language version, MVVM framework, DI approach, app.config, binding redirects, and MSBuild process. Do not add modern frameworks or syntax unless requested and verified.</w:t>
      </w:r>
    </w:p>
    <w:p>
      <w:pPr>
        <w:pStyle w:val="Heading1"/>
        <w:keepNext/>
      </w:pPr>
      <w:r>
        <w:t>Offline transfer bundle</w:t>
      </w:r>
    </w:p>
    <w:p>
      <w:pPr>
        <w:pStyle w:val="ListBullet"/>
        <w:spacing w:after="80"/>
      </w:pPr>
      <w:r>
        <w:t>Pinned fork commit/tag and approved Claude Code version.</w:t>
      </w:r>
    </w:p>
    <w:p>
      <w:pPr>
        <w:pStyle w:val="ListBullet"/>
        <w:spacing w:after="80"/>
      </w:pPr>
      <w:r>
        <w:t>.NET SDK 10.0.300+, .NET Framework 4.7.2 Developer Pack, Visual Studio Build Tools, and vswhere.</w:t>
      </w:r>
    </w:p>
    <w:p>
      <w:pPr>
        <w:pStyle w:val="ListBullet"/>
        <w:spacing w:after="80"/>
      </w:pPr>
      <w:r>
        <w:t>Local MCP executables, optional Serena/C# LSP/XamlStyler runtimes, and all dependencies.</w:t>
      </w:r>
    </w:p>
    <w:p>
      <w:pPr>
        <w:pStyle w:val="ListBullet"/>
        <w:spacing w:after="80"/>
      </w:pPr>
      <w:r>
        <w:t>Required NuGet packages and transitive dependencies in an approved local feed.</w:t>
      </w:r>
    </w:p>
    <w:p>
      <w:pPr>
        <w:pStyle w:val="ListBullet"/>
        <w:spacing w:after="80"/>
      </w:pPr>
      <w:r>
        <w:t>Public-feed-disabled NuGet configuration.</w:t>
      </w:r>
    </w:p>
    <w:p>
      <w:pPr>
        <w:pStyle w:val="ListBullet"/>
        <w:spacing w:after="80"/>
      </w:pPr>
      <w:r>
        <w:t>Artifact versions, hashes, licenses, provenance, installation, rollback, and verification scripts.</w:t>
      </w:r>
    </w:p>
    <w:p>
      <w:pPr>
        <w:pStyle w:val="Heading1"/>
        <w:keepNext/>
      </w:pPr>
      <w:r>
        <w:t>Verification matrix</w:t>
      </w:r>
    </w:p>
    <w:tbl>
      <w:tblPr>
        <w:tblStyle w:val="TableGrid"/>
        <w:tblW w:type="dxa" w:w="9360"/>
        <w:tblLayout w:type="fixed"/>
        <w:tblLook w:firstColumn="1" w:firstRow="1" w:lastColumn="0" w:lastRow="0" w:noHBand="0" w:noVBand="1" w:val="04A0"/>
        <w:tblInd w:w="120" w:type="dxa"/>
      </w:tblPr>
      <w:tblGrid>
        <w:gridCol w:w="2200"/>
        <w:gridCol w:w="7160"/>
      </w:tblGrid>
      <w:tr>
        <w:trPr>
          <w:tblHeader/>
        </w:trPr>
        <w:tc>
          <w:tcPr>
            <w:tcW w:type="dxa" w:w="2200"/>
            <w:shd w:fill="E8EEF5"/>
            <w:vAlign w:val="center"/>
          </w:tcPr>
          <w:p>
            <w:pPr>
              <w:spacing w:after="0"/>
            </w:pPr>
            <w:r>
              <w:rPr>
                <w:rFonts w:ascii="Calibri" w:hAnsi="Calibri"/>
                <w:b/>
                <w:i w:val="0"/>
                <w:color w:val="1F4D78"/>
                <w:sz w:val="20"/>
              </w:rPr>
              <w:t>Area</w:t>
            </w:r>
          </w:p>
        </w:tc>
        <w:tc>
          <w:tcPr>
            <w:tcW w:type="dxa" w:w="7160"/>
            <w:shd w:fill="E8EEF5"/>
            <w:vAlign w:val="center"/>
          </w:tcPr>
          <w:p>
            <w:pPr>
              <w:spacing w:after="0"/>
            </w:pPr>
            <w:r>
              <w:rPr>
                <w:rFonts w:ascii="Calibri" w:hAnsi="Calibri"/>
                <w:b/>
                <w:i w:val="0"/>
                <w:color w:val="1F4D78"/>
                <w:sz w:val="20"/>
              </w:rPr>
              <w:t>Pass condition</w:t>
            </w:r>
          </w:p>
        </w:tc>
      </w:tr>
      <w:tr>
        <w:tc>
          <w:tcPr>
            <w:tcW w:type="dxa" w:w="2200"/>
            <w:vAlign w:val="center"/>
          </w:tcPr>
          <w:p>
            <w:pPr>
              <w:spacing w:after="0"/>
            </w:pPr>
            <w:r>
              <w:rPr>
                <w:rFonts w:ascii="Calibri" w:hAnsi="Calibri"/>
                <w:b w:val="0"/>
                <w:i w:val="0"/>
                <w:sz w:val="19"/>
              </w:rPr>
              <w:t>Startup</w:t>
            </w:r>
          </w:p>
        </w:tc>
        <w:tc>
          <w:tcPr>
            <w:tcW w:type="dxa" w:w="7160"/>
            <w:vAlign w:val="center"/>
          </w:tcPr>
          <w:p>
            <w:pPr>
              <w:spacing w:after="0"/>
            </w:pPr>
            <w:r>
              <w:rPr>
                <w:rFonts w:ascii="Calibri" w:hAnsi="Calibri"/>
                <w:b w:val="0"/>
                <w:i w:val="0"/>
                <w:sz w:val="19"/>
              </w:rPr>
              <w:t>Plugin and MCP servers start with outbound network blocked and after cache cleanup</w:t>
            </w:r>
          </w:p>
        </w:tc>
      </w:tr>
      <w:tr>
        <w:tc>
          <w:tcPr>
            <w:tcW w:type="dxa" w:w="2200"/>
            <w:vAlign w:val="center"/>
          </w:tcPr>
          <w:p>
            <w:pPr>
              <w:spacing w:after="0"/>
            </w:pPr>
            <w:r>
              <w:rPr>
                <w:rFonts w:ascii="Calibri" w:hAnsi="Calibri"/>
                <w:b w:val="0"/>
                <w:i w:val="0"/>
                <w:sz w:val="19"/>
              </w:rPr>
              <w:t>Discovery</w:t>
            </w:r>
          </w:p>
        </w:tc>
        <w:tc>
          <w:tcPr>
            <w:tcW w:type="dxa" w:w="7160"/>
            <w:vAlign w:val="center"/>
          </w:tcPr>
          <w:p>
            <w:pPr>
              <w:spacing w:after="0"/>
            </w:pPr>
            <w:r>
              <w:rPr>
                <w:rFonts w:ascii="Calibri" w:hAnsi="Calibri"/>
                <w:b w:val="0"/>
                <w:i w:val="0"/>
                <w:sz w:val="19"/>
              </w:rPr>
              <w:t>Agent identifies net472, project format, LangVersion, NuGet style, and MVVM style</w:t>
            </w:r>
          </w:p>
        </w:tc>
      </w:tr>
      <w:tr>
        <w:tc>
          <w:tcPr>
            <w:tcW w:type="dxa" w:w="2200"/>
            <w:vAlign w:val="center"/>
          </w:tcPr>
          <w:p>
            <w:pPr>
              <w:spacing w:after="0"/>
            </w:pPr>
            <w:r>
              <w:rPr>
                <w:rFonts w:ascii="Calibri" w:hAnsi="Calibri"/>
                <w:b w:val="0"/>
                <w:i w:val="0"/>
                <w:sz w:val="19"/>
              </w:rPr>
              <w:t>Editing</w:t>
            </w:r>
          </w:p>
        </w:tc>
        <w:tc>
          <w:tcPr>
            <w:tcW w:type="dxa" w:w="7160"/>
            <w:vAlign w:val="center"/>
          </w:tcPr>
          <w:p>
            <w:pPr>
              <w:spacing w:after="0"/>
            </w:pPr>
            <w:r>
              <w:rPr>
                <w:rFonts w:ascii="Calibri" w:hAnsi="Calibri"/>
                <w:b w:val="0"/>
                <w:i w:val="0"/>
                <w:sz w:val="19"/>
              </w:rPr>
              <w:t>C# and XAML edits preserve existing conventions and unsupported syntax is not generated</w:t>
            </w:r>
          </w:p>
        </w:tc>
      </w:tr>
      <w:tr>
        <w:tc>
          <w:tcPr>
            <w:tcW w:type="dxa" w:w="2200"/>
            <w:vAlign w:val="center"/>
          </w:tcPr>
          <w:p>
            <w:pPr>
              <w:spacing w:after="0"/>
            </w:pPr>
            <w:r>
              <w:rPr>
                <w:rFonts w:ascii="Calibri" w:hAnsi="Calibri"/>
                <w:b w:val="0"/>
                <w:i w:val="0"/>
                <w:sz w:val="19"/>
              </w:rPr>
              <w:t>Build</w:t>
            </w:r>
          </w:p>
        </w:tc>
        <w:tc>
          <w:tcPr>
            <w:tcW w:type="dxa" w:w="7160"/>
            <w:vAlign w:val="center"/>
          </w:tcPr>
          <w:p>
            <w:pPr>
              <w:spacing w:after="0"/>
            </w:pPr>
            <w:r>
              <w:rPr>
                <w:rFonts w:ascii="Calibri" w:hAnsi="Calibri"/>
                <w:b w:val="0"/>
                <w:i w:val="0"/>
                <w:sz w:val="19"/>
              </w:rPr>
              <w:t>Representative Debug/Release builds use the correct Visual Studio MSBuild</w:t>
            </w:r>
          </w:p>
        </w:tc>
      </w:tr>
      <w:tr>
        <w:tc>
          <w:tcPr>
            <w:tcW w:type="dxa" w:w="2200"/>
            <w:vAlign w:val="center"/>
          </w:tcPr>
          <w:p>
            <w:pPr>
              <w:spacing w:after="0"/>
            </w:pPr>
            <w:r>
              <w:rPr>
                <w:rFonts w:ascii="Calibri" w:hAnsi="Calibri"/>
                <w:b w:val="0"/>
                <w:i w:val="0"/>
                <w:sz w:val="19"/>
              </w:rPr>
              <w:t>Restore</w:t>
            </w:r>
          </w:p>
        </w:tc>
        <w:tc>
          <w:tcPr>
            <w:tcW w:type="dxa" w:w="7160"/>
            <w:vAlign w:val="center"/>
          </w:tcPr>
          <w:p>
            <w:pPr>
              <w:spacing w:after="0"/>
            </w:pPr>
            <w:r>
              <w:rPr>
                <w:rFonts w:ascii="Calibri" w:hAnsi="Calibri"/>
                <w:b w:val="0"/>
                <w:i w:val="0"/>
                <w:sz w:val="19"/>
              </w:rPr>
              <w:t>Only approved local or internal package sources are used</w:t>
            </w:r>
          </w:p>
        </w:tc>
      </w:tr>
      <w:tr>
        <w:tc>
          <w:tcPr>
            <w:tcW w:type="dxa" w:w="2200"/>
            <w:vAlign w:val="center"/>
          </w:tcPr>
          <w:p>
            <w:pPr>
              <w:spacing w:after="0"/>
            </w:pPr>
            <w:r>
              <w:rPr>
                <w:rFonts w:ascii="Calibri" w:hAnsi="Calibri"/>
                <w:b w:val="0"/>
                <w:i w:val="0"/>
                <w:sz w:val="19"/>
              </w:rPr>
              <w:t>Formatting</w:t>
            </w:r>
          </w:p>
        </w:tc>
        <w:tc>
          <w:tcPr>
            <w:tcW w:type="dxa" w:w="7160"/>
            <w:vAlign w:val="center"/>
          </w:tcPr>
          <w:p>
            <w:pPr>
              <w:spacing w:after="0"/>
            </w:pPr>
            <w:r>
              <w:rPr>
                <w:rFonts w:ascii="Calibri" w:hAnsi="Calibri"/>
                <w:b w:val="0"/>
                <w:i w:val="0"/>
                <w:sz w:val="19"/>
              </w:rPr>
              <w:t>No automatic full-file or full-solution churn</w:t>
            </w:r>
          </w:p>
        </w:tc>
      </w:tr>
      <w:tr>
        <w:tc>
          <w:tcPr>
            <w:tcW w:type="dxa" w:w="2200"/>
            <w:vAlign w:val="center"/>
          </w:tcPr>
          <w:p>
            <w:pPr>
              <w:spacing w:after="0"/>
            </w:pPr>
            <w:r>
              <w:rPr>
                <w:rFonts w:ascii="Calibri" w:hAnsi="Calibri"/>
                <w:b w:val="0"/>
                <w:i w:val="0"/>
                <w:sz w:val="19"/>
              </w:rPr>
              <w:t>Architecture</w:t>
            </w:r>
          </w:p>
        </w:tc>
        <w:tc>
          <w:tcPr>
            <w:tcW w:type="dxa" w:w="7160"/>
            <w:vAlign w:val="center"/>
          </w:tcPr>
          <w:p>
            <w:pPr>
              <w:spacing w:after="0"/>
            </w:pPr>
            <w:r>
              <w:rPr>
                <w:rFonts w:ascii="Calibri" w:hAnsi="Calibri"/>
                <w:b w:val="0"/>
                <w:i w:val="0"/>
                <w:sz w:val="19"/>
              </w:rPr>
              <w:t>No new MVVM, DI, or hosting framework appears without approval</w:t>
            </w:r>
          </w:p>
        </w:tc>
      </w:tr>
      <w:tr>
        <w:tc>
          <w:tcPr>
            <w:tcW w:type="dxa" w:w="2200"/>
            <w:vAlign w:val="center"/>
          </w:tcPr>
          <w:p>
            <w:pPr>
              <w:spacing w:after="0"/>
            </w:pPr>
            <w:r>
              <w:rPr>
                <w:rFonts w:ascii="Calibri" w:hAnsi="Calibri"/>
                <w:b w:val="0"/>
                <w:i w:val="0"/>
                <w:sz w:val="19"/>
              </w:rPr>
              <w:t>Runtime</w:t>
            </w:r>
          </w:p>
        </w:tc>
        <w:tc>
          <w:tcPr>
            <w:tcW w:type="dxa" w:w="7160"/>
            <w:vAlign w:val="center"/>
          </w:tcPr>
          <w:p>
            <w:pPr>
              <w:spacing w:after="0"/>
            </w:pPr>
            <w:r>
              <w:rPr>
                <w:rFonts w:ascii="Calibri" w:hAnsi="Calibri"/>
                <w:b w:val="0"/>
                <w:i w:val="0"/>
                <w:sz w:val="19"/>
              </w:rPr>
              <w:t>Representative views and templates are instantiated, not only compiled</w:t>
            </w:r>
          </w:p>
        </w:tc>
      </w:tr>
      <w:tr>
        <w:tc>
          <w:tcPr>
            <w:tcW w:type="dxa" w:w="2200"/>
            <w:vAlign w:val="center"/>
          </w:tcPr>
          <w:p>
            <w:pPr>
              <w:spacing w:after="0"/>
            </w:pPr>
            <w:r>
              <w:rPr>
                <w:rFonts w:ascii="Calibri" w:hAnsi="Calibri"/>
                <w:b w:val="0"/>
                <w:i w:val="0"/>
                <w:sz w:val="19"/>
              </w:rPr>
              <w:t>Deployment</w:t>
            </w:r>
          </w:p>
        </w:tc>
        <w:tc>
          <w:tcPr>
            <w:tcW w:type="dxa" w:w="7160"/>
            <w:vAlign w:val="center"/>
          </w:tcPr>
          <w:p>
            <w:pPr>
              <w:spacing w:after="0"/>
            </w:pPr>
            <w:r>
              <w:rPr>
                <w:rFonts w:ascii="Calibri" w:hAnsi="Calibri"/>
                <w:b w:val="0"/>
                <w:i w:val="0"/>
                <w:sz w:val="19"/>
              </w:rPr>
              <w:t>Tools still work after reboot/relogin and under the intended Windows account</w:t>
            </w:r>
          </w:p>
        </w:tc>
      </w:tr>
    </w:tbl>
    <w:p>
      <w:pPr>
        <w:spacing w:after="0"/>
      </w:pPr>
    </w:p>
    <w:p>
      <w:pPr>
        <w:pStyle w:val="Heading1"/>
        <w:keepNext/>
      </w:pPr>
      <w:r>
        <w:t>Next-session work sequence</w:t>
      </w:r>
    </w:p>
    <w:p>
      <w:pPr>
        <w:pStyle w:val="ListNumber"/>
        <w:spacing w:after="80"/>
      </w:pPr>
      <w:r>
        <w:t>Open the fork workspace and read its repository-local instructions.</w:t>
      </w:r>
    </w:p>
    <w:p>
      <w:pPr>
        <w:pStyle w:val="ListNumber"/>
        <w:spacing w:after="80"/>
      </w:pPr>
      <w:r>
        <w:t>Record upstream remote, fork remote, branch, and baseline commit.</w:t>
      </w:r>
    </w:p>
    <w:p>
      <w:pPr>
        <w:pStyle w:val="ListNumber"/>
        <w:spacing w:after="80"/>
      </w:pPr>
      <w:r>
        <w:t>Inventory manifests, agents, skills, hooks, MCP servers, knowledge, URLs, dnx, uvx, Git, NuGet, and update paths.</w:t>
      </w:r>
    </w:p>
    <w:p>
      <w:pPr>
        <w:pStyle w:val="ListNumber"/>
        <w:spacing w:after="80"/>
      </w:pPr>
      <w:r>
        <w:t>Produce a dependency bill of materials before editing.</w:t>
      </w:r>
    </w:p>
    <w:p>
      <w:pPr>
        <w:pStyle w:val="ListNumber"/>
        <w:spacing w:after="80"/>
      </w:pPr>
      <w:r>
        <w:t>Prove offline MCP startup and local executable packaging.</w:t>
      </w:r>
    </w:p>
    <w:p>
      <w:pPr>
        <w:pStyle w:val="ListNumber"/>
        <w:spacing w:after="80"/>
      </w:pPr>
      <w:r>
        <w:t>Add net472 and legacy-solution detection guardrails.</w:t>
      </w:r>
    </w:p>
    <w:p>
      <w:pPr>
        <w:pStyle w:val="ListNumber"/>
        <w:spacing w:after="80"/>
      </w:pPr>
      <w:r>
        <w:t>Adapt build and formatting behavior.</w:t>
      </w:r>
    </w:p>
    <w:p>
      <w:pPr>
        <w:pStyle w:val="ListNumber"/>
        <w:spacing w:after="80"/>
      </w:pPr>
      <w:r>
        <w:t>Rewrite agents, skills, generators, and knowledge.</w:t>
      </w:r>
    </w:p>
    <w:p>
      <w:pPr>
        <w:pStyle w:val="ListNumber"/>
        <w:spacing w:after="80"/>
      </w:pPr>
      <w:r>
        <w:t>Build the transfer bundle and run tests with outbound access blocked.</w:t>
      </w:r>
    </w:p>
    <w:p>
      <w:pPr>
        <w:pStyle w:val="Heading1"/>
        <w:keepNext/>
      </w:pPr>
      <w:r>
        <w:t>Open questions</w:t>
      </w:r>
    </w:p>
    <w:p>
      <w:pPr>
        <w:pStyle w:val="ListBullet"/>
        <w:spacing w:after="80"/>
      </w:pPr>
      <w:r>
        <w:t>Exact project format, package-management style, C# LangVersion, Visual Studio version, and MVVM framework.</w:t>
      </w:r>
    </w:p>
    <w:p>
      <w:pPr>
        <w:pStyle w:val="ListBullet"/>
        <w:spacing w:after="80"/>
      </w:pPr>
      <w:r>
        <w:t>Availability of internal NuGet, Git, documentation, or MCP endpoints.</w:t>
      </w:r>
    </w:p>
    <w:p>
      <w:pPr>
        <w:pStyle w:val="ListBullet"/>
        <w:spacing w:after="80"/>
      </w:pPr>
      <w:r>
        <w:t>Whether Serena and automatic formatting are required.</w:t>
      </w:r>
    </w:p>
    <w:p>
      <w:pPr>
        <w:pStyle w:val="ListBullet"/>
        <w:spacing w:after="80"/>
      </w:pPr>
      <w:r>
        <w:t>Whether deployment must support multiple Windows accounts.</w:t>
      </w:r>
    </w:p>
    <w:p>
      <w:pPr>
        <w:pStyle w:val="ListBullet"/>
        <w:spacing w:after="80"/>
      </w:pPr>
      <w:r>
        <w:t>Required SBOM, hash manifest, license report, and security-review format.</w:t>
      </w:r>
    </w:p>
    <w:p>
      <w:pPr>
        <w:pStyle w:val="Heading1"/>
        <w:keepNext/>
      </w:pPr>
      <w:r>
        <w:t>Next-session opening instruction</w:t>
      </w:r>
    </w:p>
    <w:p>
      <w:pPr>
        <w:spacing w:after="160"/>
        <w:ind w:left="360" w:right="360"/>
      </w:pPr>
      <w:r>
        <w:rPr>
          <w:rFonts w:ascii="Calibri" w:hAnsi="Calibri"/>
          <w:b w:val="0"/>
          <w:i/>
          <w:color w:val="1F4D78"/>
          <w:sz w:val="21"/>
        </w:rPr>
        <w:t>Read the Markdown source-of-truth handoff in full. Treat this as an external Claude Code plugin fork, not a Gajae-Code change. Inventory all network and modern-.NET assumptions and produce a dependency bill of materials before editing.</w:t>
      </w:r>
    </w:p>
    <w:p>
      <w:pPr>
        <w:pStyle w:val="Heading1"/>
        <w:keepNext/>
      </w:pPr>
      <w:r>
        <w:t>Source links</w:t>
      </w:r>
    </w:p>
    <w:p>
      <w:r>
        <w:t>https://github.com/christian289/dotnet-with-claudecode</w:t>
      </w:r>
    </w:p>
    <w:p>
      <w:r>
        <w:t>https://github.com/christian289/dotnet-with-claudecode/tree/main/wpf-dev-pack</w:t>
      </w:r>
    </w:p>
    <w:p>
      <w:r>
        <w:t>https://www.nuget.org/packages/CommunityToolkit.Mvvm/8.4.0</w:t>
      </w:r>
    </w:p>
    <w:p>
      <w:r>
        <w:t>https://www.nuget.org/packages/Microsoft.Extensions.Hosting/10.0.0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5A5A"/>
        <w:sz w:val="17"/>
      </w:rPr>
      <w:t>Reviewed 2026-06-15 | Air-gapped Claude Code plugin fork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A5A5A"/>
        <w:sz w:val="18"/>
      </w:rPr>
      <w:t>EXTERNAL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