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Arial" w:cs="Arial" w:eastAsia="Arial" w:hAnsi="Arial"/>
          <w:color w:val="666666"/>
          <w:sz w:val="20"/>
          <w:szCs w:val="20"/>
        </w:rPr>
        <w:t xml:space="preserve">Kova Services Inc.</w:t>
      </w:r>
    </w:p>
    <w:p>
      <w:pPr>
        <w:spacing w:after="80"/>
        <w:jc w:val="center"/>
      </w:pPr>
      <w:r>
        <w:rPr>
          <w:rFonts w:ascii="Arial" w:cs="Arial" w:eastAsia="Arial" w:hAnsi="Arial"/>
          <w:b/>
          <w:bCs/>
          <w:color w:val="0E0D0B"/>
          <w:sz w:val="40"/>
          <w:szCs w:val="40"/>
        </w:rPr>
        <w:t xml:space="preserve">Limited Power of Attorney</w:t>
      </w:r>
    </w:p>
    <w:p>
      <w:pPr>
        <w:spacing w:after="80"/>
        <w:jc w:val="center"/>
      </w:pPr>
      <w:r>
        <w:rPr>
          <w:rFonts w:ascii="Arial" w:cs="Arial" w:eastAsia="Arial" w:hAnsi="Arial"/>
          <w:color w:val="444444"/>
          <w:sz w:val="24"/>
          <w:szCs w:val="24"/>
        </w:rPr>
        <w:t xml:space="preserve">Authorization for Bill Negotiation Services</w:t>
      </w:r>
    </w:p>
    <w:p>
      <w:pPr>
        <w:spacing w:after="240"/>
        <w:jc w:val="center"/>
      </w:pPr>
      <w:r>
        <w:rPr>
          <w:rFonts w:ascii="Arial" w:cs="Arial" w:eastAsia="Arial" w:hAnsi="Arial"/>
          <w:color w:val="888888"/>
          <w:sz w:val="18"/>
          <w:szCs w:val="18"/>
        </w:rPr>
        <w:t xml:space="preserve">Version 2.1.0  |  Effective: April 6, 2026</w:t>
      </w:r>
    </w:p>
    <w:p>
      <w:pPr>
        <w:pBdr>
          <w:bottom w:val="single" w:color="CCCCCC" w:sz="4" w:space="1"/>
        </w:pBdr>
        <w:spacing w:after="160" w:before="1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single" w:color="CCCCCC" w:sz="4"/>
              <w:left w:val="single" w:color="CCCCCC" w:sz="4"/>
              <w:bottom w:val="single" w:color="CCCCCC" w:sz="4"/>
              <w:right w:val="single" w:color="CCCCCC" w:sz="4"/>
            </w:tcBorders>
            <w:shd w:fill="FFE0E0" w:val="clear"/>
            <w:tcMar>
              <w:top w:type="dxa" w:w="120"/>
              <w:left w:type="dxa" w:w="160"/>
              <w:bottom w:type="dxa" w:w="120"/>
              <w:right w:type="dxa" w:w="160"/>
            </w:tcMar>
          </w:tcPr>
          <w:p>
            <w:r>
              <w:rPr>
                <w:rFonts w:ascii="Arial" w:cs="Arial" w:eastAsia="Arial" w:hAnsi="Arial"/>
                <w:i/>
                <w:iCs/>
                <w:color w:val="555555"/>
                <w:sz w:val="20"/>
                <w:szCs w:val="20"/>
              </w:rPr>
              <w:t xml:space="preserve">ATTORNEY REVIEW REQUIRED: This document must be reviewed by a licensed consumer protection attorney before any user is asked to sign it. This draft is prepared for legal review purposes.</w:t>
            </w:r>
          </w:p>
        </w:tc>
      </w:tr>
    </w:tbl>
    <w:p>
      <w:pPr>
        <w:spacing w:after="160"/>
      </w:pPr>
      <w:r>
        <w:t xml:space="preserve"/>
      </w:r>
    </w:p>
    <w:p>
      <w:pPr>
        <w:pStyle w:val="Heading1"/>
      </w:pPr>
      <w:r>
        <w:rPr>
          <w:rFonts w:ascii="Arial" w:cs="Arial" w:eastAsia="Arial" w:hAnsi="Arial"/>
          <w:b/>
          <w:bCs/>
          <w:color w:val="0E0D0B"/>
          <w:sz w:val="32"/>
          <w:szCs w:val="32"/>
        </w:rPr>
        <w:t xml:space="preserve">IMPORTANT NOTICE TO PRINCIPAL</w:t>
      </w:r>
    </w:p>
    <w:p>
      <w:pPr>
        <w:spacing w:after="120"/>
      </w:pPr>
      <w:r>
        <w:rPr>
          <w:rFonts w:ascii="Arial" w:cs="Arial" w:eastAsia="Arial" w:hAnsi="Arial"/>
          <w:b/>
          <w:bCs/>
          <w:sz w:val="22"/>
          <w:szCs w:val="22"/>
        </w:rPr>
        <w:t xml:space="preserve">READ THIS DOCUMENT CAREFULLY BEFORE SIGNING. </w:t>
      </w:r>
      <w:r>
        <w:rPr>
          <w:rFonts w:ascii="Arial" w:cs="Arial" w:eastAsia="Arial" w:hAnsi="Arial"/>
          <w:sz w:val="22"/>
          <w:szCs w:val="22"/>
        </w:rPr>
        <w:t xml:space="preserve">This is a legal document that gives Kova Services Inc. the power to act on your behalf in limited, specific ways. You have the right to revoke this authorization at any time. You are not required to sign this document to use Kova's other services.</w:t>
      </w:r>
    </w:p>
    <w:p>
      <w:pPr>
        <w:spacing w:after="80"/>
      </w:pPr>
      <w:r>
        <w:t xml:space="preserve"/>
      </w:r>
    </w:p>
    <w:p>
      <w:pPr>
        <w:pStyle w:val="Heading1"/>
      </w:pPr>
      <w:r>
        <w:rPr>
          <w:rFonts w:ascii="Arial" w:cs="Arial" w:eastAsia="Arial" w:hAnsi="Arial"/>
          <w:b/>
          <w:bCs/>
          <w:color w:val="0E0D0B"/>
          <w:sz w:val="32"/>
          <w:szCs w:val="32"/>
        </w:rPr>
        <w:t xml:space="preserve">1. PARTIES</w:t>
      </w:r>
    </w:p>
    <w:p>
      <w:pPr>
        <w:spacing w:after="120"/>
      </w:pPr>
      <w:r>
        <w:rPr>
          <w:rFonts w:ascii="Arial" w:cs="Arial" w:eastAsia="Arial" w:hAnsi="Arial"/>
          <w:b/>
          <w:bCs/>
          <w:sz w:val="22"/>
          <w:szCs w:val="22"/>
        </w:rPr>
        <w:t xml:space="preserve">Principal (You): </w:t>
      </w:r>
      <w:r>
        <w:rPr>
          <w:rFonts w:ascii="Arial" w:cs="Arial" w:eastAsia="Arial" w:hAnsi="Arial"/>
          <w:sz w:val="22"/>
          <w:szCs w:val="22"/>
        </w:rPr>
        <w:t xml:space="preserve">The individual who creates a Kova account and executes this document.</w:t>
      </w:r>
    </w:p>
    <w:p>
      <w:pPr>
        <w:spacing w:after="120"/>
      </w:pPr>
      <w:r>
        <w:rPr>
          <w:rFonts w:ascii="Arial" w:cs="Arial" w:eastAsia="Arial" w:hAnsi="Arial"/>
          <w:b/>
          <w:bCs/>
          <w:sz w:val="22"/>
          <w:szCs w:val="22"/>
        </w:rPr>
        <w:t xml:space="preserve">Agent: </w:t>
      </w:r>
      <w:r>
        <w:rPr>
          <w:rFonts w:ascii="Arial" w:cs="Arial" w:eastAsia="Arial" w:hAnsi="Arial"/>
          <w:sz w:val="22"/>
          <w:szCs w:val="22"/>
        </w:rPr>
        <w:t xml:space="preserve">Kova Services Inc., a Delaware corporation operating the Kova platform at getkova.com.</w:t>
      </w:r>
    </w:p>
    <w:p>
      <w:pPr>
        <w:spacing w:after="120"/>
      </w:pPr>
      <w:r>
        <w:rPr>
          <w:rFonts w:ascii="Arial" w:cs="Arial" w:eastAsia="Arial" w:hAnsi="Arial"/>
          <w:b/>
          <w:bCs/>
          <w:sz w:val="22"/>
          <w:szCs w:val="22"/>
        </w:rPr>
        <w:t xml:space="preserve">Effective Date: </w:t>
      </w:r>
      <w:r>
        <w:rPr>
          <w:rFonts w:ascii="Arial" w:cs="Arial" w:eastAsia="Arial" w:hAnsi="Arial"/>
          <w:sz w:val="22"/>
          <w:szCs w:val="22"/>
        </w:rPr>
        <w:t xml:space="preserve">The date the Principal executes this document electronically.</w:t>
      </w:r>
    </w:p>
    <w:p>
      <w:pPr>
        <w:spacing w:after="80"/>
      </w:pPr>
      <w:r>
        <w:t xml:space="preserve"/>
      </w:r>
    </w:p>
    <w:p>
      <w:pPr>
        <w:pStyle w:val="Heading1"/>
      </w:pPr>
      <w:r>
        <w:rPr>
          <w:rFonts w:ascii="Arial" w:cs="Arial" w:eastAsia="Arial" w:hAnsi="Arial"/>
          <w:b/>
          <w:bCs/>
          <w:color w:val="0E0D0B"/>
          <w:sz w:val="32"/>
          <w:szCs w:val="32"/>
        </w:rPr>
        <w:t xml:space="preserve">2. GRANT OF LIMITED AUTHORITY</w:t>
      </w:r>
    </w:p>
    <w:p>
      <w:pPr>
        <w:spacing w:after="120"/>
        <w:jc w:val="left"/>
      </w:pPr>
      <w:r>
        <w:rPr>
          <w:rFonts w:ascii="Arial" w:cs="Arial" w:eastAsia="Arial" w:hAnsi="Arial"/>
          <w:sz w:val="22"/>
          <w:szCs w:val="22"/>
        </w:rPr>
        <w:t xml:space="preserve">Subject to the restrictions in Section 3, the Principal hereby grants the Agent a LIMITED, NON-DURABLE, REVOCABLE power of attorney to perform ONLY the following acts on the Principal's behalf:</w:t>
      </w:r>
    </w:p>
    <w:p>
      <w:pPr>
        <w:spacing w:after="80"/>
      </w:pPr>
      <w:r>
        <w:t xml:space="preserve"/>
      </w:r>
    </w:p>
    <w:p>
      <w:pPr>
        <w:pStyle w:val="Heading2"/>
      </w:pPr>
      <w:r>
        <w:rPr>
          <w:rFonts w:ascii="Arial" w:cs="Arial" w:eastAsia="Arial" w:hAnsi="Arial"/>
          <w:b/>
          <w:bCs/>
          <w:sz w:val="26"/>
          <w:szCs w:val="26"/>
        </w:rPr>
        <w:t xml:space="preserve">2.1 Authorized Actions</w:t>
      </w:r>
    </w:p>
    <w:p>
      <w:pPr>
        <w:pStyle w:val="ListParagraph"/>
        <w:numPr>
          <w:ilvl w:val="0"/>
          <w:numId w:val="2"/>
        </w:numPr>
        <w:spacing w:after="80"/>
      </w:pPr>
      <w:r>
        <w:rPr>
          <w:rFonts w:ascii="Arial" w:cs="Arial" w:eastAsia="Arial" w:hAnsi="Arial"/>
          <w:sz w:val="22"/>
          <w:szCs w:val="22"/>
        </w:rPr>
        <w:t xml:space="preserve">Contact service providers (as selected by the Principal) via telephone, live chat, or online portal to request rate reductions, loyalty discounts, promotional pricing, or billing credits</w:t>
      </w:r>
    </w:p>
    <w:p>
      <w:pPr>
        <w:pStyle w:val="ListParagraph"/>
        <w:numPr>
          <w:ilvl w:val="0"/>
          <w:numId w:val="2"/>
        </w:numPr>
        <w:spacing w:after="80"/>
      </w:pPr>
      <w:r>
        <w:rPr>
          <w:rFonts w:ascii="Arial" w:cs="Arial" w:eastAsia="Arial" w:hAnsi="Arial"/>
          <w:sz w:val="22"/>
          <w:szCs w:val="22"/>
        </w:rPr>
        <w:t xml:space="preserve">Identify as acting on behalf of the Principal and state the Principal's account information solely for the purpose of account verification and negotiation</w:t>
      </w:r>
    </w:p>
    <w:p>
      <w:pPr>
        <w:pStyle w:val="ListParagraph"/>
        <w:numPr>
          <w:ilvl w:val="0"/>
          <w:numId w:val="2"/>
        </w:numPr>
        <w:spacing w:after="80"/>
      </w:pPr>
      <w:r>
        <w:rPr>
          <w:rFonts w:ascii="Arial" w:cs="Arial" w:eastAsia="Arial" w:hAnsi="Arial"/>
          <w:sz w:val="22"/>
          <w:szCs w:val="22"/>
        </w:rPr>
        <w:t xml:space="preserve">Present competitor pricing information and loyalty tenure data to support negotiation</w:t>
      </w:r>
    </w:p>
    <w:p>
      <w:pPr>
        <w:pStyle w:val="ListParagraph"/>
        <w:numPr>
          <w:ilvl w:val="0"/>
          <w:numId w:val="2"/>
        </w:numPr>
        <w:spacing w:after="80"/>
      </w:pPr>
      <w:r>
        <w:rPr>
          <w:rFonts w:ascii="Arial" w:cs="Arial" w:eastAsia="Arial" w:hAnsi="Arial"/>
          <w:sz w:val="22"/>
          <w:szCs w:val="22"/>
        </w:rPr>
        <w:t xml:space="preserve">Request to speak with retention departments, supervisors, or customer loyalty teams</w:t>
      </w:r>
    </w:p>
    <w:p>
      <w:pPr>
        <w:pStyle w:val="ListParagraph"/>
        <w:numPr>
          <w:ilvl w:val="0"/>
          <w:numId w:val="2"/>
        </w:numPr>
        <w:spacing w:after="80"/>
      </w:pPr>
      <w:r>
        <w:rPr>
          <w:rFonts w:ascii="Arial" w:cs="Arial" w:eastAsia="Arial" w:hAnsi="Arial"/>
          <w:sz w:val="22"/>
          <w:szCs w:val="22"/>
        </w:rPr>
        <w:t xml:space="preserve">Accept or decline rate offers on the Principal's behalf, subject to the Principal's pre-approved minimum acceptable rate (if set)</w:t>
      </w:r>
    </w:p>
    <w:p>
      <w:pPr>
        <w:pStyle w:val="ListParagraph"/>
        <w:numPr>
          <w:ilvl w:val="0"/>
          <w:numId w:val="2"/>
        </w:numPr>
        <w:spacing w:after="80"/>
      </w:pPr>
      <w:r>
        <w:rPr>
          <w:rFonts w:ascii="Arial" w:cs="Arial" w:eastAsia="Arial" w:hAnsi="Arial"/>
          <w:sz w:val="22"/>
          <w:szCs w:val="22"/>
        </w:rPr>
        <w:t xml:space="preserve">Request written confirmation of any agreed-upon rate changes via email</w:t>
      </w:r>
    </w:p>
    <w:p>
      <w:pPr>
        <w:spacing w:after="80"/>
      </w:pPr>
      <w:r>
        <w:t xml:space="preserve"/>
      </w:r>
    </w:p>
    <w:p>
      <w:pPr>
        <w:pStyle w:val="Heading2"/>
      </w:pPr>
      <w:r>
        <w:rPr>
          <w:rFonts w:ascii="Arial" w:cs="Arial" w:eastAsia="Arial" w:hAnsi="Arial"/>
          <w:b/>
          <w:bCs/>
          <w:sz w:val="26"/>
          <w:szCs w:val="26"/>
        </w:rPr>
        <w:t xml:space="preserve">2.2 Authorized Providers</w:t>
      </w:r>
    </w:p>
    <w:p>
      <w:pPr>
        <w:spacing w:after="120"/>
        <w:jc w:val="left"/>
      </w:pPr>
      <w:r>
        <w:rPr>
          <w:rFonts w:ascii="Arial" w:cs="Arial" w:eastAsia="Arial" w:hAnsi="Arial"/>
          <w:sz w:val="22"/>
          <w:szCs w:val="22"/>
        </w:rPr>
        <w:t xml:space="preserve">This authorization applies ONLY to the specific service providers the Principal selects during the consent flow. The Principal may add or remove providers at any time through their account settings.</w:t>
      </w:r>
    </w:p>
    <w:p>
      <w:pPr>
        <w:spacing w:after="80"/>
      </w:pPr>
      <w:r>
        <w:t xml:space="preserve"/>
      </w:r>
    </w:p>
    <w:p>
      <w:pPr>
        <w:pStyle w:val="Heading1"/>
      </w:pPr>
      <w:r>
        <w:rPr>
          <w:rFonts w:ascii="Arial" w:cs="Arial" w:eastAsia="Arial" w:hAnsi="Arial"/>
          <w:b/>
          <w:bCs/>
          <w:color w:val="0E0D0B"/>
          <w:sz w:val="32"/>
          <w:szCs w:val="32"/>
        </w:rPr>
        <w:t xml:space="preserve">3. EXPRESS LIMITATIONS — WHAT KOVA CANNOT DO</w:t>
      </w:r>
    </w:p>
    <w:p>
      <w:pPr>
        <w:spacing w:after="120"/>
      </w:pPr>
      <w:r>
        <w:rPr>
          <w:rFonts w:ascii="Arial" w:cs="Arial" w:eastAsia="Arial" w:hAnsi="Arial"/>
          <w:b/>
          <w:bCs/>
          <w:sz w:val="22"/>
          <w:szCs w:val="22"/>
        </w:rPr>
        <w:t xml:space="preserve">The Agent is EXPRESSLY PROHIBITED from taking any of the following actions:</w:t>
      </w:r>
    </w:p>
    <w:p>
      <w:pPr>
        <w:pStyle w:val="ListParagraph"/>
        <w:numPr>
          <w:ilvl w:val="0"/>
          <w:numId w:val="2"/>
        </w:numPr>
        <w:spacing w:after="80"/>
      </w:pPr>
      <w:r>
        <w:rPr>
          <w:rFonts w:ascii="Arial" w:cs="Arial" w:eastAsia="Arial" w:hAnsi="Arial"/>
          <w:sz w:val="22"/>
          <w:szCs w:val="22"/>
        </w:rPr>
        <w:t xml:space="preserve">Canceling, downgrading, or upgrading any service plan or subscription</w:t>
      </w:r>
    </w:p>
    <w:p>
      <w:pPr>
        <w:pStyle w:val="ListParagraph"/>
        <w:numPr>
          <w:ilvl w:val="0"/>
          <w:numId w:val="2"/>
        </w:numPr>
        <w:spacing w:after="80"/>
      </w:pPr>
      <w:r>
        <w:rPr>
          <w:rFonts w:ascii="Arial" w:cs="Arial" w:eastAsia="Arial" w:hAnsi="Arial"/>
          <w:sz w:val="22"/>
          <w:szCs w:val="22"/>
        </w:rPr>
        <w:t xml:space="preserve">Making any purchase, adding any service, or incurring any charges on the Principal's behalf</w:t>
      </w:r>
    </w:p>
    <w:p>
      <w:pPr>
        <w:pStyle w:val="ListParagraph"/>
        <w:numPr>
          <w:ilvl w:val="0"/>
          <w:numId w:val="2"/>
        </w:numPr>
        <w:spacing w:after="80"/>
      </w:pPr>
      <w:r>
        <w:rPr>
          <w:rFonts w:ascii="Arial" w:cs="Arial" w:eastAsia="Arial" w:hAnsi="Arial"/>
          <w:sz w:val="22"/>
          <w:szCs w:val="22"/>
        </w:rPr>
        <w:t xml:space="preserve">Accessing, sharing, or transmitting the Principal's account passwords, PINs, or security credentials to any third party</w:t>
      </w:r>
    </w:p>
    <w:p>
      <w:pPr>
        <w:pStyle w:val="ListParagraph"/>
        <w:numPr>
          <w:ilvl w:val="0"/>
          <w:numId w:val="2"/>
        </w:numPr>
        <w:spacing w:after="80"/>
      </w:pPr>
      <w:r>
        <w:rPr>
          <w:rFonts w:ascii="Arial" w:cs="Arial" w:eastAsia="Arial" w:hAnsi="Arial"/>
          <w:sz w:val="22"/>
          <w:szCs w:val="22"/>
        </w:rPr>
        <w:t xml:space="preserve">Taking any action not directly related to rate negotiation</w:t>
      </w:r>
    </w:p>
    <w:p>
      <w:pPr>
        <w:pStyle w:val="ListParagraph"/>
        <w:numPr>
          <w:ilvl w:val="0"/>
          <w:numId w:val="2"/>
        </w:numPr>
        <w:spacing w:after="80"/>
      </w:pPr>
      <w:r>
        <w:rPr>
          <w:rFonts w:ascii="Arial" w:cs="Arial" w:eastAsia="Arial" w:hAnsi="Arial"/>
          <w:sz w:val="22"/>
          <w:szCs w:val="22"/>
        </w:rPr>
        <w:t xml:space="preserve">Acting on behalf of the Principal with any provider not expressly authorized</w:t>
      </w:r>
    </w:p>
    <w:p>
      <w:pPr>
        <w:pStyle w:val="ListParagraph"/>
        <w:numPr>
          <w:ilvl w:val="0"/>
          <w:numId w:val="2"/>
        </w:numPr>
        <w:spacing w:after="80"/>
      </w:pPr>
      <w:r>
        <w:rPr>
          <w:rFonts w:ascii="Arial" w:cs="Arial" w:eastAsia="Arial" w:hAnsi="Arial"/>
          <w:sz w:val="22"/>
          <w:szCs w:val="22"/>
        </w:rPr>
        <w:t xml:space="preserve">Entering into any contract, agreement, or commitment with a term exceeding 24 months without explicit separate written consent</w:t>
      </w:r>
    </w:p>
    <w:p>
      <w:pPr>
        <w:pStyle w:val="ListParagraph"/>
        <w:numPr>
          <w:ilvl w:val="0"/>
          <w:numId w:val="2"/>
        </w:numPr>
        <w:spacing w:after="80"/>
      </w:pPr>
      <w:r>
        <w:rPr>
          <w:rFonts w:ascii="Arial" w:cs="Arial" w:eastAsia="Arial" w:hAnsi="Arial"/>
          <w:sz w:val="22"/>
          <w:szCs w:val="22"/>
        </w:rPr>
        <w:t xml:space="preserve">Sharing the Principal's personal information with any party other than the authorized service providers</w:t>
      </w:r>
    </w:p>
    <w:p>
      <w:pPr>
        <w:pStyle w:val="ListParagraph"/>
        <w:numPr>
          <w:ilvl w:val="0"/>
          <w:numId w:val="2"/>
        </w:numPr>
        <w:spacing w:after="80"/>
      </w:pPr>
      <w:r>
        <w:rPr>
          <w:rFonts w:ascii="Arial" w:cs="Arial" w:eastAsia="Arial" w:hAnsi="Arial"/>
          <w:sz w:val="22"/>
          <w:szCs w:val="22"/>
        </w:rPr>
        <w:t xml:space="preserve">Acting under this authorization after it has been revoked</w:t>
      </w:r>
    </w:p>
    <w:p>
      <w:pPr>
        <w:spacing w:after="80"/>
      </w:pPr>
      <w:r>
        <w:t xml:space="preserve"/>
      </w:r>
    </w:p>
    <w:p>
      <w:pPr>
        <w:pStyle w:val="Heading1"/>
      </w:pPr>
      <w:r>
        <w:rPr>
          <w:rFonts w:ascii="Arial" w:cs="Arial" w:eastAsia="Arial" w:hAnsi="Arial"/>
          <w:b/>
          <w:bCs/>
          <w:color w:val="0E0D0B"/>
          <w:sz w:val="32"/>
          <w:szCs w:val="32"/>
        </w:rPr>
        <w:t xml:space="preserve">4. DURATION AND REVOCATION</w:t>
      </w:r>
    </w:p>
    <w:p>
      <w:pPr>
        <w:pStyle w:val="Heading2"/>
      </w:pPr>
      <w:r>
        <w:rPr>
          <w:rFonts w:ascii="Arial" w:cs="Arial" w:eastAsia="Arial" w:hAnsi="Arial"/>
          <w:b/>
          <w:bCs/>
          <w:sz w:val="26"/>
          <w:szCs w:val="26"/>
        </w:rPr>
        <w:t xml:space="preserve">4.1 Term</w:t>
      </w:r>
    </w:p>
    <w:p>
      <w:pPr>
        <w:spacing w:after="120"/>
        <w:jc w:val="left"/>
      </w:pPr>
      <w:r>
        <w:rPr>
          <w:rFonts w:ascii="Arial" w:cs="Arial" w:eastAsia="Arial" w:hAnsi="Arial"/>
          <w:sz w:val="22"/>
          <w:szCs w:val="22"/>
        </w:rPr>
        <w:t xml:space="preserve">This authorization is effective upon execution and expires automatically on the earlier of: (a) twelve (12) months from the effective date, or (b) the date the Principal revokes this authorization.</w:t>
      </w:r>
    </w:p>
    <w:p>
      <w:pPr>
        <w:spacing w:after="80"/>
      </w:pPr>
      <w:r>
        <w:t xml:space="preserve"/>
      </w:r>
    </w:p>
    <w:p>
      <w:pPr>
        <w:pStyle w:val="Heading2"/>
      </w:pPr>
      <w:r>
        <w:rPr>
          <w:rFonts w:ascii="Arial" w:cs="Arial" w:eastAsia="Arial" w:hAnsi="Arial"/>
          <w:b/>
          <w:bCs/>
          <w:sz w:val="26"/>
          <w:szCs w:val="26"/>
        </w:rPr>
        <w:t xml:space="preserve">4.2 Revocation</w:t>
      </w:r>
    </w:p>
    <w:p>
      <w:pPr>
        <w:spacing w:after="120"/>
        <w:jc w:val="left"/>
      </w:pPr>
      <w:r>
        <w:rPr>
          <w:rFonts w:ascii="Arial" w:cs="Arial" w:eastAsia="Arial" w:hAnsi="Arial"/>
          <w:sz w:val="22"/>
          <w:szCs w:val="22"/>
        </w:rPr>
        <w:t xml:space="preserve">The Principal may revoke this authorization at any time, without cause, by any of the following methods:</w:t>
      </w:r>
    </w:p>
    <w:p>
      <w:pPr>
        <w:pStyle w:val="ListParagraph"/>
        <w:numPr>
          <w:ilvl w:val="0"/>
          <w:numId w:val="3"/>
        </w:numPr>
        <w:spacing w:after="80"/>
      </w:pPr>
      <w:r>
        <w:rPr>
          <w:rFonts w:ascii="Arial" w:cs="Arial" w:eastAsia="Arial" w:hAnsi="Arial"/>
          <w:sz w:val="22"/>
          <w:szCs w:val="22"/>
        </w:rPr>
        <w:t xml:space="preserve">Tapping "Revoke all authorizations" in the Kova app Settings screen</w:t>
      </w:r>
    </w:p>
    <w:p>
      <w:pPr>
        <w:pStyle w:val="ListParagraph"/>
        <w:numPr>
          <w:ilvl w:val="0"/>
          <w:numId w:val="3"/>
        </w:numPr>
        <w:spacing w:after="80"/>
      </w:pPr>
      <w:r>
        <w:rPr>
          <w:rFonts w:ascii="Arial" w:cs="Arial" w:eastAsia="Arial" w:hAnsi="Arial"/>
          <w:sz w:val="22"/>
          <w:szCs w:val="22"/>
        </w:rPr>
        <w:t xml:space="preserve">Sending an email to legal@getkova.com with the subject line "REVOKE AUTHORIZATION"</w:t>
      </w:r>
    </w:p>
    <w:p>
      <w:pPr>
        <w:pStyle w:val="ListParagraph"/>
        <w:numPr>
          <w:ilvl w:val="0"/>
          <w:numId w:val="3"/>
        </w:numPr>
        <w:spacing w:after="80"/>
      </w:pPr>
      <w:r>
        <w:rPr>
          <w:rFonts w:ascii="Arial" w:cs="Arial" w:eastAsia="Arial" w:hAnsi="Arial"/>
          <w:sz w:val="22"/>
          <w:szCs w:val="22"/>
        </w:rPr>
        <w:t xml:space="preserve">Replying "REVOKE" to any email received from Kova</w:t>
      </w:r>
    </w:p>
    <w:p>
      <w:pPr>
        <w:pStyle w:val="ListParagraph"/>
        <w:numPr>
          <w:ilvl w:val="0"/>
          <w:numId w:val="3"/>
        </w:numPr>
        <w:spacing w:after="80"/>
      </w:pPr>
      <w:r>
        <w:rPr>
          <w:rFonts w:ascii="Arial" w:cs="Arial" w:eastAsia="Arial" w:hAnsi="Arial"/>
          <w:sz w:val="22"/>
          <w:szCs w:val="22"/>
        </w:rPr>
        <w:t xml:space="preserve">Calling Kova support at the number listed on the Kova website</w:t>
      </w:r>
    </w:p>
    <w:p>
      <w:pPr>
        <w:spacing w:after="80"/>
      </w:pPr>
      <w:r>
        <w:t xml:space="preserve"/>
      </w:r>
    </w:p>
    <w:p>
      <w:pPr>
        <w:spacing w:after="120"/>
        <w:jc w:val="left"/>
      </w:pPr>
      <w:r>
        <w:rPr>
          <w:rFonts w:ascii="Arial" w:cs="Arial" w:eastAsia="Arial" w:hAnsi="Arial"/>
          <w:sz w:val="22"/>
          <w:szCs w:val="22"/>
        </w:rPr>
        <w:t xml:space="preserve">Revocation becomes effective within one (1) hour of receipt by Kova. Revocation does not affect obligations already incurred prior to revocation (including performance fees for negotiations already completed).</w:t>
      </w:r>
    </w:p>
    <w:p>
      <w:pPr>
        <w:spacing w:after="80"/>
      </w:pPr>
      <w:r>
        <w:t xml:space="preserve"/>
      </w:r>
    </w:p>
    <w:p>
      <w:pPr>
        <w:pStyle w:val="Heading1"/>
      </w:pPr>
      <w:r>
        <w:rPr>
          <w:rFonts w:ascii="Arial" w:cs="Arial" w:eastAsia="Arial" w:hAnsi="Arial"/>
          <w:b/>
          <w:bCs/>
          <w:color w:val="0E0D0B"/>
          <w:sz w:val="32"/>
          <w:szCs w:val="32"/>
        </w:rPr>
        <w:t xml:space="preserve">5. NON-DURABLE NATURE</w:t>
      </w:r>
    </w:p>
    <w:p>
      <w:pPr>
        <w:spacing w:after="120"/>
        <w:jc w:val="left"/>
      </w:pPr>
      <w:r>
        <w:rPr>
          <w:rFonts w:ascii="Arial" w:cs="Arial" w:eastAsia="Arial" w:hAnsi="Arial"/>
          <w:sz w:val="22"/>
          <w:szCs w:val="22"/>
        </w:rPr>
        <w:t xml:space="preserve">THIS IS A NON-DURABLE POWER OF ATTORNEY. This authorization automatically terminates if the Principal becomes incapacitated or unable to make decisions. This document does not grant any authority beyond the specific actions described herein.</w:t>
      </w:r>
    </w:p>
    <w:p>
      <w:pPr>
        <w:spacing w:after="80"/>
      </w:pPr>
      <w:r>
        <w:t xml:space="preserve"/>
      </w:r>
    </w:p>
    <w:p>
      <w:pPr>
        <w:pStyle w:val="Heading1"/>
      </w:pPr>
      <w:r>
        <w:rPr>
          <w:rFonts w:ascii="Arial" w:cs="Arial" w:eastAsia="Arial" w:hAnsi="Arial"/>
          <w:b/>
          <w:bCs/>
          <w:color w:val="0E0D0B"/>
          <w:sz w:val="32"/>
          <w:szCs w:val="32"/>
        </w:rPr>
        <w:t xml:space="preserve">6. RECORDING AND DOCUMENTATION</w:t>
      </w:r>
    </w:p>
    <w:p>
      <w:pPr>
        <w:spacing w:after="120"/>
        <w:jc w:val="left"/>
      </w:pPr>
      <w:r>
        <w:rPr>
          <w:rFonts w:ascii="Arial" w:cs="Arial" w:eastAsia="Arial" w:hAnsi="Arial"/>
          <w:sz w:val="22"/>
          <w:szCs w:val="22"/>
        </w:rPr>
        <w:t xml:space="preserve">The Principal acknowledges and consents that:</w:t>
      </w:r>
    </w:p>
    <w:p>
      <w:pPr>
        <w:pStyle w:val="ListParagraph"/>
        <w:numPr>
          <w:ilvl w:val="0"/>
          <w:numId w:val="2"/>
        </w:numPr>
        <w:spacing w:after="80"/>
      </w:pPr>
      <w:r>
        <w:rPr>
          <w:rFonts w:ascii="Arial" w:cs="Arial" w:eastAsia="Arial" w:hAnsi="Arial"/>
          <w:sz w:val="22"/>
          <w:szCs w:val="22"/>
        </w:rPr>
        <w:t xml:space="preserve">Telephone calls made under this authorization may be recorded for quality assurance and legal compliance purposes</w:t>
      </w:r>
    </w:p>
    <w:p>
      <w:pPr>
        <w:pStyle w:val="ListParagraph"/>
        <w:numPr>
          <w:ilvl w:val="0"/>
          <w:numId w:val="2"/>
        </w:numPr>
        <w:spacing w:after="80"/>
      </w:pPr>
      <w:r>
        <w:rPr>
          <w:rFonts w:ascii="Arial" w:cs="Arial" w:eastAsia="Arial" w:hAnsi="Arial"/>
          <w:sz w:val="22"/>
          <w:szCs w:val="22"/>
        </w:rPr>
        <w:t xml:space="preserve">A notice stating "This call may be recorded for quality assurance" will be announced at the start of every telephone call made under this authorization</w:t>
      </w:r>
    </w:p>
    <w:p>
      <w:pPr>
        <w:pStyle w:val="ListParagraph"/>
        <w:numPr>
          <w:ilvl w:val="0"/>
          <w:numId w:val="2"/>
        </w:numPr>
        <w:spacing w:after="80"/>
      </w:pPr>
      <w:r>
        <w:rPr>
          <w:rFonts w:ascii="Arial" w:cs="Arial" w:eastAsia="Arial" w:hAnsi="Arial"/>
          <w:sz w:val="22"/>
          <w:szCs w:val="22"/>
        </w:rPr>
        <w:t xml:space="preserve">Chat transcripts will be retained for a minimum of seven (7) years</w:t>
      </w:r>
    </w:p>
    <w:p>
      <w:pPr>
        <w:pStyle w:val="ListParagraph"/>
        <w:numPr>
          <w:ilvl w:val="0"/>
          <w:numId w:val="2"/>
        </w:numPr>
        <w:spacing w:after="80"/>
      </w:pPr>
      <w:r>
        <w:rPr>
          <w:rFonts w:ascii="Arial" w:cs="Arial" w:eastAsia="Arial" w:hAnsi="Arial"/>
          <w:sz w:val="22"/>
          <w:szCs w:val="22"/>
        </w:rPr>
        <w:t xml:space="preserve">All actions taken under this authorization are logged with timestamp, IP address, and device fingerprint in an immutable audit record</w:t>
      </w:r>
    </w:p>
    <w:p>
      <w:pPr>
        <w:spacing w:after="80"/>
      </w:pPr>
      <w:r>
        <w:t xml:space="preserve"/>
      </w:r>
    </w:p>
    <w:p>
      <w:pPr>
        <w:pStyle w:val="Heading1"/>
      </w:pPr>
      <w:r>
        <w:rPr>
          <w:rFonts w:ascii="Arial" w:cs="Arial" w:eastAsia="Arial" w:hAnsi="Arial"/>
          <w:b/>
          <w:bCs/>
          <w:color w:val="0E0D0B"/>
          <w:sz w:val="32"/>
          <w:szCs w:val="32"/>
        </w:rPr>
        <w:t xml:space="preserve">7. COMPENSATION</w:t>
      </w:r>
    </w:p>
    <w:p>
      <w:pPr>
        <w:spacing w:after="120"/>
        <w:jc w:val="left"/>
      </w:pPr>
      <w:r>
        <w:rPr>
          <w:rFonts w:ascii="Arial" w:cs="Arial" w:eastAsia="Arial" w:hAnsi="Arial"/>
          <w:sz w:val="22"/>
          <w:szCs w:val="22"/>
        </w:rPr>
        <w:t xml:space="preserve">The Principal agrees to pay Kova a performance fee equal to fifteen percent (15%) of the annualized monthly savings achieved through a successful negotiation, as a one-time charge. This fee is calculated as: (old monthly rate - new monthly rate) x 12 x 0.15.</w:t>
      </w:r>
    </w:p>
    <w:p>
      <w:pPr>
        <w:spacing w:after="120"/>
        <w:jc w:val="left"/>
      </w:pPr>
      <w:r>
        <w:rPr>
          <w:rFonts w:ascii="Arial" w:cs="Arial" w:eastAsia="Arial" w:hAnsi="Arial"/>
          <w:sz w:val="22"/>
          <w:szCs w:val="22"/>
        </w:rPr>
        <w:t xml:space="preserve">No fee is charged if a negotiation is unsuccessful. The fee is charged automatically to the Principal's payment method on file within 48 hours of a confirmed successful outcome.</w:t>
      </w:r>
    </w:p>
    <w:p>
      <w:pPr>
        <w:spacing w:after="80"/>
      </w:pPr>
      <w:r>
        <w:t xml:space="preserve"/>
      </w:r>
    </w:p>
    <w:p>
      <w:pPr>
        <w:pStyle w:val="Heading1"/>
      </w:pPr>
      <w:r>
        <w:rPr>
          <w:rFonts w:ascii="Arial" w:cs="Arial" w:eastAsia="Arial" w:hAnsi="Arial"/>
          <w:b/>
          <w:bCs/>
          <w:color w:val="0E0D0B"/>
          <w:sz w:val="32"/>
          <w:szCs w:val="32"/>
        </w:rPr>
        <w:t xml:space="preserve">8. PRINCIPAL'S REPRESENTATIONS</w:t>
      </w:r>
    </w:p>
    <w:p>
      <w:pPr>
        <w:spacing w:after="120"/>
        <w:jc w:val="left"/>
      </w:pPr>
      <w:r>
        <w:rPr>
          <w:rFonts w:ascii="Arial" w:cs="Arial" w:eastAsia="Arial" w:hAnsi="Arial"/>
          <w:sz w:val="22"/>
          <w:szCs w:val="22"/>
        </w:rPr>
        <w:t xml:space="preserve">By executing this document, the Principal represents and warrants that:</w:t>
      </w:r>
    </w:p>
    <w:p>
      <w:pPr>
        <w:pStyle w:val="ListParagraph"/>
        <w:numPr>
          <w:ilvl w:val="0"/>
          <w:numId w:val="2"/>
        </w:numPr>
        <w:spacing w:after="80"/>
      </w:pPr>
      <w:r>
        <w:rPr>
          <w:rFonts w:ascii="Arial" w:cs="Arial" w:eastAsia="Arial" w:hAnsi="Arial"/>
          <w:sz w:val="22"/>
          <w:szCs w:val="22"/>
        </w:rPr>
        <w:t xml:space="preserve">The Principal is at least 18 years of age</w:t>
      </w:r>
    </w:p>
    <w:p>
      <w:pPr>
        <w:pStyle w:val="ListParagraph"/>
        <w:numPr>
          <w:ilvl w:val="0"/>
          <w:numId w:val="2"/>
        </w:numPr>
        <w:spacing w:after="80"/>
      </w:pPr>
      <w:r>
        <w:rPr>
          <w:rFonts w:ascii="Arial" w:cs="Arial" w:eastAsia="Arial" w:hAnsi="Arial"/>
          <w:sz w:val="22"/>
          <w:szCs w:val="22"/>
        </w:rPr>
        <w:t xml:space="preserve">The Principal is the account holder or authorized representative of the service accounts subject to negotiation</w:t>
      </w:r>
    </w:p>
    <w:p>
      <w:pPr>
        <w:pStyle w:val="ListParagraph"/>
        <w:numPr>
          <w:ilvl w:val="0"/>
          <w:numId w:val="2"/>
        </w:numPr>
        <w:spacing w:after="80"/>
      </w:pPr>
      <w:r>
        <w:rPr>
          <w:rFonts w:ascii="Arial" w:cs="Arial" w:eastAsia="Arial" w:hAnsi="Arial"/>
          <w:sz w:val="22"/>
          <w:szCs w:val="22"/>
        </w:rPr>
        <w:t xml:space="preserve">The Principal has full legal capacity to enter into this agreement</w:t>
      </w:r>
    </w:p>
    <w:p>
      <w:pPr>
        <w:pStyle w:val="ListParagraph"/>
        <w:numPr>
          <w:ilvl w:val="0"/>
          <w:numId w:val="2"/>
        </w:numPr>
        <w:spacing w:after="80"/>
      </w:pPr>
      <w:r>
        <w:rPr>
          <w:rFonts w:ascii="Arial" w:cs="Arial" w:eastAsia="Arial" w:hAnsi="Arial"/>
          <w:sz w:val="22"/>
          <w:szCs w:val="22"/>
        </w:rPr>
        <w:t xml:space="preserve">All information provided to Kova is accurate and complete</w:t>
      </w:r>
    </w:p>
    <w:p>
      <w:pPr>
        <w:spacing w:after="80"/>
      </w:pPr>
      <w:r>
        <w:t xml:space="preserve"/>
      </w:r>
    </w:p>
    <w:p>
      <w:pPr>
        <w:pStyle w:val="Heading1"/>
      </w:pPr>
      <w:r>
        <w:rPr>
          <w:rFonts w:ascii="Arial" w:cs="Arial" w:eastAsia="Arial" w:hAnsi="Arial"/>
          <w:b/>
          <w:bCs/>
          <w:color w:val="0E0D0B"/>
          <w:sz w:val="32"/>
          <w:szCs w:val="32"/>
        </w:rPr>
        <w:t xml:space="preserve">9. ELECTRONIC EXECUTION</w:t>
      </w:r>
    </w:p>
    <w:p>
      <w:pPr>
        <w:spacing w:after="120"/>
        <w:jc w:val="left"/>
      </w:pPr>
      <w:r>
        <w:rPr>
          <w:rFonts w:ascii="Arial" w:cs="Arial" w:eastAsia="Arial" w:hAnsi="Arial"/>
          <w:sz w:val="22"/>
          <w:szCs w:val="22"/>
        </w:rPr>
        <w:t xml:space="preserve">The Principal acknowledges that: (a) this document is executed electronically pursuant to the Electronic Signatures in Global and National Commerce Act (E-SIGN Act), 15 U.S.C. § 7001 et seq.; (b) the electronic signature is legally equivalent to a handwritten signature; (c) the Principal has had the opportunity to review the full document before signing; and (d) the Principal has scrolled through and reviewed the entire document.</w:t>
      </w:r>
    </w:p>
    <w:p>
      <w:pPr>
        <w:spacing w:after="80"/>
      </w:pPr>
      <w:r>
        <w:t xml:space="preserve"/>
      </w:r>
    </w:p>
    <w:p>
      <w:pPr>
        <w:pStyle w:val="Heading1"/>
      </w:pPr>
      <w:r>
        <w:rPr>
          <w:rFonts w:ascii="Arial" w:cs="Arial" w:eastAsia="Arial" w:hAnsi="Arial"/>
          <w:b/>
          <w:bCs/>
          <w:color w:val="0E0D0B"/>
          <w:sz w:val="32"/>
          <w:szCs w:val="32"/>
        </w:rPr>
        <w:t xml:space="preserve">10. GOVERNING LAW</w:t>
      </w:r>
    </w:p>
    <w:p>
      <w:pPr>
        <w:spacing w:after="120"/>
        <w:jc w:val="left"/>
      </w:pPr>
      <w:r>
        <w:rPr>
          <w:rFonts w:ascii="Arial" w:cs="Arial" w:eastAsia="Arial" w:hAnsi="Arial"/>
          <w:sz w:val="22"/>
          <w:szCs w:val="22"/>
        </w:rPr>
        <w:t xml:space="preserve">This Limited Power of Attorney shall be governed by and construed in accordance with the laws of the State of Arizona, without regard to conflict of law principles.</w:t>
      </w:r>
    </w:p>
    <w:p>
      <w:pPr>
        <w:spacing w:after="80"/>
      </w:pPr>
      <w:r>
        <w:t xml:space="preserve"/>
      </w:r>
    </w:p>
    <w:p>
      <w:pPr>
        <w:pStyle w:val="Heading1"/>
      </w:pPr>
      <w:r>
        <w:rPr>
          <w:rFonts w:ascii="Arial" w:cs="Arial" w:eastAsia="Arial" w:hAnsi="Arial"/>
          <w:b/>
          <w:bCs/>
          <w:color w:val="0E0D0B"/>
          <w:sz w:val="32"/>
          <w:szCs w:val="32"/>
        </w:rPr>
        <w:t xml:space="preserve">11. STATE-SPECIFIC PROVISIONS</w:t>
      </w:r>
    </w:p>
    <w:p>
      <w:pPr>
        <w:pStyle w:val="Heading2"/>
      </w:pPr>
      <w:r>
        <w:rPr>
          <w:rFonts w:ascii="Arial" w:cs="Arial" w:eastAsia="Arial" w:hAnsi="Arial"/>
          <w:b/>
          <w:bCs/>
          <w:sz w:val="26"/>
          <w:szCs w:val="26"/>
        </w:rPr>
        <w:t xml:space="preserve">California</w:t>
      </w:r>
    </w:p>
    <w:p>
      <w:pPr>
        <w:spacing w:after="120"/>
        <w:jc w:val="left"/>
      </w:pPr>
      <w:r>
        <w:rPr>
          <w:rFonts w:ascii="Arial" w:cs="Arial" w:eastAsia="Arial" w:hAnsi="Arial"/>
          <w:sz w:val="22"/>
          <w:szCs w:val="22"/>
        </w:rPr>
        <w:t xml:space="preserve">California residents: This document complies with California Probate Code Section 4401 et seq. governing limited powers of attorney. The scope of this authorization is expressly limited to bill negotiation services as described herein and does not constitute a general power of attorney under California law.</w:t>
      </w:r>
    </w:p>
    <w:p>
      <w:pPr>
        <w:spacing w:after="80"/>
      </w:pPr>
      <w:r>
        <w:t xml:space="preserve"/>
      </w:r>
    </w:p>
    <w:p>
      <w:pPr>
        <w:pStyle w:val="Heading2"/>
      </w:pPr>
      <w:r>
        <w:rPr>
          <w:rFonts w:ascii="Arial" w:cs="Arial" w:eastAsia="Arial" w:hAnsi="Arial"/>
          <w:b/>
          <w:bCs/>
          <w:sz w:val="26"/>
          <w:szCs w:val="26"/>
        </w:rPr>
        <w:t xml:space="preserve">Florida</w:t>
      </w:r>
    </w:p>
    <w:p>
      <w:pPr>
        <w:spacing w:after="120"/>
        <w:jc w:val="left"/>
      </w:pPr>
      <w:r>
        <w:rPr>
          <w:rFonts w:ascii="Arial" w:cs="Arial" w:eastAsia="Arial" w:hAnsi="Arial"/>
          <w:sz w:val="22"/>
          <w:szCs w:val="22"/>
        </w:rPr>
        <w:t xml:space="preserve">Florida residents: This authorization complies with Florida Statutes Chapter 709. This is a limited, non-durable power of attorney. The agent may not delegate this authority to any sub-agent.</w:t>
      </w:r>
    </w:p>
    <w:p>
      <w:pPr>
        <w:spacing w:after="80"/>
      </w:pPr>
      <w:r>
        <w:t xml:space="preserve"/>
      </w:r>
    </w:p>
    <w:p>
      <w:pPr>
        <w:pStyle w:val="Heading2"/>
      </w:pPr>
      <w:r>
        <w:rPr>
          <w:rFonts w:ascii="Arial" w:cs="Arial" w:eastAsia="Arial" w:hAnsi="Arial"/>
          <w:b/>
          <w:bCs/>
          <w:sz w:val="26"/>
          <w:szCs w:val="26"/>
        </w:rPr>
        <w:t xml:space="preserve">New York</w:t>
      </w:r>
    </w:p>
    <w:p>
      <w:pPr>
        <w:spacing w:after="120"/>
        <w:jc w:val="left"/>
      </w:pPr>
      <w:r>
        <w:rPr>
          <w:rFonts w:ascii="Arial" w:cs="Arial" w:eastAsia="Arial" w:hAnsi="Arial"/>
          <w:sz w:val="22"/>
          <w:szCs w:val="22"/>
        </w:rPr>
        <w:t xml:space="preserve">New York residents: This authorization complies with the New York General Obligations Law Article 5, Title 15. The modifications and limitations stated herein are expressly incorporated.</w:t>
      </w:r>
    </w:p>
    <w:p>
      <w:pPr>
        <w:spacing w:after="80"/>
      </w:pPr>
      <w:r>
        <w:t xml:space="preserve"/>
      </w:r>
    </w:p>
    <w:p>
      <w:pPr>
        <w:pStyle w:val="Heading1"/>
      </w:pPr>
      <w:r>
        <w:rPr>
          <w:rFonts w:ascii="Arial" w:cs="Arial" w:eastAsia="Arial" w:hAnsi="Arial"/>
          <w:b/>
          <w:bCs/>
          <w:color w:val="0E0D0B"/>
          <w:sz w:val="32"/>
          <w:szCs w:val="32"/>
        </w:rPr>
        <w:t xml:space="preserve">12. SEVERABILITY</w:t>
      </w:r>
    </w:p>
    <w:p>
      <w:pPr>
        <w:spacing w:after="120"/>
        <w:jc w:val="left"/>
      </w:pPr>
      <w:r>
        <w:rPr>
          <w:rFonts w:ascii="Arial" w:cs="Arial" w:eastAsia="Arial" w:hAnsi="Arial"/>
          <w:sz w:val="22"/>
          <w:szCs w:val="22"/>
        </w:rPr>
        <w:t xml:space="preserve">If any provision of this document is found to be invalid or unenforceable, the remaining provisions shall continue in full force and effect.</w:t>
      </w:r>
    </w:p>
    <w:p>
      <w:pPr>
        <w:spacing w:after="80"/>
      </w:pPr>
      <w:r>
        <w:t xml:space="preserve"/>
      </w:r>
    </w:p>
    <w:p>
      <w:pPr>
        <w:pBdr>
          <w:bottom w:val="single" w:color="CCCCCC" w:sz="4" w:space="1"/>
        </w:pBdr>
        <w:spacing w:after="160" w:before="160"/>
      </w:pPr>
      <w:r>
        <w:t xml:space="preserve"/>
      </w:r>
    </w:p>
    <w:p>
      <w:pPr>
        <w:pStyle w:val="Heading1"/>
      </w:pPr>
      <w:r>
        <w:rPr>
          <w:rFonts w:ascii="Arial" w:cs="Arial" w:eastAsia="Arial" w:hAnsi="Arial"/>
          <w:b/>
          <w:bCs/>
          <w:color w:val="0E0D0B"/>
          <w:sz w:val="32"/>
          <w:szCs w:val="32"/>
        </w:rPr>
        <w:t xml:space="preserve">EXECUTION</w:t>
      </w:r>
    </w:p>
    <w:p>
      <w:pPr>
        <w:spacing w:after="120"/>
      </w:pPr>
      <w:r>
        <w:rPr>
          <w:rFonts w:ascii="Arial" w:cs="Arial" w:eastAsia="Arial" w:hAnsi="Arial"/>
          <w:b/>
          <w:bCs/>
          <w:sz w:val="22"/>
          <w:szCs w:val="22"/>
        </w:rPr>
        <w:t xml:space="preserve">BY ELECTRONICALLY SIGNING BELOW, THE PRINCIPAL CONFIRMS THAT: </w:t>
      </w:r>
      <w:r>
        <w:rPr>
          <w:rFonts w:ascii="Arial" w:cs="Arial" w:eastAsia="Arial" w:hAnsi="Arial"/>
          <w:sz w:val="22"/>
          <w:szCs w:val="22"/>
        </w:rPr>
        <w:t xml:space="preserve">(1) the Principal has read and understood this entire document; (2) the Principal voluntarily consents to grant the limited authority described herein; (3) the Principal understands this is a legal document with binding effect; and (4) the Principal is at least 18 years of age.</w:t>
      </w:r>
    </w:p>
    <w:p>
      <w:pPr>
        <w:spacing w:after="1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680"/>
        <w:gridCol w:w="240"/>
        <w:gridCol w:w="4800"/>
      </w:tblGrid>
      <w:tr>
        <w:tc>
          <w:tcPr>
            <w:tcBorders>
              <w:top w:val="none"/>
              <w:left w:val="none"/>
              <w:bottom w:val="single" w:color="333333" w:sz="4"/>
              <w:right w:val="none"/>
            </w:tcBorders>
            <w:tcMar>
              <w:top w:type="dxa" w:w="80"/>
              <w:left w:type="dxa" w:w="0"/>
              <w:bottom w:type="dxa" w:w="80"/>
              <w:right w:type="dxa" w:w="0"/>
            </w:tcMar>
          </w:tcPr>
          <w:p>
            <w:r>
              <w:rPr>
                <w:rFonts w:ascii="Arial" w:cs="Arial" w:eastAsia="Arial" w:hAnsi="Arial"/>
                <w:color w:val="999999"/>
                <w:sz w:val="22"/>
                <w:szCs w:val="22"/>
              </w:rPr>
              <w:t xml:space="preserve">_________________________________</w:t>
            </w:r>
          </w:p>
        </w:tc>
        <w:tc>
          <w:tcPr>
            <w:tcBorders>
              <w:top w:val="none"/>
              <w:left w:val="none"/>
              <w:bottom w:val="none"/>
              <w:right w:val="none"/>
            </w:tcBorders>
          </w:tcPr>
          <w:p>
            <w:r>
              <w:t xml:space="preserve"/>
            </w:r>
          </w:p>
        </w:tc>
        <w:tc>
          <w:tcPr>
            <w:tcBorders>
              <w:top w:val="none"/>
              <w:left w:val="none"/>
              <w:bottom w:val="single" w:color="333333" w:sz="4"/>
              <w:right w:val="none"/>
            </w:tcBorders>
            <w:tcMar>
              <w:top w:type="dxa" w:w="80"/>
              <w:left w:type="dxa" w:w="0"/>
              <w:bottom w:type="dxa" w:w="80"/>
              <w:right w:type="dxa" w:w="0"/>
            </w:tcMar>
          </w:tcPr>
          <w:p>
            <w:r>
              <w:rPr>
                <w:rFonts w:ascii="Arial" w:cs="Arial" w:eastAsia="Arial" w:hAnsi="Arial"/>
                <w:color w:val="999999"/>
                <w:sz w:val="22"/>
                <w:szCs w:val="22"/>
              </w:rPr>
              <w:t xml:space="preserve">_________________________________</w:t>
            </w:r>
          </w:p>
        </w:tc>
      </w:tr>
      <w:tr>
        <w:tc>
          <w:tcPr>
            <w:tcBorders>
              <w:top w:val="none"/>
              <w:left w:val="none"/>
              <w:bottom w:val="none"/>
              <w:right w:val="none"/>
            </w:tcBorders>
            <w:tcMar>
              <w:top w:type="dxa" w:w="60"/>
              <w:left w:type="dxa" w:w="0"/>
              <w:bottom w:type="dxa" w:w="0"/>
              <w:right w:type="dxa" w:w="0"/>
            </w:tcMar>
          </w:tcPr>
          <w:p>
            <w:r>
              <w:rPr>
                <w:rFonts w:ascii="Arial" w:cs="Arial" w:eastAsia="Arial" w:hAnsi="Arial"/>
                <w:color w:val="666666"/>
                <w:sz w:val="18"/>
                <w:szCs w:val="18"/>
              </w:rPr>
              <w:t xml:space="preserve">Principal Signature (Electronic)</w:t>
            </w:r>
          </w:p>
        </w:tc>
        <w:tc>
          <w:tcPr>
            <w:tcBorders>
              <w:top w:val="none"/>
              <w:left w:val="none"/>
              <w:bottom w:val="none"/>
              <w:right w:val="none"/>
            </w:tcBorders>
          </w:tcPr>
          <w:p>
            <w:r>
              <w:t xml:space="preserve"/>
            </w:r>
          </w:p>
        </w:tc>
        <w:tc>
          <w:tcPr>
            <w:tcBorders>
              <w:top w:val="none"/>
              <w:left w:val="none"/>
              <w:bottom w:val="none"/>
              <w:right w:val="none"/>
            </w:tcBorders>
            <w:tcMar>
              <w:top w:type="dxa" w:w="60"/>
              <w:left w:type="dxa" w:w="0"/>
              <w:bottom w:type="dxa" w:w="0"/>
              <w:right w:type="dxa" w:w="0"/>
            </w:tcMar>
          </w:tcPr>
          <w:p>
            <w:r>
              <w:rPr>
                <w:rFonts w:ascii="Arial" w:cs="Arial" w:eastAsia="Arial" w:hAnsi="Arial"/>
                <w:color w:val="666666"/>
                <w:sz w:val="18"/>
                <w:szCs w:val="18"/>
              </w:rPr>
              <w:t xml:space="preserve">Date</w:t>
            </w:r>
          </w:p>
        </w:tc>
      </w:tr>
    </w:tbl>
    <w:p>
      <w:pPr>
        <w:spacing w:after="160"/>
      </w:pPr>
      <w:r>
        <w:t xml:space="preserve"/>
      </w:r>
    </w:p>
    <w:p>
      <w:pPr>
        <w:spacing w:after="120"/>
      </w:pPr>
      <w:r>
        <w:rPr>
          <w:rFonts w:ascii="Arial" w:cs="Arial" w:eastAsia="Arial" w:hAnsi="Arial"/>
          <w:b/>
          <w:bCs/>
          <w:sz w:val="22"/>
          <w:szCs w:val="22"/>
        </w:rPr>
        <w:t xml:space="preserve">Printed Full Legal Name: </w:t>
      </w:r>
      <w:r>
        <w:rPr>
          <w:rFonts w:ascii="Arial" w:cs="Arial" w:eastAsia="Arial" w:hAnsi="Arial"/>
          <w:sz w:val="22"/>
          <w:szCs w:val="22"/>
        </w:rPr>
        <w:t xml:space="preserve">_________________________________________________________________</w:t>
      </w:r>
    </w:p>
    <w:p>
      <w:pPr>
        <w:spacing w:after="80"/>
      </w:pPr>
      <w:r>
        <w:t xml:space="preserve"/>
      </w:r>
    </w:p>
    <w:p>
      <w:pPr>
        <w:spacing w:after="120"/>
      </w:pPr>
      <w:r>
        <w:rPr>
          <w:rFonts w:ascii="Arial" w:cs="Arial" w:eastAsia="Arial" w:hAnsi="Arial"/>
          <w:b/>
          <w:bCs/>
          <w:sz w:val="22"/>
          <w:szCs w:val="22"/>
        </w:rPr>
        <w:t xml:space="preserve">LPOA Version: </w:t>
      </w:r>
      <w:r>
        <w:rPr>
          <w:rFonts w:ascii="Arial" w:cs="Arial" w:eastAsia="Arial" w:hAnsi="Arial"/>
          <w:sz w:val="22"/>
          <w:szCs w:val="22"/>
        </w:rPr>
        <w:t xml:space="preserve">2.1.0  |  </w:t>
      </w:r>
      <w:r>
        <w:rPr>
          <w:rFonts w:ascii="Arial" w:cs="Arial" w:eastAsia="Arial" w:hAnsi="Arial"/>
          <w:b/>
          <w:bCs/>
          <w:sz w:val="22"/>
          <w:szCs w:val="22"/>
        </w:rPr>
        <w:t xml:space="preserve">Document Hash: </w:t>
      </w:r>
      <w:r>
        <w:rPr>
          <w:rFonts w:ascii="Arial" w:cs="Arial" w:eastAsia="Arial" w:hAnsi="Arial"/>
          <w:sz w:val="22"/>
          <w:szCs w:val="22"/>
        </w:rPr>
        <w:t xml:space="preserve">[SHA-256 hash generated at signing]</w:t>
      </w:r>
    </w:p>
    <w:p>
      <w:pPr>
        <w:spacing w:after="120"/>
      </w:pPr>
      <w:r>
        <w:rPr>
          <w:rFonts w:ascii="Arial" w:cs="Arial" w:eastAsia="Arial" w:hAnsi="Arial"/>
          <w:b/>
          <w:bCs/>
          <w:sz w:val="22"/>
          <w:szCs w:val="22"/>
        </w:rPr>
        <w:t xml:space="preserve">IP Address: </w:t>
      </w:r>
      <w:r>
        <w:rPr>
          <w:rFonts w:ascii="Arial" w:cs="Arial" w:eastAsia="Arial" w:hAnsi="Arial"/>
          <w:sz w:val="22"/>
          <w:szCs w:val="22"/>
        </w:rPr>
        <w:t xml:space="preserve">[logged at signing]  |  </w:t>
      </w:r>
      <w:r>
        <w:rPr>
          <w:rFonts w:ascii="Arial" w:cs="Arial" w:eastAsia="Arial" w:hAnsi="Arial"/>
          <w:b/>
          <w:bCs/>
          <w:sz w:val="22"/>
          <w:szCs w:val="22"/>
        </w:rPr>
        <w:t xml:space="preserve">Device ID: </w:t>
      </w:r>
      <w:r>
        <w:rPr>
          <w:rFonts w:ascii="Arial" w:cs="Arial" w:eastAsia="Arial" w:hAnsi="Arial"/>
          <w:sz w:val="22"/>
          <w:szCs w:val="22"/>
        </w:rPr>
        <w:t xml:space="preserve">[logged at signing]</w:t>
      </w:r>
    </w:p>
    <w:p>
      <w:pPr>
        <w:spacing w:after="1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single" w:color="CCCCCC" w:sz="4"/>
              <w:left w:val="single" w:color="CCCCCC" w:sz="4"/>
              <w:bottom w:val="single" w:color="CCCCCC" w:sz="4"/>
              <w:right w:val="single" w:color="CCCCCC" w:sz="4"/>
            </w:tcBorders>
            <w:shd w:fill="E8F5E9" w:val="clear"/>
            <w:tcMar>
              <w:top w:type="dxa" w:w="120"/>
              <w:left w:type="dxa" w:w="160"/>
              <w:bottom w:type="dxa" w:w="120"/>
              <w:right w:type="dxa" w:w="160"/>
            </w:tcMar>
          </w:tcPr>
          <w:p>
            <w:r>
              <w:rPr>
                <w:rFonts w:ascii="Arial" w:cs="Arial" w:eastAsia="Arial" w:hAnsi="Arial"/>
                <w:i/>
                <w:iCs/>
                <w:color w:val="555555"/>
                <w:sz w:val="20"/>
                <w:szCs w:val="20"/>
              </w:rPr>
              <w:t xml:space="preserve">This document is executed in accordance with the E-SIGN Act. A PDF copy will be delivered to the Principal's email address on file immediately upon execution and stored in the Principal's encrypted Kova vault.</w:t>
            </w:r>
          </w:p>
        </w:tc>
      </w:tr>
    </w:tbl>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Kova Services Inc. — Limited Power of Attorney v2.1.0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E0D0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1A1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2026-04-07T06:42:04.227Z</dcterms:created>
  <dcterms:modified xsi:type="dcterms:W3CDTF">2026-04-07T06:42:04.228Z</dcterms:modified>
</cp:coreProperties>
</file>

<file path=docProps/custom.xml><?xml version="1.0" encoding="utf-8"?>
<Properties xmlns="http://schemas.openxmlformats.org/officeDocument/2006/custom-properties" xmlns:vt="http://schemas.openxmlformats.org/officeDocument/2006/docPropsVTypes"/>
</file>