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CFF19" w14:textId="201225CA" w:rsidR="00EA5D2D" w:rsidRPr="00084BD2" w:rsidRDefault="00B3043A" w:rsidP="00105925">
      <w:pPr>
        <w:pStyle w:val="PaperTitle"/>
      </w:pPr>
      <w:r w:rsidRPr="00B3043A">
        <w:t>Microbiome-Based Classification of Type 2 Diabetes Using Public Gut Metagenomic Data and Stacked Machine Learning Models</w:t>
      </w:r>
    </w:p>
    <w:p w14:paraId="5FE3534C" w14:textId="56EDF47B" w:rsidR="00EA5D2D" w:rsidRPr="00B3043A" w:rsidRDefault="001D0759" w:rsidP="005C261D">
      <w:pPr>
        <w:pStyle w:val="AU"/>
        <w:spacing w:after="0"/>
        <w:rPr>
          <w:highlight w:val="yellow"/>
        </w:rPr>
      </w:pPr>
      <w:r w:rsidRPr="001D0759">
        <w:t>Margarido Fonseca. R</w:t>
      </w:r>
      <w:r w:rsidR="005C261D" w:rsidRPr="001D0759">
        <w:rPr>
          <w:vertAlign w:val="superscript"/>
        </w:rPr>
        <w:t>1</w:t>
      </w:r>
      <w:r w:rsidR="00084BD2" w:rsidRPr="00B3043A">
        <w:rPr>
          <w:highlight w:val="yellow"/>
        </w:rPr>
        <w:t>, Second B. Author</w:t>
      </w:r>
      <w:r w:rsidR="005C261D" w:rsidRPr="00B3043A">
        <w:rPr>
          <w:highlight w:val="yellow"/>
          <w:vertAlign w:val="superscript"/>
        </w:rPr>
        <w:t>2</w:t>
      </w:r>
      <w:r w:rsidR="00084BD2" w:rsidRPr="00B3043A">
        <w:rPr>
          <w:highlight w:val="yellow"/>
        </w:rPr>
        <w:t>, and Third C. Author, Jr.</w:t>
      </w:r>
      <w:r w:rsidR="005C261D" w:rsidRPr="00B3043A">
        <w:rPr>
          <w:highlight w:val="yellow"/>
          <w:vertAlign w:val="superscript"/>
        </w:rPr>
        <w:t>3</w:t>
      </w:r>
      <w:r w:rsidR="00084BD2" w:rsidRPr="00B3043A">
        <w:rPr>
          <w:highlight w:val="yellow"/>
        </w:rPr>
        <w:t>, Member, IEEE</w:t>
      </w:r>
    </w:p>
    <w:p w14:paraId="6360E027" w14:textId="24025AE7" w:rsidR="001D0759" w:rsidRPr="001D0759" w:rsidRDefault="001D0759" w:rsidP="001D0759">
      <w:pPr>
        <w:pStyle w:val="PINoSpace"/>
        <w:ind w:firstLine="0"/>
        <w:rPr>
          <w:sz w:val="14"/>
          <w:szCs w:val="14"/>
          <w:lang w:val="pt-PT"/>
        </w:rPr>
      </w:pPr>
      <w:r w:rsidRPr="001D0759">
        <w:rPr>
          <w:sz w:val="14"/>
          <w:szCs w:val="14"/>
          <w:vertAlign w:val="superscript"/>
          <w:lang w:val="pt-PT"/>
        </w:rPr>
        <w:t>1</w:t>
      </w:r>
      <w:r w:rsidRPr="001D0759">
        <w:rPr>
          <w:sz w:val="14"/>
          <w:szCs w:val="14"/>
          <w:lang w:val="pt-PT"/>
        </w:rPr>
        <w:t xml:space="preserve">Polytechnic </w:t>
      </w:r>
      <w:proofErr w:type="spellStart"/>
      <w:r w:rsidRPr="001D0759">
        <w:rPr>
          <w:sz w:val="14"/>
          <w:szCs w:val="14"/>
          <w:lang w:val="pt-PT"/>
        </w:rPr>
        <w:t>University</w:t>
      </w:r>
      <w:proofErr w:type="spellEnd"/>
      <w:r w:rsidRPr="001D0759">
        <w:rPr>
          <w:sz w:val="14"/>
          <w:szCs w:val="14"/>
          <w:lang w:val="pt-PT"/>
        </w:rPr>
        <w:t xml:space="preserve"> </w:t>
      </w:r>
      <w:proofErr w:type="spellStart"/>
      <w:r w:rsidRPr="001D0759">
        <w:rPr>
          <w:sz w:val="14"/>
          <w:szCs w:val="14"/>
          <w:lang w:val="pt-PT"/>
        </w:rPr>
        <w:t>of</w:t>
      </w:r>
      <w:proofErr w:type="spellEnd"/>
      <w:r w:rsidRPr="001D0759">
        <w:rPr>
          <w:sz w:val="14"/>
          <w:szCs w:val="14"/>
          <w:lang w:val="pt-PT"/>
        </w:rPr>
        <w:t xml:space="preserve"> Coimbra, Rua da Misericórdia, Lagar dos Cortiços, S. Martinho do Bispo, 3045-093 Coimbra, Portugal. </w:t>
      </w:r>
    </w:p>
    <w:p w14:paraId="00C6F9B4" w14:textId="1D33E5B8" w:rsidR="005C261D" w:rsidRPr="001D0759" w:rsidRDefault="005C261D" w:rsidP="005C261D">
      <w:pPr>
        <w:pStyle w:val="PI"/>
        <w:spacing w:before="100" w:after="100"/>
        <w:ind w:right="1598" w:firstLine="0"/>
        <w:rPr>
          <w:lang w:val="pt-PT"/>
        </w:rPr>
      </w:pPr>
      <w:proofErr w:type="spellStart"/>
      <w:r w:rsidRPr="001D0759">
        <w:rPr>
          <w:lang w:val="pt-PT"/>
        </w:rPr>
        <w:t>Corresponding</w:t>
      </w:r>
      <w:proofErr w:type="spellEnd"/>
      <w:r w:rsidRPr="001D0759">
        <w:rPr>
          <w:lang w:val="pt-PT"/>
        </w:rPr>
        <w:t xml:space="preserve"> </w:t>
      </w:r>
      <w:proofErr w:type="spellStart"/>
      <w:r w:rsidRPr="001D0759">
        <w:rPr>
          <w:lang w:val="pt-PT"/>
        </w:rPr>
        <w:t>author</w:t>
      </w:r>
      <w:proofErr w:type="spellEnd"/>
      <w:r w:rsidRPr="001D0759">
        <w:rPr>
          <w:lang w:val="pt-PT"/>
        </w:rPr>
        <w:t xml:space="preserve">: </w:t>
      </w:r>
      <w:r w:rsidR="001D0759" w:rsidRPr="001D0759">
        <w:rPr>
          <w:lang w:val="pt-PT"/>
        </w:rPr>
        <w:t>Margarido Fonseca. R</w:t>
      </w:r>
      <w:r w:rsidRPr="001D0759">
        <w:rPr>
          <w:lang w:val="pt-PT"/>
        </w:rPr>
        <w:t xml:space="preserve"> (e-mail: </w:t>
      </w:r>
      <w:r w:rsidR="001D0759" w:rsidRPr="001D0759">
        <w:rPr>
          <w:lang w:val="pt-PT"/>
        </w:rPr>
        <w:t>a2019135871</w:t>
      </w:r>
      <w:r w:rsidRPr="001D0759">
        <w:rPr>
          <w:lang w:val="pt-PT"/>
        </w:rPr>
        <w:t>@</w:t>
      </w:r>
      <w:r w:rsidR="001D0759" w:rsidRPr="001D0759">
        <w:rPr>
          <w:lang w:val="pt-PT"/>
        </w:rPr>
        <w:t>isec</w:t>
      </w:r>
      <w:r w:rsidRPr="001D0759">
        <w:rPr>
          <w:lang w:val="pt-PT"/>
        </w:rPr>
        <w:t>.</w:t>
      </w:r>
      <w:r w:rsidR="001D0759" w:rsidRPr="001D0759">
        <w:rPr>
          <w:lang w:val="pt-PT"/>
        </w:rPr>
        <w:t>pt</w:t>
      </w:r>
      <w:r w:rsidRPr="001D0759">
        <w:rPr>
          <w:lang w:val="pt-PT"/>
        </w:rPr>
        <w:t>).</w:t>
      </w:r>
    </w:p>
    <w:p w14:paraId="25001565" w14:textId="2EB7814D" w:rsidR="00EA5D2D" w:rsidRPr="00364197" w:rsidRDefault="00EA5D2D" w:rsidP="005C3955">
      <w:pPr>
        <w:pStyle w:val="Abstract"/>
      </w:pPr>
      <w:r w:rsidRPr="00887BB0">
        <w:rPr>
          <w:rStyle w:val="H5CharChar"/>
        </w:rPr>
        <w:t>ABSTRACT</w:t>
      </w:r>
      <w:r w:rsidRPr="0062439C">
        <w:t xml:space="preserve"> </w:t>
      </w:r>
      <w:r w:rsidR="00B3043A" w:rsidRPr="00772DC1">
        <w:t>Accurately classifying gut microbiome profiles offers a promising route for non-invasive detection of Type 2 Diabetes (T2D). This study explores whether a machine learning pipeline can reliably distinguish between healthy and diabetic individuals using species-level microbiome data. Using 145</w:t>
      </w:r>
      <w:r w:rsidR="0048099D">
        <w:t xml:space="preserve"> curated</w:t>
      </w:r>
      <w:r w:rsidR="00B3043A" w:rsidRPr="00772DC1">
        <w:t xml:space="preserve"> samples from the</w:t>
      </w:r>
      <w:r w:rsidR="00B3043A">
        <w:t xml:space="preserve"> Data </w:t>
      </w:r>
      <w:r w:rsidR="00624A57">
        <w:t>repository</w:t>
      </w:r>
      <w:r w:rsidR="00B3043A">
        <w:t xml:space="preserve"> </w:t>
      </w:r>
      <w:r w:rsidR="00624A57">
        <w:t>f</w:t>
      </w:r>
      <w:r w:rsidR="00B3043A">
        <w:t xml:space="preserve">or </w:t>
      </w:r>
      <w:r w:rsidR="00624A57">
        <w:t>h</w:t>
      </w:r>
      <w:r w:rsidR="00B3043A">
        <w:t xml:space="preserve">uman </w:t>
      </w:r>
      <w:r w:rsidR="00624A57">
        <w:t>g</w:t>
      </w:r>
      <w:r w:rsidR="00B3043A">
        <w:t xml:space="preserve">ut </w:t>
      </w:r>
      <w:r w:rsidR="00624A57">
        <w:t>m</w:t>
      </w:r>
      <w:r w:rsidR="00B3043A">
        <w:t>icrobiota</w:t>
      </w:r>
      <w:r w:rsidR="00B3043A" w:rsidRPr="00772DC1">
        <w:t xml:space="preserve"> </w:t>
      </w:r>
      <w:r w:rsidR="00B3043A">
        <w:t>(</w:t>
      </w:r>
      <w:proofErr w:type="spellStart"/>
      <w:r w:rsidR="00B3043A" w:rsidRPr="00772DC1">
        <w:t>GMRepo</w:t>
      </w:r>
      <w:proofErr w:type="spellEnd"/>
      <w:r w:rsidR="00B3043A">
        <w:t>)</w:t>
      </w:r>
      <w:r w:rsidR="00B3043A" w:rsidRPr="00772DC1">
        <w:t xml:space="preserve"> PRJEB1786 dataset (92 healthy, 53 diabetic), I constructed a classification pipeline that integrates mutual information-based feature selection, SMOTE resampling, and standardized abundance features. A stacking classifier combining optimized Support Vector Machine, Random Forest, and Logistic Regression models achieved 92% test accuracy. However, when the model was applied to an extended dataset incorporating additional samples from project PRJNA422434, accuracy dropped to 62%, indicating poor generalizability across cohorts. These findings suggest that while high classification performance is achievable within a controlled dataset, broader deployment will require improved cross-cohort normalization and robust model validation strategies</w:t>
      </w:r>
      <w:r w:rsidR="00364197" w:rsidRPr="00364197">
        <w:t>.</w:t>
      </w:r>
    </w:p>
    <w:p w14:paraId="0F417778" w14:textId="6B4DB2E5" w:rsidR="00D828C6" w:rsidRPr="00364197" w:rsidRDefault="00D828C6" w:rsidP="003B3FFE">
      <w:pPr>
        <w:pStyle w:val="IT"/>
      </w:pPr>
      <w:r w:rsidRPr="007573E5">
        <w:rPr>
          <w:rStyle w:val="H5CharChar"/>
        </w:rPr>
        <w:t>INDEX TERMS</w:t>
      </w:r>
      <w:r w:rsidR="005C3955" w:rsidRPr="007573E5">
        <w:t xml:space="preserve"> </w:t>
      </w:r>
      <w:r w:rsidR="00B3043A">
        <w:t>Gut Microbiome, Machine Learning, Type 2 Diabetes (T2D).</w:t>
      </w:r>
    </w:p>
    <w:p w14:paraId="5D90FDC6" w14:textId="77777777" w:rsidR="00D828C6" w:rsidRPr="00887BB0" w:rsidRDefault="00D828C6" w:rsidP="003B3FFE">
      <w:pPr>
        <w:pStyle w:val="IT"/>
        <w:sectPr w:rsidR="00D828C6" w:rsidRPr="00887BB0" w:rsidSect="00CB2DB1">
          <w:headerReference w:type="default" r:id="rId8"/>
          <w:footerReference w:type="default" r:id="rId9"/>
          <w:pgSz w:w="11520" w:h="15660" w:code="1"/>
          <w:pgMar w:top="1280" w:right="740" w:bottom="1040" w:left="740" w:header="360" w:footer="640" w:gutter="0"/>
          <w:cols w:space="720"/>
          <w:docGrid w:linePitch="360"/>
        </w:sectPr>
      </w:pPr>
    </w:p>
    <w:p w14:paraId="1E648433" w14:textId="77777777" w:rsidR="00D828C6" w:rsidRPr="00F448F1" w:rsidRDefault="00D828C6" w:rsidP="00B54914">
      <w:pPr>
        <w:pStyle w:val="H1ListNoSpace"/>
      </w:pPr>
      <w:r w:rsidRPr="00F448F1">
        <w:t>INTRODUCTION</w:t>
      </w:r>
    </w:p>
    <w:p w14:paraId="7154DDEA" w14:textId="0B0589D2" w:rsidR="00B3043A" w:rsidRDefault="00B3043A" w:rsidP="00B3043A">
      <w:pPr>
        <w:pStyle w:val="BodyText"/>
        <w:rPr>
          <w:lang w:val="en-US"/>
        </w:rPr>
      </w:pPr>
      <w:r w:rsidRPr="004E3AF7">
        <w:rPr>
          <w:lang w:val="en-US"/>
        </w:rPr>
        <w:t>Type 2 Diabetes (T2D) is a chronic metabolic disorder</w:t>
      </w:r>
      <w:r>
        <w:rPr>
          <w:lang w:val="en-US"/>
        </w:rPr>
        <w:t xml:space="preserve"> </w:t>
      </w:r>
      <w:r w:rsidRPr="004E3AF7">
        <w:rPr>
          <w:lang w:val="en-US"/>
        </w:rPr>
        <w:t>that continues to rise at an alarming rate</w:t>
      </w:r>
      <w:r>
        <w:rPr>
          <w:lang w:val="en-US"/>
        </w:rPr>
        <w:t>. As of 2024,</w:t>
      </w:r>
      <w:r w:rsidRPr="004E3AF7">
        <w:rPr>
          <w:lang w:val="en-US"/>
        </w:rPr>
        <w:t xml:space="preserve"> </w:t>
      </w:r>
      <w:r>
        <w:rPr>
          <w:lang w:val="en-US"/>
        </w:rPr>
        <w:t>an estimated</w:t>
      </w:r>
      <w:r w:rsidRPr="004E3AF7">
        <w:rPr>
          <w:lang w:val="en-US"/>
        </w:rPr>
        <w:t xml:space="preserve"> 5</w:t>
      </w:r>
      <w:r>
        <w:rPr>
          <w:lang w:val="en-US"/>
        </w:rPr>
        <w:t>89</w:t>
      </w:r>
      <w:r w:rsidRPr="004E3AF7">
        <w:rPr>
          <w:lang w:val="en-US"/>
        </w:rPr>
        <w:t xml:space="preserve"> million </w:t>
      </w:r>
      <w:r>
        <w:rPr>
          <w:lang w:val="en-US"/>
        </w:rPr>
        <w:t>adults (aged 20-79) are living with diabetes</w:t>
      </w:r>
      <w:r w:rsidRPr="004E3AF7">
        <w:rPr>
          <w:lang w:val="en-US"/>
        </w:rPr>
        <w:t xml:space="preserve"> globally, with projections </w:t>
      </w:r>
      <w:r>
        <w:rPr>
          <w:lang w:val="en-US"/>
        </w:rPr>
        <w:t>to reach 853 million</w:t>
      </w:r>
      <w:r w:rsidRPr="004E3AF7">
        <w:rPr>
          <w:lang w:val="en-US"/>
        </w:rPr>
        <w:t xml:space="preserve"> by 20</w:t>
      </w:r>
      <w:r>
        <w:rPr>
          <w:lang w:val="en-US"/>
        </w:rPr>
        <w:t>50</w:t>
      </w:r>
      <w:r w:rsidR="001B18AC">
        <w:rPr>
          <w:lang w:val="en-US"/>
        </w:rPr>
        <w:t xml:space="preserve"> </w:t>
      </w:r>
      <w:sdt>
        <w:sdtPr>
          <w:rPr>
            <w:color w:val="000000"/>
            <w:lang w:val="en-US"/>
          </w:rPr>
          <w:tag w:val="MENDELEY_CITATION_v3_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"/>
          <w:id w:val="-1760357932"/>
          <w:placeholder>
            <w:docPart w:val="DefaultPlaceholder_-1854013440"/>
          </w:placeholder>
        </w:sdtPr>
        <w:sdtContent>
          <w:r w:rsidR="00047215" w:rsidRPr="00047215">
            <w:rPr>
              <w:color w:val="000000"/>
              <w:lang w:val="en-US"/>
            </w:rPr>
            <w:t>[1]</w:t>
          </w:r>
        </w:sdtContent>
      </w:sdt>
      <w:r w:rsidRPr="004E3AF7">
        <w:rPr>
          <w:lang w:val="en-US"/>
        </w:rPr>
        <w:t>.</w:t>
      </w:r>
      <w:r w:rsidRPr="001A419F">
        <w:rPr>
          <w:spacing w:val="0"/>
          <w:lang w:val="en-US" w:eastAsia="en-US"/>
        </w:rPr>
        <w:t xml:space="preserve"> </w:t>
      </w:r>
      <w:r w:rsidRPr="001A419F">
        <w:rPr>
          <w:lang w:val="en-US"/>
        </w:rPr>
        <w:t xml:space="preserve">Additionally, over </w:t>
      </w:r>
      <w:r w:rsidRPr="001A419F">
        <w:rPr>
          <w:b/>
          <w:bCs/>
          <w:lang w:val="en-US"/>
        </w:rPr>
        <w:t>252 million people</w:t>
      </w:r>
      <w:r w:rsidRPr="001A419F">
        <w:rPr>
          <w:lang w:val="en-US"/>
        </w:rPr>
        <w:t xml:space="preserve"> are believed to be living with </w:t>
      </w:r>
      <w:r w:rsidRPr="001A419F">
        <w:rPr>
          <w:b/>
          <w:bCs/>
          <w:lang w:val="en-US"/>
        </w:rPr>
        <w:t>undiagnosed diabetes</w:t>
      </w:r>
      <w:r w:rsidRPr="001A419F">
        <w:rPr>
          <w:lang w:val="en-US"/>
        </w:rPr>
        <w:t>, underscoring the urgent need for improved detection strategies</w:t>
      </w:r>
      <w:r w:rsidR="00385B5E">
        <w:rPr>
          <w:lang w:val="en-US"/>
        </w:rPr>
        <w:t xml:space="preserve"> </w:t>
      </w:r>
      <w:sdt>
        <w:sdtPr>
          <w:rPr>
            <w:color w:val="000000"/>
            <w:lang w:val="en-US"/>
          </w:rPr>
          <w:tag w:val="MENDELEY_CITATION_v3_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"/>
          <w:id w:val="-1632250272"/>
          <w:placeholder>
            <w:docPart w:val="DefaultPlaceholder_-1854013440"/>
          </w:placeholder>
        </w:sdtPr>
        <w:sdtContent>
          <w:r w:rsidR="00047215" w:rsidRPr="00047215">
            <w:rPr>
              <w:color w:val="000000"/>
              <w:lang w:val="en-US"/>
            </w:rPr>
            <w:t>[2]</w:t>
          </w:r>
        </w:sdtContent>
      </w:sdt>
      <w:r w:rsidRPr="001A419F">
        <w:rPr>
          <w:lang w:val="en-US"/>
        </w:rPr>
        <w:t>.</w:t>
      </w:r>
      <w:r w:rsidRPr="0045396E">
        <w:rPr>
          <w:spacing w:val="0"/>
          <w:lang w:val="en-US" w:eastAsia="en-US"/>
        </w:rPr>
        <w:t xml:space="preserve"> </w:t>
      </w:r>
      <w:r w:rsidRPr="0045396E">
        <w:rPr>
          <w:lang w:val="en-US"/>
        </w:rPr>
        <w:t>T2D significantly increases the risk of cardiovascular disease, kidney failure, and neuropathy, making early diagnosis critical to reduce complications and long-term healthcare burden.</w:t>
      </w:r>
      <w:r w:rsidRPr="004E3AF7">
        <w:rPr>
          <w:lang w:val="en-US"/>
        </w:rPr>
        <w:t xml:space="preserve"> Traditionally attributed to genetic, dietary, and lifestyle factors, growing evidence suggests that the gut microbiome—an ecosystem of trillions of microorganisms residing in the gastrointestinal tract—plays a significant role in metabolic regulation and disease progression</w:t>
      </w:r>
      <w:r w:rsidR="00513F3E">
        <w:rPr>
          <w:lang w:val="en-US"/>
        </w:rPr>
        <w:t xml:space="preserve"> </w:t>
      </w:r>
      <w:sdt>
        <w:sdtPr>
          <w:rPr>
            <w:color w:val="000000"/>
            <w:lang w:val="en-US"/>
          </w:rPr>
          <w:tag w:val="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"/>
          <w:id w:val="-238402209"/>
          <w:placeholder>
            <w:docPart w:val="DefaultPlaceholder_-1854013440"/>
          </w:placeholder>
        </w:sdtPr>
        <w:sdtContent>
          <w:r w:rsidR="00047215" w:rsidRPr="00047215">
            <w:rPr>
              <w:color w:val="000000"/>
              <w:lang w:val="en-US"/>
            </w:rPr>
            <w:t>[3]</w:t>
          </w:r>
        </w:sdtContent>
      </w:sdt>
      <w:r w:rsidRPr="004E3AF7">
        <w:rPr>
          <w:lang w:val="en-US"/>
        </w:rPr>
        <w:t xml:space="preserve">. Disruptions in microbial composition, or dysbiosis, have been linked to insulin resistance, chronic inflammation, and altered glucose </w:t>
      </w:r>
      <w:r w:rsidR="00234996" w:rsidRPr="004E3AF7">
        <w:rPr>
          <w:lang w:val="en-US"/>
        </w:rPr>
        <w:t>metabolism</w:t>
      </w:r>
      <w:r w:rsidR="00234996">
        <w:rPr>
          <w:lang w:val="en-US"/>
        </w:rPr>
        <w:t>.</w:t>
      </w:r>
    </w:p>
    <w:p w14:paraId="5FD247ED" w14:textId="77777777" w:rsidR="00B3043A" w:rsidRDefault="00B3043A" w:rsidP="00B3043A">
      <w:pPr>
        <w:pStyle w:val="BodyText"/>
        <w:rPr>
          <w:lang w:val="en-US"/>
        </w:rPr>
      </w:pPr>
      <w:r w:rsidRPr="002B62FC">
        <w:rPr>
          <w:lang w:val="en-US"/>
        </w:rPr>
        <w:t>With advances in metagenomic sequencing, researchers now have access to species-level microbiome data, which presents a new opportunity for non-invasive diagnostic modeling. However, extracting clinically relevant patterns from this data remains challenging due to its high dimensionality, sparsity, and inter-individual variability. Machine learning offers a promising approach to tackle these challenges, enabling pattern discovery and disease classification at scale.</w:t>
      </w:r>
    </w:p>
    <w:p w14:paraId="211E3AEC" w14:textId="77777777" w:rsidR="00B3043A" w:rsidRDefault="00B3043A" w:rsidP="00B3043A">
      <w:pPr>
        <w:pStyle w:val="BodyText"/>
        <w:rPr>
          <w:lang w:val="en-US"/>
        </w:rPr>
      </w:pPr>
      <w:r w:rsidRPr="002B62FC">
        <w:rPr>
          <w:lang w:val="en-US"/>
        </w:rPr>
        <w:t xml:space="preserve">This study investigates the use of machine learning pipelines, including ensemble models, to classify individuals as healthy or diabetic based on their gut microbiome profiles. The primary aim was to optimize predictive performance using publicly available metagenomic data. A species-level dataset (PRJEB1786) from </w:t>
      </w:r>
      <w:proofErr w:type="spellStart"/>
      <w:r w:rsidRPr="002B62FC">
        <w:rPr>
          <w:lang w:val="en-US"/>
        </w:rPr>
        <w:t>GMRepo</w:t>
      </w:r>
      <w:proofErr w:type="spellEnd"/>
      <w:r w:rsidRPr="002B62FC">
        <w:rPr>
          <w:lang w:val="en-US"/>
        </w:rPr>
        <w:t xml:space="preserve"> was used as the primary source, with preprocessing steps including abundance normalization, metadata integration, and univariate feature selection based on mutual information scores.</w:t>
      </w:r>
    </w:p>
    <w:p w14:paraId="11306841" w14:textId="00433A77" w:rsidR="00364197" w:rsidRPr="00643136" w:rsidRDefault="00B3043A" w:rsidP="00B3043A">
      <w:pPr>
        <w:pStyle w:val="PARA"/>
        <w:rPr>
          <w:spacing w:val="2"/>
        </w:rPr>
      </w:pPr>
      <w:r w:rsidRPr="002B62FC">
        <w:t>The resulting classification pipeline—built around a stacking ensemble of Random Forest, Support Vector Machine, and Logistic Regression models—achieved 92% test accuracy on the internal dataset. However, when samples from a second cohort (PRJNA422434) were introduced, model accuracy dropped to 62%, revealing limitations in cross-cohort generalization. These findings highlight both the promise and current constraints of microbiome-based disease prediction, and motivate future work focused on model robustness, cohort harmonization, and biological validation.</w:t>
      </w:r>
      <w:r w:rsidRPr="00643136">
        <w:rPr>
          <w:spacing w:val="2"/>
        </w:rPr>
        <w:t xml:space="preserve"> </w:t>
      </w:r>
    </w:p>
    <w:p w14:paraId="1C4DE771" w14:textId="2E39368C" w:rsidR="00E91452" w:rsidRPr="00F448F1" w:rsidRDefault="00643136" w:rsidP="006F6C87">
      <w:pPr>
        <w:pStyle w:val="H1ListSpace"/>
        <w:spacing w:before="0"/>
      </w:pPr>
      <w:r>
        <w:br w:type="column"/>
      </w:r>
      <w:r w:rsidR="00B3043A">
        <w:lastRenderedPageBreak/>
        <w:t>PROBLEM DESCRIPTION</w:t>
      </w:r>
    </w:p>
    <w:p w14:paraId="7A8FEA11" w14:textId="177B2494" w:rsidR="00B3043A" w:rsidRPr="005B520E" w:rsidRDefault="00B3043A" w:rsidP="00B3043A">
      <w:pPr>
        <w:pStyle w:val="BodyText"/>
      </w:pPr>
      <w:r w:rsidRPr="00382DF0">
        <w:rPr>
          <w:lang w:val="en-US"/>
        </w:rPr>
        <w:t xml:space="preserve">Despite mounting evidence linking gut microbiome composition to Type 2 Diabetes (T2D), leveraging this information for clinical prediction remains a complex task. Microbiome data is inherently high-dimensional, sparse, and biologically noisy, making it difficult to extract stable and generalizable patterns using conventional statistical methods. Additionally, microbial populations vary significantly across individuals due to factors such as geography, diet, age, and sequencing protocol—further </w:t>
      </w:r>
      <w:proofErr w:type="gramStart"/>
      <w:r w:rsidRPr="00382DF0">
        <w:rPr>
          <w:lang w:val="en-US"/>
        </w:rPr>
        <w:t>complicating</w:t>
      </w:r>
      <w:proofErr w:type="gramEnd"/>
      <w:r w:rsidRPr="00382DF0">
        <w:rPr>
          <w:lang w:val="en-US"/>
        </w:rPr>
        <w:t xml:space="preserve"> classification efforts.</w:t>
      </w:r>
    </w:p>
    <w:p w14:paraId="7E138A1B" w14:textId="77777777" w:rsidR="00B3043A" w:rsidRDefault="00B3043A" w:rsidP="00B3043A">
      <w:pPr>
        <w:pStyle w:val="BodyText"/>
        <w:rPr>
          <w:lang w:val="en-US"/>
        </w:rPr>
      </w:pPr>
      <w:r w:rsidRPr="00382DF0">
        <w:rPr>
          <w:lang w:val="en-US"/>
        </w:rPr>
        <w:t xml:space="preserve">While previous studies have identified associations between specific microbial </w:t>
      </w:r>
      <w:proofErr w:type="gramStart"/>
      <w:r w:rsidRPr="00382DF0">
        <w:rPr>
          <w:lang w:val="en-US"/>
        </w:rPr>
        <w:t>taxa</w:t>
      </w:r>
      <w:proofErr w:type="gramEnd"/>
      <w:r w:rsidRPr="00382DF0">
        <w:rPr>
          <w:lang w:val="en-US"/>
        </w:rPr>
        <w:t xml:space="preserve"> and metabolic disorders, most do not provide access to the underlying datasets, limiting reproducibility and independent evaluation. Among the few datasets that are publicly available, many lack critical metadata—such as host age, geography, or health context—that could improve model performance or interpretability. Additionally, the classification accuracy or predictive validity of published models is often unclear or unreported, making it difficult to assess their real-world applicability or compare approaches. This lack of transparency presents a significant obstacle for advancing microbiome-based diagnostics.</w:t>
      </w:r>
    </w:p>
    <w:p w14:paraId="73B49C0F" w14:textId="6A36FD7B" w:rsidR="00E91452" w:rsidRDefault="00B3043A" w:rsidP="00B3043A">
      <w:pPr>
        <w:pStyle w:val="PARA"/>
      </w:pPr>
      <w:r w:rsidRPr="00382DF0">
        <w:t>The central problem this work addresses is whether machine learning pipelines can reliably classify individuals as diabetic or healthy based solely on microbiome species abundance, potentially supplemented by metadata. The goal was to not only maximize predictive accuracy but also assess the extent to which such models can generalize to unseen cohorts. In doing so, this study aims to bridge the gap between microbiome association studies and practical, model-driven diagnostics.</w:t>
      </w:r>
    </w:p>
    <w:p w14:paraId="447C8988" w14:textId="77777777" w:rsidR="003A5252" w:rsidRPr="00E91452" w:rsidRDefault="003A5252" w:rsidP="00E91452">
      <w:pPr>
        <w:pStyle w:val="PARA"/>
      </w:pPr>
    </w:p>
    <w:p w14:paraId="72D3EC9F" w14:textId="77777777" w:rsidR="00E91452" w:rsidRDefault="00E91452" w:rsidP="00E91452">
      <w:pPr>
        <w:autoSpaceDE w:val="0"/>
        <w:autoSpaceDN w:val="0"/>
        <w:adjustRightInd w:val="0"/>
        <w:jc w:val="center"/>
        <w:rPr>
          <w:rFonts w:ascii="TimesLTStd-Roman" w:hAnsi="TimesLTStd-Roman" w:cs="TimesLTStd-Roman"/>
          <w:sz w:val="20"/>
          <w:szCs w:val="20"/>
        </w:rPr>
        <w:sectPr w:rsidR="00E91452" w:rsidSect="00CB2DB1">
          <w:type w:val="continuous"/>
          <w:pgSz w:w="11520" w:h="15660" w:code="1"/>
          <w:pgMar w:top="1300" w:right="740" w:bottom="1040" w:left="740" w:header="360" w:footer="640" w:gutter="0"/>
          <w:cols w:num="2" w:space="400"/>
          <w:docGrid w:linePitch="360"/>
        </w:sectPr>
      </w:pPr>
    </w:p>
    <w:p w14:paraId="005EE237" w14:textId="7B46A377" w:rsidR="00486E60" w:rsidRPr="006777B9" w:rsidRDefault="00B3043A" w:rsidP="006777B9">
      <w:pPr>
        <w:pStyle w:val="H1ListSpace"/>
      </w:pPr>
      <w:r>
        <w:t>RELATED WORK</w:t>
      </w:r>
    </w:p>
    <w:p w14:paraId="115519E7" w14:textId="63676125" w:rsidR="00B3043A" w:rsidRPr="00852EB6" w:rsidRDefault="00CF1C08" w:rsidP="00B3043A">
      <w:pPr>
        <w:pStyle w:val="BodyText"/>
        <w:rPr>
          <w:lang w:val="en-US"/>
        </w:rPr>
      </w:pPr>
      <w:r w:rsidRPr="00CF1C08">
        <w:t xml:space="preserve"> </w:t>
      </w:r>
      <w:r w:rsidR="00B3043A" w:rsidRPr="00852EB6">
        <w:t>The human gut microbiome has been widely implicated in metabolic health and disease. Numerous studies have shown that microbial dysbiosis—disruptions in gut microbial composition—can contribute to insulin resistance, systemic inflammation, and abnormal glucose metabolism, all of which are hallmarks of Type 2 Diabetes (T2D)</w:t>
      </w:r>
      <w:r w:rsidR="00B3043A" w:rsidRPr="00852EB6">
        <w:rPr>
          <w:lang w:val="en-US"/>
        </w:rPr>
        <w:t>.</w:t>
      </w:r>
    </w:p>
    <w:p w14:paraId="08CF6E7D" w14:textId="77777777" w:rsidR="00B3043A" w:rsidRPr="00852EB6" w:rsidRDefault="00B3043A" w:rsidP="00B3043A">
      <w:pPr>
        <w:pStyle w:val="BodyText"/>
      </w:pPr>
      <w:r w:rsidRPr="00852EB6">
        <w:rPr>
          <w:lang w:val="en-US"/>
        </w:rPr>
        <w:t>Dash et al. applied machine learning to identify microbial taxa and metabolic pathways associated with Type 2 Diabetes (T2D) using nanopore sequencing. While they reported distinct differences in microbial composition between diabetic and healthy individuals, the study did not include standard performance metrics (e.g., accuracy, F1-score), and the underlying datasets were not publicly shared, limiting the possibility of external validation.</w:t>
      </w:r>
    </w:p>
    <w:p w14:paraId="18CE7466" w14:textId="77777777" w:rsidR="00B3043A" w:rsidRPr="003E530A" w:rsidRDefault="00B3043A" w:rsidP="00B3043A">
      <w:pPr>
        <w:pStyle w:val="BodyText"/>
        <w:rPr>
          <w:lang w:val="en-US"/>
        </w:rPr>
      </w:pPr>
      <w:proofErr w:type="spellStart"/>
      <w:r w:rsidRPr="00AA2528">
        <w:t>Młynarska</w:t>
      </w:r>
      <w:proofErr w:type="spellEnd"/>
      <w:r w:rsidRPr="00AA2528">
        <w:t xml:space="preserve"> et al. provide a descriptive review of the role of gut microbiota in the development of Type 2 Diabetes, focusing on mechanisms such as the production of short-chain fatty acids (SCFAs)—molecules produced by gut bacteria when they break down dietary fiber, which help regulate metabolism and inflammation—along with immune system interactions and the integrity of the gut barrier. While informative, their review does not engage with computational tools or predictive modeling techniques such as machine learning.</w:t>
      </w:r>
      <w:r w:rsidRPr="00AA2528">
        <w:rPr>
          <w:spacing w:val="0"/>
          <w:lang w:val="en-US" w:eastAsia="en-US"/>
        </w:rPr>
        <w:t xml:space="preserve"> </w:t>
      </w:r>
      <w:r w:rsidRPr="00AA2528">
        <w:rPr>
          <w:lang w:val="en-US"/>
        </w:rPr>
        <w:t xml:space="preserve">While informative, their review does not engage with computational tools or predictive modeling techniques such as machine learning. In contrast, microbiome-focused ML research has explored classification using models like Random Forests, support vector machines (SVMs), and neural networks. However, these </w:t>
      </w:r>
      <w:r w:rsidRPr="003E530A">
        <w:rPr>
          <w:lang w:val="en-US"/>
        </w:rPr>
        <w:t>efforts often prioritize biomarker discovery over robust, generalizable classification pipelines, limiting real-world applicability due to a lack of validation across external datasets.</w:t>
      </w:r>
    </w:p>
    <w:p w14:paraId="43542F5E" w14:textId="77777777" w:rsidR="00B3043A" w:rsidRDefault="00B3043A" w:rsidP="00B3043A">
      <w:pPr>
        <w:pStyle w:val="BodyText"/>
        <w:rPr>
          <w:lang w:val="en-US"/>
        </w:rPr>
      </w:pPr>
      <w:r w:rsidRPr="003E530A">
        <w:rPr>
          <w:lang w:val="en-US"/>
        </w:rPr>
        <w:t xml:space="preserve">The </w:t>
      </w:r>
      <w:proofErr w:type="spellStart"/>
      <w:r w:rsidRPr="003E530A">
        <w:rPr>
          <w:lang w:val="en-US"/>
        </w:rPr>
        <w:t>GMRepo</w:t>
      </w:r>
      <w:proofErr w:type="spellEnd"/>
      <w:r w:rsidRPr="003E530A">
        <w:rPr>
          <w:lang w:val="en-US"/>
        </w:rPr>
        <w:t xml:space="preserve"> database provides a curated, publicly accessible resource for human gut metagenomic data with phenotype labels, making it an ideal candidate for reproducible ML applications. However, its use in published ML-based disease classification studies remains limited. Most studies leveraging </w:t>
      </w:r>
      <w:proofErr w:type="spellStart"/>
      <w:r w:rsidRPr="003E530A">
        <w:rPr>
          <w:lang w:val="en-US"/>
        </w:rPr>
        <w:t>GMRepo</w:t>
      </w:r>
      <w:proofErr w:type="spellEnd"/>
      <w:r w:rsidRPr="003E530A">
        <w:rPr>
          <w:lang w:val="en-US"/>
        </w:rPr>
        <w:t xml:space="preserve"> focus on compositional analysis or biomarker enrichment rather than supervised learning tasks with quantifiable evaluation metrics.</w:t>
      </w:r>
    </w:p>
    <w:p w14:paraId="0FA9F97A" w14:textId="6B4FC186" w:rsidR="00B3043A" w:rsidRPr="003E530A" w:rsidRDefault="00B3043A" w:rsidP="00B3043A">
      <w:pPr>
        <w:pStyle w:val="BodyText"/>
        <w:rPr>
          <w:lang w:val="en-US"/>
        </w:rPr>
      </w:pPr>
      <w:r w:rsidRPr="003E530A">
        <w:rPr>
          <w:lang w:val="en-US"/>
        </w:rPr>
        <w:t>Of relevance is project PRJEB1786 [6], the dataset used in this study. According to its description, the original researchers developed a mathematical model to classify T2D status based on microbial composition among European women. While they claim the model achieved “high accuracy,” no specific performance metrics are reported, and neither the code nor a reproducible pipeline is available. Furthermore, the project mentions that their model performed poorly when applied to a Chinese cohort, noting that geographic differences in microbiomes affect prediction. However, no dataset ID or quantitative performance details are provided.</w:t>
      </w:r>
    </w:p>
    <w:p w14:paraId="06D46603" w14:textId="77777777" w:rsidR="00B3043A" w:rsidRPr="003E530A" w:rsidRDefault="00B3043A" w:rsidP="00B3043A">
      <w:pPr>
        <w:pStyle w:val="BodyText"/>
        <w:rPr>
          <w:lang w:val="en-US"/>
        </w:rPr>
      </w:pPr>
      <w:r w:rsidRPr="003E530A">
        <w:rPr>
          <w:lang w:val="en-US"/>
        </w:rPr>
        <w:t xml:space="preserve">In this study, the stacking classifier was trained on PRJEB1786 and then tested on a second </w:t>
      </w:r>
      <w:proofErr w:type="spellStart"/>
      <w:r w:rsidRPr="003E530A">
        <w:rPr>
          <w:lang w:val="en-US"/>
        </w:rPr>
        <w:t>GMRepo</w:t>
      </w:r>
      <w:proofErr w:type="spellEnd"/>
      <w:r w:rsidRPr="003E530A">
        <w:rPr>
          <w:lang w:val="en-US"/>
        </w:rPr>
        <w:t xml:space="preserve"> dataset, PRJNA422434, which also originates from a Chinese population. Although it cannot be confirmed whether this is the same cohort referenced in the original study, the observed drop in accuracy—from 92% to 62%—mirrors their claim of poor generalization. Unlike the original work, this study explicitly reports performance metrics, documents the full classification pipeline, and tests generalization using a second publicly available cohort.</w:t>
      </w:r>
    </w:p>
    <w:p w14:paraId="1D5A2668" w14:textId="77777777" w:rsidR="00B3043A" w:rsidRPr="00985A27" w:rsidRDefault="00B3043A" w:rsidP="00B3043A">
      <w:pPr>
        <w:pStyle w:val="BodyText"/>
      </w:pPr>
      <w:r w:rsidRPr="00985A27">
        <w:t>In doing so, this work addresses key gaps in the literature by:</w:t>
      </w:r>
    </w:p>
    <w:p w14:paraId="268028CB" w14:textId="77777777" w:rsidR="00B3043A" w:rsidRPr="00985A27" w:rsidRDefault="00B3043A" w:rsidP="00B3043A">
      <w:pPr>
        <w:pStyle w:val="BodyText"/>
        <w:numPr>
          <w:ilvl w:val="0"/>
          <w:numId w:val="43"/>
        </w:numPr>
      </w:pPr>
      <w:r w:rsidRPr="00985A27">
        <w:t>Using fully open and curated microbiome data</w:t>
      </w:r>
    </w:p>
    <w:p w14:paraId="1DA9B263" w14:textId="77777777" w:rsidR="00B3043A" w:rsidRPr="00985A27" w:rsidRDefault="00B3043A" w:rsidP="00B3043A">
      <w:pPr>
        <w:pStyle w:val="BodyText"/>
        <w:numPr>
          <w:ilvl w:val="0"/>
          <w:numId w:val="43"/>
        </w:numPr>
      </w:pPr>
      <w:r w:rsidRPr="00985A27">
        <w:t>Building a reproducible, performance-optimized ML pipeline</w:t>
      </w:r>
    </w:p>
    <w:p w14:paraId="78D6C5A4" w14:textId="77777777" w:rsidR="00B3043A" w:rsidRDefault="00B3043A" w:rsidP="00B3043A">
      <w:pPr>
        <w:pStyle w:val="BodyText"/>
        <w:numPr>
          <w:ilvl w:val="0"/>
          <w:numId w:val="43"/>
        </w:numPr>
      </w:pPr>
      <w:r w:rsidRPr="00985A27">
        <w:t>Evaluating internal classification accuracy</w:t>
      </w:r>
    </w:p>
    <w:p w14:paraId="53190516" w14:textId="485826D6" w:rsidR="00486E60" w:rsidRDefault="00B3043A" w:rsidP="00B3043A">
      <w:pPr>
        <w:pStyle w:val="BodyText"/>
        <w:numPr>
          <w:ilvl w:val="0"/>
          <w:numId w:val="43"/>
        </w:numPr>
      </w:pPr>
      <w:r w:rsidRPr="00985A27">
        <w:t>Testing cross-cohort generalization with quantitative results</w:t>
      </w:r>
    </w:p>
    <w:p w14:paraId="2135E481" w14:textId="48E23796" w:rsidR="0091745E" w:rsidRPr="0091745E" w:rsidRDefault="00B3043A" w:rsidP="006777B9">
      <w:pPr>
        <w:pStyle w:val="H1ListSpace"/>
      </w:pPr>
      <w:r>
        <w:t>WORK CONDUCTED</w:t>
      </w:r>
    </w:p>
    <w:p w14:paraId="57F3180A" w14:textId="6C717496" w:rsidR="00B3043A" w:rsidRDefault="00B3043A" w:rsidP="00B3043A">
      <w:pPr>
        <w:pStyle w:val="BodyText"/>
        <w:rPr>
          <w:lang w:val="en-US"/>
        </w:rPr>
      </w:pPr>
      <w:r w:rsidRPr="002E5804">
        <w:rPr>
          <w:lang w:val="en-US"/>
        </w:rPr>
        <w:t>This section outlines the full methodology used to build a high-performing classification model for predicting diabetes status based on gut microbiome composition. The process included dataset acquisition and correction, species-level abundance normalization, metadata integration, feature selection, oversampling for class balance, model training, and evaluation. Special emphasis was placed on optimizing predictive performance through ensemble learning and assessing generalizability to external cohorts.</w:t>
      </w:r>
    </w:p>
    <w:p w14:paraId="175CF87C" w14:textId="70C408D3" w:rsidR="00B3043A" w:rsidRPr="005B520E" w:rsidRDefault="00B3043A" w:rsidP="00E05091">
      <w:pPr>
        <w:pStyle w:val="H2Cont"/>
        <w:numPr>
          <w:ilvl w:val="0"/>
          <w:numId w:val="39"/>
        </w:numPr>
        <w:spacing w:before="0"/>
      </w:pPr>
      <w:r>
        <w:t>DATA ACQUISITION</w:t>
      </w:r>
    </w:p>
    <w:p w14:paraId="7055624C" w14:textId="10C907B7" w:rsidR="00E05091" w:rsidRDefault="00E05091" w:rsidP="00E05091">
      <w:pPr>
        <w:pStyle w:val="BodyText"/>
        <w:rPr>
          <w:b/>
        </w:rPr>
      </w:pPr>
      <w:r w:rsidRPr="00831181">
        <w:rPr>
          <w:bCs/>
          <w:lang w:val="en-US"/>
        </w:rPr>
        <w:t>Data for this study was obtained from the</w:t>
      </w:r>
      <w:r>
        <w:rPr>
          <w:b/>
        </w:rPr>
        <w:t xml:space="preserve"> </w:t>
      </w:r>
      <w:proofErr w:type="spellStart"/>
      <w:r w:rsidRPr="0048099D">
        <w:rPr>
          <w:bCs/>
        </w:rPr>
        <w:t>GMRepo</w:t>
      </w:r>
      <w:proofErr w:type="spellEnd"/>
      <w:r>
        <w:rPr>
          <w:b/>
        </w:rPr>
        <w:t xml:space="preserve"> </w:t>
      </w:r>
      <w:r w:rsidRPr="0048099D">
        <w:rPr>
          <w:bCs/>
        </w:rPr>
        <w:t>database</w:t>
      </w:r>
      <w:r>
        <w:rPr>
          <w:b/>
        </w:rPr>
        <w:t xml:space="preserve"> (</w:t>
      </w:r>
      <w:hyperlink r:id="rId10" w:history="1">
        <w:r w:rsidRPr="00063F9C">
          <w:rPr>
            <w:rStyle w:val="Hyperlink"/>
            <w:b/>
          </w:rPr>
          <w:t>https://gmrepo.humangut.info/home</w:t>
        </w:r>
      </w:hyperlink>
      <w:r>
        <w:rPr>
          <w:b/>
        </w:rPr>
        <w:t>)</w:t>
      </w:r>
      <w:r w:rsidRPr="00831181">
        <w:rPr>
          <w:b/>
          <w:lang w:val="en-US"/>
        </w:rPr>
        <w:t>.</w:t>
      </w:r>
      <w:r>
        <w:rPr>
          <w:b/>
          <w:lang w:val="en-US"/>
        </w:rPr>
        <w:t xml:space="preserve"> </w:t>
      </w:r>
      <w:r w:rsidRPr="00831181">
        <w:rPr>
          <w:bCs/>
          <w:lang w:val="en-US"/>
        </w:rPr>
        <w:t xml:space="preserve">The sample search interface was used to filter for entries where the phenotype was set to </w:t>
      </w:r>
      <w:r w:rsidRPr="00831181">
        <w:rPr>
          <w:b/>
          <w:lang w:val="en-US"/>
        </w:rPr>
        <w:t>"Diabetes Mellitus, Type 2"</w:t>
      </w:r>
      <w:r w:rsidRPr="00831181">
        <w:rPr>
          <w:bCs/>
          <w:lang w:val="en-US"/>
        </w:rPr>
        <w:t xml:space="preserve">. Although the interface allows for further filtering by host metadata such as age and BMI, these filters were removed to maximize sample inclusion. The correct approach involved deleting any automatically added </w:t>
      </w:r>
      <w:r w:rsidRPr="00831181">
        <w:rPr>
          <w:b/>
          <w:lang w:val="en-US"/>
        </w:rPr>
        <w:t>"AND/OR"</w:t>
      </w:r>
      <w:r w:rsidRPr="00831181">
        <w:rPr>
          <w:bCs/>
          <w:lang w:val="en-US"/>
        </w:rPr>
        <w:t xml:space="preserve"> groups that narrow the query logic.</w:t>
      </w:r>
      <w:r>
        <w:rPr>
          <w:b/>
        </w:rPr>
        <w:t xml:space="preserve"> </w:t>
      </w:r>
    </w:p>
    <w:p w14:paraId="16A8DF78" w14:textId="77777777" w:rsidR="00E05091" w:rsidRDefault="00E05091" w:rsidP="00E05091">
      <w:pPr>
        <w:pStyle w:val="BodyText"/>
        <w:rPr>
          <w:bCs/>
        </w:rPr>
      </w:pPr>
      <w:r w:rsidRPr="00831181">
        <w:rPr>
          <w:bCs/>
        </w:rPr>
        <w:t xml:space="preserve">This query returned </w:t>
      </w:r>
      <w:r w:rsidRPr="00831181">
        <w:rPr>
          <w:b/>
        </w:rPr>
        <w:t>424 sequencing runs</w:t>
      </w:r>
      <w:r w:rsidRPr="00831181">
        <w:rPr>
          <w:bCs/>
        </w:rPr>
        <w:t xml:space="preserve">, corresponding to </w:t>
      </w:r>
      <w:r w:rsidRPr="00831181">
        <w:rPr>
          <w:b/>
        </w:rPr>
        <w:t>two different projects</w:t>
      </w:r>
      <w:r w:rsidRPr="00831181">
        <w:rPr>
          <w:bCs/>
        </w:rPr>
        <w:t xml:space="preserve">. For this study, data from project </w:t>
      </w:r>
      <w:r w:rsidRPr="00831181">
        <w:rPr>
          <w:b/>
        </w:rPr>
        <w:t>PRJEB1786</w:t>
      </w:r>
      <w:r w:rsidRPr="00831181">
        <w:rPr>
          <w:bCs/>
        </w:rPr>
        <w:t xml:space="preserve"> was selected. Within the project page, the relevant entries were accessed by scrolling to the “Samples” section, which contains curated data. Downloads were made in the species-level format, as genus-level annotations were available but deemed less informative for classification tasks.</w:t>
      </w:r>
    </w:p>
    <w:p w14:paraId="55E4EAAD" w14:textId="7116BE5E" w:rsidR="00E05091" w:rsidRPr="00FB5202" w:rsidRDefault="00E05091" w:rsidP="00FB5202">
      <w:pPr>
        <w:pStyle w:val="H2Cont"/>
        <w:numPr>
          <w:ilvl w:val="0"/>
          <w:numId w:val="39"/>
        </w:numPr>
        <w:spacing w:before="0"/>
      </w:pPr>
      <w:r>
        <w:t>EXPLORATORY DATA ANALYSIS</w:t>
      </w:r>
    </w:p>
    <w:p w14:paraId="55EE060B" w14:textId="77777777" w:rsidR="00FB5202" w:rsidRDefault="00FB5202" w:rsidP="00FB5202">
      <w:pPr>
        <w:pStyle w:val="BodyText"/>
      </w:pPr>
      <w:r w:rsidRPr="00991B91">
        <w:t>After data acquisition, each sample was downloaded as an individual tab-delimited file containing species-level relative abundance values, along with taxonomic identifiers and minimal metadata. An excerpt from one such file is shown in Figure 1.</w:t>
      </w:r>
      <w:r w:rsidRPr="005B520E">
        <w:t>.</w:t>
      </w:r>
    </w:p>
    <w:p w14:paraId="276AB7BA" w14:textId="0FA56097" w:rsidR="00FB5202" w:rsidRDefault="003D3330" w:rsidP="003D3330">
      <w:pPr>
        <w:pStyle w:val="BodyText"/>
        <w:jc w:val="center"/>
      </w:pPr>
      <w:r w:rsidRPr="003D3330">
        <w:rPr>
          <w:noProof/>
        </w:rPr>
        <w:drawing>
          <wp:inline distT="0" distB="0" distL="0" distR="0" wp14:anchorId="56774138" wp14:editId="6E9280A9">
            <wp:extent cx="3060700" cy="1934210"/>
            <wp:effectExtent l="0" t="0" r="6350" b="8890"/>
            <wp:docPr id="12728309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30993" name="Picture 1" descr="A screenshot of a computer&#10;&#10;AI-generated content may be incorrect."/>
                    <pic:cNvPicPr/>
                  </pic:nvPicPr>
                  <pic:blipFill>
                    <a:blip r:embed="rId11"/>
                    <a:stretch>
                      <a:fillRect/>
                    </a:stretch>
                  </pic:blipFill>
                  <pic:spPr>
                    <a:xfrm>
                      <a:off x="0" y="0"/>
                      <a:ext cx="3060700" cy="1934210"/>
                    </a:xfrm>
                    <a:prstGeom prst="rect">
                      <a:avLst/>
                    </a:prstGeom>
                  </pic:spPr>
                </pic:pic>
              </a:graphicData>
            </a:graphic>
          </wp:inline>
        </w:drawing>
      </w:r>
    </w:p>
    <w:p w14:paraId="63FF6E4E" w14:textId="625C8958" w:rsidR="003D3330" w:rsidRPr="005B520E" w:rsidRDefault="003D3330" w:rsidP="003D3330">
      <w:pPr>
        <w:pStyle w:val="BodyText"/>
        <w:jc w:val="center"/>
      </w:pPr>
      <w:r w:rsidRPr="003D3330">
        <w:rPr>
          <w:highlight w:val="yellow"/>
        </w:rPr>
        <w:t xml:space="preserve">(legenda </w:t>
      </w:r>
      <w:proofErr w:type="spellStart"/>
      <w:r w:rsidRPr="003D3330">
        <w:rPr>
          <w:highlight w:val="yellow"/>
        </w:rPr>
        <w:t>ou</w:t>
      </w:r>
      <w:proofErr w:type="spellEnd"/>
      <w:r w:rsidRPr="003D3330">
        <w:rPr>
          <w:highlight w:val="yellow"/>
        </w:rPr>
        <w:t xml:space="preserve"> </w:t>
      </w:r>
      <w:proofErr w:type="spellStart"/>
      <w:r w:rsidRPr="003D3330">
        <w:rPr>
          <w:highlight w:val="yellow"/>
        </w:rPr>
        <w:t>anexo</w:t>
      </w:r>
      <w:proofErr w:type="spellEnd"/>
      <w:r w:rsidRPr="003D3330">
        <w:rPr>
          <w:highlight w:val="yellow"/>
        </w:rPr>
        <w:t xml:space="preserve"> de </w:t>
      </w:r>
      <w:proofErr w:type="spellStart"/>
      <w:r w:rsidRPr="003D3330">
        <w:rPr>
          <w:highlight w:val="yellow"/>
        </w:rPr>
        <w:t>figuras</w:t>
      </w:r>
      <w:proofErr w:type="spellEnd"/>
      <w:r w:rsidRPr="003D3330">
        <w:rPr>
          <w:highlight w:val="yellow"/>
        </w:rPr>
        <w:t>)</w:t>
      </w:r>
    </w:p>
    <w:p w14:paraId="44172B58" w14:textId="77777777" w:rsidR="00FB5202" w:rsidRDefault="00FB5202" w:rsidP="00FB5202">
      <w:pPr>
        <w:pStyle w:val="BodyText"/>
        <w:rPr>
          <w:lang w:val="en-US"/>
        </w:rPr>
      </w:pPr>
      <w:r w:rsidRPr="005C7077">
        <w:rPr>
          <w:lang w:val="en-US"/>
        </w:rPr>
        <w:t xml:space="preserve">The files </w:t>
      </w:r>
      <w:r w:rsidRPr="005C7077">
        <w:rPr>
          <w:b/>
          <w:bCs/>
          <w:lang w:val="en-US"/>
        </w:rPr>
        <w:t>did not include structured metadata</w:t>
      </w:r>
      <w:r w:rsidRPr="005C7077">
        <w:rPr>
          <w:lang w:val="en-US"/>
        </w:rPr>
        <w:t xml:space="preserve"> such as phenotype, age, sex, BMI, or geographic location. While this information is available on the </w:t>
      </w:r>
      <w:proofErr w:type="spellStart"/>
      <w:r w:rsidRPr="005C7077">
        <w:rPr>
          <w:lang w:val="en-US"/>
        </w:rPr>
        <w:t>GMRepo</w:t>
      </w:r>
      <w:proofErr w:type="spellEnd"/>
      <w:r w:rsidRPr="005C7077">
        <w:rPr>
          <w:lang w:val="en-US"/>
        </w:rPr>
        <w:t xml:space="preserve"> website, it must be </w:t>
      </w:r>
      <w:r w:rsidRPr="005C7077">
        <w:rPr>
          <w:b/>
          <w:bCs/>
          <w:lang w:val="en-US"/>
        </w:rPr>
        <w:t>manually retrieved and persisted</w:t>
      </w:r>
      <w:r w:rsidRPr="005C7077">
        <w:rPr>
          <w:lang w:val="en-US"/>
        </w:rPr>
        <w:t xml:space="preserve"> if needed for downstream analysis. In the early stages of the study, the focus was placed exclusively on the species-level data.</w:t>
      </w:r>
    </w:p>
    <w:p w14:paraId="47E6A177" w14:textId="77777777" w:rsidR="00FB5202" w:rsidRDefault="00FB5202" w:rsidP="00FB5202">
      <w:pPr>
        <w:pStyle w:val="BodyText"/>
        <w:rPr>
          <w:lang w:val="en-US"/>
        </w:rPr>
      </w:pPr>
      <w:r w:rsidRPr="005C7077">
        <w:rPr>
          <w:lang w:val="en-US"/>
        </w:rPr>
        <w:t xml:space="preserve">To enable group-level inspection, the sample files were first divided by phenotype and then </w:t>
      </w:r>
      <w:r w:rsidRPr="005C7077">
        <w:rPr>
          <w:b/>
          <w:bCs/>
          <w:lang w:val="en-US"/>
        </w:rPr>
        <w:t>merged into two aggregate tables</w:t>
      </w:r>
      <w:r w:rsidRPr="005C7077">
        <w:rPr>
          <w:lang w:val="en-US"/>
        </w:rPr>
        <w:t>: one for all healthy samples and another for all diabetic samples. This bundling facilitated an initial comparative analysis of microbial composition between the two groups.</w:t>
      </w:r>
    </w:p>
    <w:p w14:paraId="559E1463" w14:textId="2C80FC59" w:rsidR="003D3330" w:rsidRDefault="003D3330" w:rsidP="00FB5202">
      <w:pPr>
        <w:pStyle w:val="BodyText"/>
      </w:pPr>
      <w:r w:rsidRPr="00E95458">
        <w:rPr>
          <w:noProof/>
          <w:sz w:val="24"/>
          <w:szCs w:val="24"/>
        </w:rPr>
        <w:drawing>
          <wp:inline distT="0" distB="0" distL="0" distR="0" wp14:anchorId="6B5DA8C3" wp14:editId="29819D52">
            <wp:extent cx="3060700" cy="2616456"/>
            <wp:effectExtent l="0" t="0" r="6350" b="0"/>
            <wp:docPr id="549634450" name="Picture 5" descr="A colorful pie chart with text&#10;&#10;AI-generated content may be incorrect.">
              <a:extLst xmlns:a="http://schemas.openxmlformats.org/drawingml/2006/main">
                <a:ext uri="{FF2B5EF4-FFF2-40B4-BE49-F238E27FC236}">
                  <a16:creationId xmlns:a16="http://schemas.microsoft.com/office/drawing/2014/main" id="{CC90DDCD-0479-CD75-3546-D6DD5B4843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34450" name="Picture 5" descr="A colorful pie chart with text&#10;&#10;AI-generated content may be incorrect.">
                      <a:extLst>
                        <a:ext uri="{FF2B5EF4-FFF2-40B4-BE49-F238E27FC236}">
                          <a16:creationId xmlns:a16="http://schemas.microsoft.com/office/drawing/2014/main" id="{CC90DDCD-0479-CD75-3546-D6DD5B4843BF}"/>
                        </a:ext>
                      </a:extLst>
                    </pic:cNvPr>
                    <pic:cNvPicPr>
                      <a:picLocks noChangeAspect="1"/>
                    </pic:cNvPicPr>
                  </pic:nvPicPr>
                  <pic:blipFill>
                    <a:blip r:embed="rId12"/>
                    <a:stretch>
                      <a:fillRect/>
                    </a:stretch>
                  </pic:blipFill>
                  <pic:spPr>
                    <a:xfrm>
                      <a:off x="0" y="0"/>
                      <a:ext cx="3060700" cy="2616456"/>
                    </a:xfrm>
                    <a:prstGeom prst="rect">
                      <a:avLst/>
                    </a:prstGeom>
                  </pic:spPr>
                </pic:pic>
              </a:graphicData>
            </a:graphic>
          </wp:inline>
        </w:drawing>
      </w:r>
    </w:p>
    <w:p w14:paraId="1854179B" w14:textId="2584AE9D" w:rsidR="003D3330" w:rsidRDefault="003D3330" w:rsidP="003D3330">
      <w:pPr>
        <w:pStyle w:val="BodyText"/>
        <w:jc w:val="center"/>
      </w:pPr>
      <w:r w:rsidRPr="003D3330">
        <w:rPr>
          <w:highlight w:val="yellow"/>
        </w:rPr>
        <w:t>(healthy</w:t>
      </w:r>
      <w:r w:rsidR="00AF108A">
        <w:rPr>
          <w:highlight w:val="yellow"/>
        </w:rPr>
        <w:t xml:space="preserve">, </w:t>
      </w:r>
      <w:proofErr w:type="spellStart"/>
      <w:r w:rsidR="00AF108A">
        <w:rPr>
          <w:highlight w:val="yellow"/>
        </w:rPr>
        <w:t>talvez</w:t>
      </w:r>
      <w:proofErr w:type="spellEnd"/>
      <w:r w:rsidR="00AF108A">
        <w:rPr>
          <w:highlight w:val="yellow"/>
        </w:rPr>
        <w:t xml:space="preserve"> </w:t>
      </w:r>
      <w:proofErr w:type="spellStart"/>
      <w:r w:rsidR="00AF108A">
        <w:rPr>
          <w:highlight w:val="yellow"/>
        </w:rPr>
        <w:t>colocar</w:t>
      </w:r>
      <w:proofErr w:type="spellEnd"/>
      <w:r w:rsidR="00AF108A">
        <w:rPr>
          <w:highlight w:val="yellow"/>
        </w:rPr>
        <w:t xml:space="preserve"> </w:t>
      </w:r>
      <w:proofErr w:type="spellStart"/>
      <w:r w:rsidR="00AF108A">
        <w:rPr>
          <w:highlight w:val="yellow"/>
        </w:rPr>
        <w:t>também</w:t>
      </w:r>
      <w:proofErr w:type="spellEnd"/>
      <w:r w:rsidR="00AF108A">
        <w:rPr>
          <w:highlight w:val="yellow"/>
        </w:rPr>
        <w:t xml:space="preserve"> a </w:t>
      </w:r>
      <w:proofErr w:type="spellStart"/>
      <w:r w:rsidR="00AF108A">
        <w:rPr>
          <w:highlight w:val="yellow"/>
        </w:rPr>
        <w:t>imagem</w:t>
      </w:r>
      <w:proofErr w:type="spellEnd"/>
      <w:r w:rsidR="00AF108A">
        <w:rPr>
          <w:highlight w:val="yellow"/>
        </w:rPr>
        <w:t xml:space="preserve"> das </w:t>
      </w:r>
      <w:proofErr w:type="spellStart"/>
      <w:r w:rsidR="00AF108A">
        <w:rPr>
          <w:highlight w:val="yellow"/>
        </w:rPr>
        <w:t>espécies</w:t>
      </w:r>
      <w:proofErr w:type="spellEnd"/>
      <w:r w:rsidR="00AF108A">
        <w:rPr>
          <w:highlight w:val="yellow"/>
        </w:rPr>
        <w:t xml:space="preserve"> </w:t>
      </w:r>
      <w:proofErr w:type="spellStart"/>
      <w:r w:rsidR="00AF108A">
        <w:rPr>
          <w:highlight w:val="yellow"/>
        </w:rPr>
        <w:t>mais</w:t>
      </w:r>
      <w:proofErr w:type="spellEnd"/>
      <w:r w:rsidR="00AF108A">
        <w:rPr>
          <w:highlight w:val="yellow"/>
        </w:rPr>
        <w:t xml:space="preserve"> </w:t>
      </w:r>
      <w:proofErr w:type="spellStart"/>
      <w:r w:rsidR="00AF108A">
        <w:rPr>
          <w:highlight w:val="yellow"/>
        </w:rPr>
        <w:t>comuns</w:t>
      </w:r>
      <w:proofErr w:type="spellEnd"/>
      <w:r w:rsidR="00AF108A">
        <w:rPr>
          <w:highlight w:val="yellow"/>
        </w:rPr>
        <w:t xml:space="preserve">? </w:t>
      </w:r>
      <w:proofErr w:type="spellStart"/>
      <w:r w:rsidR="00AF108A">
        <w:rPr>
          <w:highlight w:val="yellow"/>
        </w:rPr>
        <w:t>Estas</w:t>
      </w:r>
      <w:proofErr w:type="spellEnd"/>
      <w:r w:rsidR="00AF108A">
        <w:rPr>
          <w:highlight w:val="yellow"/>
        </w:rPr>
        <w:t xml:space="preserve"> 2 imagens </w:t>
      </w:r>
      <w:proofErr w:type="spellStart"/>
      <w:r w:rsidR="00AF108A">
        <w:rPr>
          <w:highlight w:val="yellow"/>
        </w:rPr>
        <w:t>em</w:t>
      </w:r>
      <w:proofErr w:type="spellEnd"/>
      <w:r w:rsidR="00AF108A">
        <w:rPr>
          <w:highlight w:val="yellow"/>
        </w:rPr>
        <w:t xml:space="preserve"> </w:t>
      </w:r>
      <w:proofErr w:type="spellStart"/>
      <w:r w:rsidR="00AF108A">
        <w:rPr>
          <w:highlight w:val="yellow"/>
        </w:rPr>
        <w:t>anexo</w:t>
      </w:r>
      <w:proofErr w:type="spellEnd"/>
      <w:r w:rsidR="00AF108A">
        <w:rPr>
          <w:highlight w:val="yellow"/>
        </w:rPr>
        <w:t>?</w:t>
      </w:r>
      <w:r w:rsidRPr="003D3330">
        <w:rPr>
          <w:highlight w:val="yellow"/>
        </w:rPr>
        <w:t>)</w:t>
      </w:r>
    </w:p>
    <w:p w14:paraId="17F6A410" w14:textId="4DE1347A" w:rsidR="003D3330" w:rsidRDefault="003D3330" w:rsidP="00FB5202">
      <w:pPr>
        <w:pStyle w:val="BodyText"/>
      </w:pPr>
      <w:r w:rsidRPr="00EC032D">
        <w:rPr>
          <w:noProof/>
          <w:sz w:val="24"/>
          <w:szCs w:val="24"/>
        </w:rPr>
        <w:drawing>
          <wp:inline distT="0" distB="0" distL="0" distR="0" wp14:anchorId="53A71631" wp14:editId="45F196A7">
            <wp:extent cx="3060700" cy="2535388"/>
            <wp:effectExtent l="0" t="0" r="6350" b="0"/>
            <wp:docPr id="573380176" name="Picture 1" descr="A colorful pie chart with numbers&#10;&#10;AI-generated content may be incorrect.">
              <a:extLst xmlns:a="http://schemas.openxmlformats.org/drawingml/2006/main">
                <a:ext uri="{FF2B5EF4-FFF2-40B4-BE49-F238E27FC236}">
                  <a16:creationId xmlns:a16="http://schemas.microsoft.com/office/drawing/2014/main" id="{4A9265CA-688B-DF82-7816-641095F7E6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80176" name="Picture 1" descr="A colorful pie chart with numbers&#10;&#10;AI-generated content may be incorrect.">
                      <a:extLst>
                        <a:ext uri="{FF2B5EF4-FFF2-40B4-BE49-F238E27FC236}">
                          <a16:creationId xmlns:a16="http://schemas.microsoft.com/office/drawing/2014/main" id="{4A9265CA-688B-DF82-7816-641095F7E648}"/>
                        </a:ext>
                      </a:extLst>
                    </pic:cNvPr>
                    <pic:cNvPicPr>
                      <a:picLocks noChangeAspect="1"/>
                    </pic:cNvPicPr>
                  </pic:nvPicPr>
                  <pic:blipFill>
                    <a:blip r:embed="rId13"/>
                    <a:stretch>
                      <a:fillRect/>
                    </a:stretch>
                  </pic:blipFill>
                  <pic:spPr>
                    <a:xfrm>
                      <a:off x="0" y="0"/>
                      <a:ext cx="3060700" cy="2535388"/>
                    </a:xfrm>
                    <a:prstGeom prst="rect">
                      <a:avLst/>
                    </a:prstGeom>
                  </pic:spPr>
                </pic:pic>
              </a:graphicData>
            </a:graphic>
          </wp:inline>
        </w:drawing>
      </w:r>
    </w:p>
    <w:p w14:paraId="47A391FE" w14:textId="5B93C508" w:rsidR="003D3330" w:rsidRPr="005B520E" w:rsidRDefault="003D3330" w:rsidP="003D3330">
      <w:pPr>
        <w:pStyle w:val="BodyText"/>
        <w:jc w:val="center"/>
      </w:pPr>
      <w:r w:rsidRPr="003D3330">
        <w:rPr>
          <w:highlight w:val="yellow"/>
        </w:rPr>
        <w:t>(diabetic</w:t>
      </w:r>
      <w:r w:rsidR="00AF108A">
        <w:rPr>
          <w:highlight w:val="yellow"/>
        </w:rPr>
        <w:t xml:space="preserve">, </w:t>
      </w:r>
      <w:proofErr w:type="spellStart"/>
      <w:r w:rsidR="00AF108A">
        <w:rPr>
          <w:highlight w:val="yellow"/>
        </w:rPr>
        <w:t>talvez</w:t>
      </w:r>
      <w:proofErr w:type="spellEnd"/>
      <w:r w:rsidR="00AF108A">
        <w:rPr>
          <w:highlight w:val="yellow"/>
        </w:rPr>
        <w:t xml:space="preserve"> </w:t>
      </w:r>
      <w:proofErr w:type="spellStart"/>
      <w:r w:rsidR="00AF108A">
        <w:rPr>
          <w:highlight w:val="yellow"/>
        </w:rPr>
        <w:t>colocar</w:t>
      </w:r>
      <w:proofErr w:type="spellEnd"/>
      <w:r w:rsidR="00AF108A">
        <w:rPr>
          <w:highlight w:val="yellow"/>
        </w:rPr>
        <w:t xml:space="preserve"> </w:t>
      </w:r>
      <w:proofErr w:type="spellStart"/>
      <w:r w:rsidR="00AF108A">
        <w:rPr>
          <w:highlight w:val="yellow"/>
        </w:rPr>
        <w:t>também</w:t>
      </w:r>
      <w:proofErr w:type="spellEnd"/>
      <w:r w:rsidR="00AF108A">
        <w:rPr>
          <w:highlight w:val="yellow"/>
        </w:rPr>
        <w:t xml:space="preserve"> a </w:t>
      </w:r>
      <w:proofErr w:type="spellStart"/>
      <w:r w:rsidR="00AF108A">
        <w:rPr>
          <w:highlight w:val="yellow"/>
        </w:rPr>
        <w:t>imagem</w:t>
      </w:r>
      <w:proofErr w:type="spellEnd"/>
      <w:r w:rsidR="00AF108A">
        <w:rPr>
          <w:highlight w:val="yellow"/>
        </w:rPr>
        <w:t xml:space="preserve"> das </w:t>
      </w:r>
      <w:proofErr w:type="spellStart"/>
      <w:r w:rsidR="00AF108A">
        <w:rPr>
          <w:highlight w:val="yellow"/>
        </w:rPr>
        <w:t>espécies</w:t>
      </w:r>
      <w:proofErr w:type="spellEnd"/>
      <w:r w:rsidR="00AF108A">
        <w:rPr>
          <w:highlight w:val="yellow"/>
        </w:rPr>
        <w:t xml:space="preserve"> </w:t>
      </w:r>
      <w:proofErr w:type="spellStart"/>
      <w:r w:rsidR="00AF108A">
        <w:rPr>
          <w:highlight w:val="yellow"/>
        </w:rPr>
        <w:t>mais</w:t>
      </w:r>
      <w:proofErr w:type="spellEnd"/>
      <w:r w:rsidR="00AF108A">
        <w:rPr>
          <w:highlight w:val="yellow"/>
        </w:rPr>
        <w:t xml:space="preserve"> </w:t>
      </w:r>
      <w:proofErr w:type="spellStart"/>
      <w:r w:rsidR="00AF108A">
        <w:rPr>
          <w:highlight w:val="yellow"/>
        </w:rPr>
        <w:t>comuns</w:t>
      </w:r>
      <w:proofErr w:type="spellEnd"/>
      <w:r w:rsidR="00AF108A">
        <w:rPr>
          <w:highlight w:val="yellow"/>
        </w:rPr>
        <w:t xml:space="preserve">? </w:t>
      </w:r>
      <w:proofErr w:type="spellStart"/>
      <w:r w:rsidR="00AF108A">
        <w:rPr>
          <w:highlight w:val="yellow"/>
        </w:rPr>
        <w:t>Estas</w:t>
      </w:r>
      <w:proofErr w:type="spellEnd"/>
      <w:r w:rsidR="00AF108A">
        <w:rPr>
          <w:highlight w:val="yellow"/>
        </w:rPr>
        <w:t xml:space="preserve"> 2 imagens </w:t>
      </w:r>
      <w:proofErr w:type="spellStart"/>
      <w:r w:rsidR="00AF108A">
        <w:rPr>
          <w:highlight w:val="yellow"/>
        </w:rPr>
        <w:t>em</w:t>
      </w:r>
      <w:proofErr w:type="spellEnd"/>
      <w:r w:rsidR="00AF108A">
        <w:rPr>
          <w:highlight w:val="yellow"/>
        </w:rPr>
        <w:t xml:space="preserve"> </w:t>
      </w:r>
      <w:proofErr w:type="spellStart"/>
      <w:r w:rsidR="00AF108A">
        <w:rPr>
          <w:highlight w:val="yellow"/>
        </w:rPr>
        <w:t>anexo</w:t>
      </w:r>
      <w:proofErr w:type="spellEnd"/>
      <w:r w:rsidR="00AF108A">
        <w:rPr>
          <w:highlight w:val="yellow"/>
        </w:rPr>
        <w:t>?</w:t>
      </w:r>
      <w:r w:rsidRPr="003D3330">
        <w:rPr>
          <w:highlight w:val="yellow"/>
        </w:rPr>
        <w:t>)</w:t>
      </w:r>
    </w:p>
    <w:p w14:paraId="75CD2B8B" w14:textId="77777777" w:rsidR="00FB5202" w:rsidRDefault="00FB5202" w:rsidP="00FB5202">
      <w:pPr>
        <w:pStyle w:val="BodyText"/>
        <w:rPr>
          <w:lang w:val="en-US"/>
        </w:rPr>
      </w:pPr>
      <w:r w:rsidRPr="00AF108A">
        <w:rPr>
          <w:lang w:val="en-US"/>
        </w:rPr>
        <w:t xml:space="preserve">Species abundance and prevalence were explored by calculating the </w:t>
      </w:r>
      <w:r w:rsidRPr="00AF108A">
        <w:rPr>
          <w:b/>
          <w:bCs/>
          <w:lang w:val="en-US"/>
        </w:rPr>
        <w:t>total relative abundance per species</w:t>
      </w:r>
      <w:r w:rsidRPr="00AF108A">
        <w:rPr>
          <w:lang w:val="en-US"/>
        </w:rPr>
        <w:t xml:space="preserve"> across all samples in each group, as well as the </w:t>
      </w:r>
      <w:r w:rsidRPr="00AF108A">
        <w:rPr>
          <w:b/>
          <w:bCs/>
          <w:lang w:val="en-US"/>
        </w:rPr>
        <w:t>number of samples</w:t>
      </w:r>
      <w:r w:rsidRPr="00AF108A">
        <w:rPr>
          <w:lang w:val="en-US"/>
        </w:rPr>
        <w:t xml:space="preserve"> in which each species appeared. This distinction revealed that certain species—such as </w:t>
      </w:r>
      <w:proofErr w:type="spellStart"/>
      <w:r w:rsidRPr="00AF108A">
        <w:rPr>
          <w:i/>
          <w:iCs/>
          <w:lang w:val="en-US"/>
        </w:rPr>
        <w:t>Faecalibacterium</w:t>
      </w:r>
      <w:proofErr w:type="spellEnd"/>
      <w:r w:rsidRPr="00AF108A">
        <w:rPr>
          <w:i/>
          <w:iCs/>
          <w:lang w:val="en-US"/>
        </w:rPr>
        <w:t xml:space="preserve"> </w:t>
      </w:r>
      <w:proofErr w:type="spellStart"/>
      <w:r w:rsidRPr="00AF108A">
        <w:rPr>
          <w:i/>
          <w:iCs/>
          <w:lang w:val="en-US"/>
        </w:rPr>
        <w:t>prausnitzii</w:t>
      </w:r>
      <w:proofErr w:type="spellEnd"/>
      <w:r w:rsidRPr="00AF108A">
        <w:rPr>
          <w:lang w:val="en-US"/>
        </w:rPr>
        <w:t xml:space="preserve"> and </w:t>
      </w:r>
      <w:r w:rsidRPr="00AF108A">
        <w:rPr>
          <w:i/>
          <w:iCs/>
          <w:lang w:val="en-US"/>
        </w:rPr>
        <w:t xml:space="preserve">Eubacterium </w:t>
      </w:r>
      <w:proofErr w:type="spellStart"/>
      <w:r w:rsidRPr="00AF108A">
        <w:rPr>
          <w:i/>
          <w:iCs/>
          <w:lang w:val="en-US"/>
        </w:rPr>
        <w:t>rectale</w:t>
      </w:r>
      <w:proofErr w:type="spellEnd"/>
      <w:r w:rsidRPr="00AF108A">
        <w:rPr>
          <w:lang w:val="en-US"/>
        </w:rPr>
        <w:t xml:space="preserve">—were both </w:t>
      </w:r>
      <w:r w:rsidRPr="00AF108A">
        <w:rPr>
          <w:b/>
          <w:bCs/>
          <w:lang w:val="en-US"/>
        </w:rPr>
        <w:t>highly abundant</w:t>
      </w:r>
      <w:r w:rsidRPr="00AF108A">
        <w:rPr>
          <w:lang w:val="en-US"/>
        </w:rPr>
        <w:t xml:space="preserve"> and </w:t>
      </w:r>
      <w:r w:rsidRPr="00AF108A">
        <w:rPr>
          <w:b/>
          <w:bCs/>
          <w:lang w:val="en-US"/>
        </w:rPr>
        <w:t>widely prevalent</w:t>
      </w:r>
      <w:r w:rsidRPr="00AF108A">
        <w:rPr>
          <w:lang w:val="en-US"/>
        </w:rPr>
        <w:t xml:space="preserve"> in both groups. However, subtle shifts in composition were observed between healthy and diabetic samples.</w:t>
      </w:r>
    </w:p>
    <w:p w14:paraId="5B0C611D" w14:textId="49CBCBDB" w:rsidR="00FB5202" w:rsidRDefault="00FB5202" w:rsidP="00FB5202">
      <w:pPr>
        <w:pStyle w:val="BodyText"/>
        <w:rPr>
          <w:lang w:val="en-US"/>
        </w:rPr>
      </w:pPr>
      <w:r w:rsidRPr="005C7077">
        <w:rPr>
          <w:lang w:val="en-US"/>
        </w:rPr>
        <w:t xml:space="preserve">In addition, </w:t>
      </w:r>
      <w:r w:rsidR="00C10F6F" w:rsidRPr="005C7077">
        <w:rPr>
          <w:lang w:val="en-US"/>
        </w:rPr>
        <w:t>many</w:t>
      </w:r>
      <w:r w:rsidRPr="005C7077">
        <w:rPr>
          <w:lang w:val="en-US"/>
        </w:rPr>
        <w:t xml:space="preserve"> entries were labeled as </w:t>
      </w:r>
      <w:r w:rsidRPr="005C7077">
        <w:rPr>
          <w:b/>
          <w:bCs/>
          <w:lang w:val="en-US"/>
        </w:rPr>
        <w:t xml:space="preserve">"Unknown" </w:t>
      </w:r>
      <w:r w:rsidR="00C10F6F" w:rsidRPr="005C7077">
        <w:rPr>
          <w:b/>
          <w:bCs/>
          <w:lang w:val="en-US"/>
        </w:rPr>
        <w:t>species</w:t>
      </w:r>
      <w:r w:rsidR="00C10F6F" w:rsidRPr="005C7077">
        <w:rPr>
          <w:lang w:val="en-US"/>
        </w:rPr>
        <w:t xml:space="preserve"> or</w:t>
      </w:r>
      <w:r w:rsidRPr="005C7077">
        <w:rPr>
          <w:lang w:val="en-US"/>
        </w:rPr>
        <w:t xml:space="preserve"> assigned invalid identifiers such as </w:t>
      </w:r>
      <w:r w:rsidR="00C10F6F" w:rsidRPr="00C10F6F">
        <w:rPr>
          <w:b/>
          <w:bCs/>
          <w:lang w:val="en-US"/>
        </w:rPr>
        <w:t>“</w:t>
      </w:r>
      <w:r w:rsidRPr="00C10F6F">
        <w:rPr>
          <w:b/>
          <w:bCs/>
          <w:lang w:val="en-US"/>
        </w:rPr>
        <w:t>-1</w:t>
      </w:r>
      <w:r w:rsidR="00C10F6F" w:rsidRPr="00C10F6F">
        <w:rPr>
          <w:b/>
          <w:bCs/>
          <w:lang w:val="en-US"/>
        </w:rPr>
        <w:t>”</w:t>
      </w:r>
      <w:r w:rsidRPr="005C7077">
        <w:rPr>
          <w:lang w:val="en-US"/>
        </w:rPr>
        <w:t xml:space="preserve">. These entries were present in both groups and, although abundant, lacked biological interpretability. For this reason, they were excluded from all subsequent stages of analysis. The impact of this filtering step is illustrated in </w:t>
      </w:r>
      <w:r w:rsidRPr="005C7077">
        <w:rPr>
          <w:b/>
          <w:bCs/>
          <w:lang w:val="en-US"/>
        </w:rPr>
        <w:t>Figure 2</w:t>
      </w:r>
      <w:r w:rsidRPr="005C7077">
        <w:rPr>
          <w:lang w:val="en-US"/>
        </w:rPr>
        <w:t>, which shows the difference in species distribution before and after removal.</w:t>
      </w:r>
    </w:p>
    <w:p w14:paraId="4144756A" w14:textId="7A593AA6" w:rsidR="00C10F6F" w:rsidRDefault="00C10F6F" w:rsidP="00FB5202">
      <w:pPr>
        <w:pStyle w:val="BodyText"/>
        <w:ind w:firstLine="0"/>
        <w:rPr>
          <w:lang w:val="en-US"/>
        </w:rPr>
      </w:pPr>
      <w:r w:rsidRPr="00C747C9">
        <w:rPr>
          <w:noProof/>
          <w:lang w:val="pt-PT"/>
        </w:rPr>
        <w:drawing>
          <wp:inline distT="0" distB="0" distL="0" distR="0" wp14:anchorId="4C2BE120" wp14:editId="21EE13B7">
            <wp:extent cx="3060700" cy="2197821"/>
            <wp:effectExtent l="0" t="0" r="6350" b="0"/>
            <wp:docPr id="1783323995" name="Picture 1" descr="A colorful pie chart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23995" name="Picture 1" descr="A colorful pie chart with numbers&#10;&#10;AI-generated content may be incorrect."/>
                    <pic:cNvPicPr/>
                  </pic:nvPicPr>
                  <pic:blipFill>
                    <a:blip r:embed="rId14"/>
                    <a:stretch>
                      <a:fillRect/>
                    </a:stretch>
                  </pic:blipFill>
                  <pic:spPr>
                    <a:xfrm>
                      <a:off x="0" y="0"/>
                      <a:ext cx="3060700" cy="2197821"/>
                    </a:xfrm>
                    <a:prstGeom prst="rect">
                      <a:avLst/>
                    </a:prstGeom>
                  </pic:spPr>
                </pic:pic>
              </a:graphicData>
            </a:graphic>
          </wp:inline>
        </w:drawing>
      </w:r>
    </w:p>
    <w:p w14:paraId="2116DBDE" w14:textId="0F4C503F" w:rsidR="00C10F6F" w:rsidRDefault="00C10F6F" w:rsidP="00C10F6F">
      <w:pPr>
        <w:pStyle w:val="BodyText"/>
        <w:ind w:firstLine="0"/>
        <w:jc w:val="center"/>
        <w:rPr>
          <w:lang w:val="en-US"/>
        </w:rPr>
      </w:pPr>
      <w:r w:rsidRPr="00C10F6F">
        <w:rPr>
          <w:highlight w:val="yellow"/>
          <w:lang w:val="en-US"/>
        </w:rPr>
        <w:t>(healthy)</w:t>
      </w:r>
    </w:p>
    <w:p w14:paraId="458424F1" w14:textId="60A9ED88" w:rsidR="00C10F6F" w:rsidRDefault="00C10F6F" w:rsidP="00C10F6F">
      <w:pPr>
        <w:pStyle w:val="BodyText"/>
        <w:ind w:firstLine="0"/>
        <w:jc w:val="center"/>
        <w:rPr>
          <w:lang w:val="en-US"/>
        </w:rPr>
      </w:pPr>
      <w:r w:rsidRPr="00C747C9">
        <w:rPr>
          <w:noProof/>
          <w:lang w:val="pt-PT"/>
        </w:rPr>
        <w:drawing>
          <wp:inline distT="0" distB="0" distL="0" distR="0" wp14:anchorId="720A6660" wp14:editId="2351BAEB">
            <wp:extent cx="3060700" cy="2135724"/>
            <wp:effectExtent l="0" t="0" r="6350" b="0"/>
            <wp:docPr id="117923738" name="Picture 1" descr="A colorful pie char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3738" name="Picture 1" descr="A colorful pie chart with text&#10;&#10;AI-generated content may be incorrect."/>
                    <pic:cNvPicPr/>
                  </pic:nvPicPr>
                  <pic:blipFill>
                    <a:blip r:embed="rId15"/>
                    <a:stretch>
                      <a:fillRect/>
                    </a:stretch>
                  </pic:blipFill>
                  <pic:spPr>
                    <a:xfrm>
                      <a:off x="0" y="0"/>
                      <a:ext cx="3060700" cy="2135724"/>
                    </a:xfrm>
                    <a:prstGeom prst="rect">
                      <a:avLst/>
                    </a:prstGeom>
                  </pic:spPr>
                </pic:pic>
              </a:graphicData>
            </a:graphic>
          </wp:inline>
        </w:drawing>
      </w:r>
    </w:p>
    <w:p w14:paraId="71E22A93" w14:textId="0DA93902" w:rsidR="00C10F6F" w:rsidRDefault="00C10F6F" w:rsidP="00C10F6F">
      <w:pPr>
        <w:pStyle w:val="BodyText"/>
        <w:ind w:firstLine="0"/>
        <w:jc w:val="center"/>
        <w:rPr>
          <w:lang w:val="en-US"/>
        </w:rPr>
      </w:pPr>
      <w:r w:rsidRPr="00C10F6F">
        <w:rPr>
          <w:highlight w:val="yellow"/>
          <w:lang w:val="en-US"/>
        </w:rPr>
        <w:t>(diabetic)</w:t>
      </w:r>
    </w:p>
    <w:p w14:paraId="0CD802BF" w14:textId="00AE7ED6" w:rsidR="00FB5202" w:rsidRDefault="00FB5202" w:rsidP="00FB5202">
      <w:pPr>
        <w:pStyle w:val="BodyText"/>
        <w:ind w:firstLine="0"/>
        <w:rPr>
          <w:lang w:val="en-US"/>
        </w:rPr>
      </w:pPr>
      <w:r w:rsidRPr="005C7077">
        <w:rPr>
          <w:lang w:val="en-US"/>
        </w:rPr>
        <w:t>The insights gathered during this exploratory phase helped guide downstream decisions regarding feature selection, normalization, and model design.</w:t>
      </w:r>
    </w:p>
    <w:p w14:paraId="5A2F41AB" w14:textId="74C1F48F" w:rsidR="00FB5202" w:rsidRPr="005B520E" w:rsidRDefault="00FB5202" w:rsidP="00FB5202">
      <w:pPr>
        <w:pStyle w:val="H2Cont"/>
        <w:numPr>
          <w:ilvl w:val="0"/>
          <w:numId w:val="39"/>
        </w:numPr>
        <w:spacing w:before="0"/>
      </w:pPr>
      <w:r>
        <w:t>FEATURE ENGINEERING AND DATASET STRUCTURING</w:t>
      </w:r>
    </w:p>
    <w:p w14:paraId="6BD5CF32" w14:textId="47945820" w:rsidR="00FB5202" w:rsidRDefault="00FB5202" w:rsidP="00FB5202">
      <w:pPr>
        <w:pStyle w:val="BodyText"/>
        <w:rPr>
          <w:lang w:val="en-US"/>
        </w:rPr>
      </w:pPr>
      <w:r w:rsidRPr="005C7077">
        <w:rPr>
          <w:lang w:val="en-US"/>
        </w:rPr>
        <w:t xml:space="preserve">Following initial data exploration, the cleaned healthy and diabetic sample tables were merged into a single dataset. Each row represented a unique sample, and each column corresponded to the </w:t>
      </w:r>
      <w:r w:rsidRPr="005C7077">
        <w:rPr>
          <w:b/>
          <w:bCs/>
          <w:lang w:val="en-US"/>
        </w:rPr>
        <w:t>relative abundance of a single microbial species</w:t>
      </w:r>
      <w:r w:rsidRPr="005C7077">
        <w:rPr>
          <w:lang w:val="en-US"/>
        </w:rPr>
        <w:t xml:space="preserve">, identified by its </w:t>
      </w:r>
      <w:proofErr w:type="spellStart"/>
      <w:r w:rsidRPr="005C7077">
        <w:rPr>
          <w:lang w:val="en-US"/>
        </w:rPr>
        <w:t>ncbi_taxon_id</w:t>
      </w:r>
      <w:proofErr w:type="spellEnd"/>
      <w:r w:rsidRPr="005C7077">
        <w:rPr>
          <w:lang w:val="en-US"/>
        </w:rPr>
        <w:t xml:space="preserve">. An additional binary target column labeled samples as </w:t>
      </w:r>
      <w:r w:rsidRPr="005C7077">
        <w:rPr>
          <w:b/>
          <w:bCs/>
          <w:lang w:val="en-US"/>
        </w:rPr>
        <w:t>1 for healthy</w:t>
      </w:r>
      <w:r w:rsidRPr="005C7077">
        <w:rPr>
          <w:lang w:val="en-US"/>
        </w:rPr>
        <w:t xml:space="preserve"> and </w:t>
      </w:r>
      <w:r w:rsidRPr="005C7077">
        <w:rPr>
          <w:b/>
          <w:bCs/>
          <w:lang w:val="en-US"/>
        </w:rPr>
        <w:t xml:space="preserve">0 for </w:t>
      </w:r>
      <w:r w:rsidR="0048099D">
        <w:rPr>
          <w:b/>
          <w:bCs/>
          <w:lang w:val="en-US"/>
        </w:rPr>
        <w:t>diabetic</w:t>
      </w:r>
      <w:r w:rsidRPr="005C7077">
        <w:rPr>
          <w:lang w:val="en-US"/>
        </w:rPr>
        <w:t xml:space="preserve"> to enable supervised classification.</w:t>
      </w:r>
    </w:p>
    <w:p w14:paraId="3622975C" w14:textId="1BF406CD" w:rsidR="00EE3AE2" w:rsidRDefault="00EE3AE2" w:rsidP="00EE3AE2">
      <w:pPr>
        <w:pStyle w:val="BodyText"/>
        <w:jc w:val="center"/>
        <w:rPr>
          <w:lang w:val="en-US"/>
        </w:rPr>
      </w:pPr>
      <w:r w:rsidRPr="00EE3AE2">
        <w:rPr>
          <w:noProof/>
          <w:lang w:val="en-US"/>
        </w:rPr>
        <w:drawing>
          <wp:inline distT="0" distB="0" distL="0" distR="0" wp14:anchorId="7BB59646" wp14:editId="0B911A9A">
            <wp:extent cx="3060700" cy="1014730"/>
            <wp:effectExtent l="0" t="0" r="6350" b="0"/>
            <wp:docPr id="917684978" name="Picture 1" descr="A screen shot of a white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84978" name="Picture 1" descr="A screen shot of a white grid&#10;&#10;AI-generated content may be incorrect."/>
                    <pic:cNvPicPr/>
                  </pic:nvPicPr>
                  <pic:blipFill>
                    <a:blip r:embed="rId16"/>
                    <a:stretch>
                      <a:fillRect/>
                    </a:stretch>
                  </pic:blipFill>
                  <pic:spPr>
                    <a:xfrm>
                      <a:off x="0" y="0"/>
                      <a:ext cx="3060700" cy="1014730"/>
                    </a:xfrm>
                    <a:prstGeom prst="rect">
                      <a:avLst/>
                    </a:prstGeom>
                  </pic:spPr>
                </pic:pic>
              </a:graphicData>
            </a:graphic>
          </wp:inline>
        </w:drawing>
      </w:r>
    </w:p>
    <w:p w14:paraId="6CF6EE50" w14:textId="5ECA042E" w:rsidR="00FB5202" w:rsidRDefault="00FB5202" w:rsidP="00FB5202">
      <w:pPr>
        <w:pStyle w:val="BodyText"/>
        <w:rPr>
          <w:lang w:val="en-US"/>
        </w:rPr>
      </w:pPr>
      <w:r w:rsidRPr="00592320">
        <w:rPr>
          <w:lang w:val="en-US"/>
        </w:rPr>
        <w:t xml:space="preserve">To incorporate contextual information, </w:t>
      </w:r>
      <w:r w:rsidR="00234996" w:rsidRPr="00592320">
        <w:rPr>
          <w:b/>
          <w:bCs/>
          <w:lang w:val="en-US"/>
        </w:rPr>
        <w:t>hostage</w:t>
      </w:r>
      <w:r w:rsidRPr="00592320">
        <w:rPr>
          <w:lang w:val="en-US"/>
        </w:rPr>
        <w:t xml:space="preserve"> and </w:t>
      </w:r>
      <w:r w:rsidRPr="00592320">
        <w:rPr>
          <w:b/>
          <w:bCs/>
          <w:lang w:val="en-US"/>
        </w:rPr>
        <w:t>country of origin</w:t>
      </w:r>
      <w:r w:rsidRPr="00592320">
        <w:rPr>
          <w:lang w:val="en-US"/>
        </w:rPr>
        <w:t xml:space="preserve"> were manually retrieved from the </w:t>
      </w:r>
      <w:proofErr w:type="spellStart"/>
      <w:r w:rsidRPr="00592320">
        <w:rPr>
          <w:lang w:val="en-US"/>
        </w:rPr>
        <w:t>GMRepo</w:t>
      </w:r>
      <w:proofErr w:type="spellEnd"/>
      <w:r w:rsidRPr="00592320">
        <w:rPr>
          <w:lang w:val="en-US"/>
        </w:rPr>
        <w:t xml:space="preserve"> website and persisted for each sample. All participants in this dataset were </w:t>
      </w:r>
      <w:r w:rsidRPr="00592320">
        <w:rPr>
          <w:b/>
          <w:bCs/>
          <w:lang w:val="en-US"/>
        </w:rPr>
        <w:t>female</w:t>
      </w:r>
      <w:r w:rsidRPr="00592320">
        <w:rPr>
          <w:lang w:val="en-US"/>
        </w:rPr>
        <w:t xml:space="preserve">, and </w:t>
      </w:r>
      <w:r w:rsidRPr="00592320">
        <w:rPr>
          <w:b/>
          <w:bCs/>
          <w:lang w:val="en-US"/>
        </w:rPr>
        <w:t>BMI data was not available</w:t>
      </w:r>
      <w:r w:rsidRPr="00592320">
        <w:rPr>
          <w:lang w:val="en-US"/>
        </w:rPr>
        <w:t xml:space="preserve">. The collected metadata was preprocessed and encoded appropriately: </w:t>
      </w:r>
      <w:r w:rsidRPr="00592320">
        <w:rPr>
          <w:b/>
          <w:bCs/>
          <w:lang w:val="en-US"/>
        </w:rPr>
        <w:t>country</w:t>
      </w:r>
      <w:r w:rsidRPr="00592320">
        <w:rPr>
          <w:lang w:val="en-US"/>
        </w:rPr>
        <w:t xml:space="preserve"> was one-hot encoded, while </w:t>
      </w:r>
      <w:r w:rsidRPr="00592320">
        <w:rPr>
          <w:b/>
          <w:bCs/>
          <w:lang w:val="en-US"/>
        </w:rPr>
        <w:t>age</w:t>
      </w:r>
      <w:r w:rsidRPr="00592320">
        <w:rPr>
          <w:lang w:val="en-US"/>
        </w:rPr>
        <w:t xml:space="preserve"> was treated as a continuous numerical feature and standardized along with microbial abundance values. These metadata features were appended to the final feature matrix, providing the model with potential covariates that could capture geographic or demographic variation in microbial composition.</w:t>
      </w:r>
    </w:p>
    <w:p w14:paraId="58216E18" w14:textId="77777777" w:rsidR="00FB5202" w:rsidRDefault="00FB5202" w:rsidP="00FB5202">
      <w:pPr>
        <w:pStyle w:val="BodyText"/>
        <w:rPr>
          <w:lang w:val="en-US"/>
        </w:rPr>
      </w:pPr>
      <w:r w:rsidRPr="00D12D9C">
        <w:rPr>
          <w:lang w:val="en-US"/>
        </w:rPr>
        <w:t xml:space="preserve">The resulting dataset contained </w:t>
      </w:r>
      <w:r w:rsidRPr="00D12D9C">
        <w:rPr>
          <w:b/>
          <w:bCs/>
          <w:lang w:val="en-US"/>
        </w:rPr>
        <w:t>372 features</w:t>
      </w:r>
      <w:r w:rsidRPr="00D12D9C">
        <w:rPr>
          <w:lang w:val="en-US"/>
        </w:rPr>
        <w:t xml:space="preserve"> in total, including microbial species and encoded metadata. It was both </w:t>
      </w:r>
      <w:r w:rsidRPr="00D12D9C">
        <w:rPr>
          <w:b/>
          <w:bCs/>
          <w:lang w:val="en-US"/>
        </w:rPr>
        <w:t>high-dimensional</w:t>
      </w:r>
      <w:r w:rsidRPr="00D12D9C">
        <w:rPr>
          <w:lang w:val="en-US"/>
        </w:rPr>
        <w:t xml:space="preserve"> and </w:t>
      </w:r>
      <w:r w:rsidRPr="00D12D9C">
        <w:rPr>
          <w:b/>
          <w:bCs/>
          <w:lang w:val="en-US"/>
        </w:rPr>
        <w:t>sparse</w:t>
      </w:r>
      <w:r w:rsidRPr="00D12D9C">
        <w:rPr>
          <w:lang w:val="en-US"/>
        </w:rPr>
        <w:t xml:space="preserve">, as many microbial species were only present in a subset of samples. To reduce noise and highlight the most informative features, </w:t>
      </w:r>
      <w:r w:rsidRPr="00D12D9C">
        <w:rPr>
          <w:b/>
          <w:bCs/>
          <w:lang w:val="en-US"/>
        </w:rPr>
        <w:t>univariate feature selection</w:t>
      </w:r>
      <w:r w:rsidRPr="00D12D9C">
        <w:rPr>
          <w:lang w:val="en-US"/>
        </w:rPr>
        <w:t xml:space="preserve"> was applied using </w:t>
      </w:r>
      <w:proofErr w:type="spellStart"/>
      <w:r w:rsidRPr="00D12D9C">
        <w:rPr>
          <w:lang w:val="en-US"/>
        </w:rPr>
        <w:t>SelectKBest</w:t>
      </w:r>
      <w:proofErr w:type="spellEnd"/>
      <w:r w:rsidRPr="00D12D9C">
        <w:rPr>
          <w:lang w:val="en-US"/>
        </w:rPr>
        <w:t xml:space="preserve"> with </w:t>
      </w:r>
      <w:r w:rsidRPr="00D12D9C">
        <w:rPr>
          <w:b/>
          <w:bCs/>
          <w:lang w:val="en-US"/>
        </w:rPr>
        <w:t>mutual information</w:t>
      </w:r>
      <w:r w:rsidRPr="00D12D9C">
        <w:rPr>
          <w:lang w:val="en-US"/>
        </w:rPr>
        <w:t xml:space="preserve"> as the scoring function. The top </w:t>
      </w:r>
      <w:r w:rsidRPr="00D12D9C">
        <w:rPr>
          <w:b/>
          <w:bCs/>
          <w:lang w:val="en-US"/>
        </w:rPr>
        <w:t>200 features</w:t>
      </w:r>
      <w:r w:rsidRPr="00D12D9C">
        <w:rPr>
          <w:lang w:val="en-US"/>
        </w:rPr>
        <w:t xml:space="preserve"> most predictive of the health label were retained. These included both species-level features and metadata columns.</w:t>
      </w:r>
      <w:r>
        <w:rPr>
          <w:lang w:val="en-US"/>
        </w:rPr>
        <w:t xml:space="preserve"> </w:t>
      </w:r>
      <w:r w:rsidRPr="00D12D9C">
        <w:rPr>
          <w:b/>
          <w:bCs/>
          <w:lang w:val="en-US"/>
        </w:rPr>
        <w:t>Recursive Feature Elimination (RFE)</w:t>
      </w:r>
      <w:r w:rsidRPr="00D12D9C">
        <w:rPr>
          <w:lang w:val="en-US"/>
        </w:rPr>
        <w:t xml:space="preserve"> was also tested as an alternative method and, coincidentally, selected the same number of features. However, it did not lead to improved model performance and was therefore not included in the final pipeline.</w:t>
      </w:r>
    </w:p>
    <w:p w14:paraId="15897274" w14:textId="77777777" w:rsidR="00FB5202" w:rsidRPr="00F405D3" w:rsidRDefault="00FB5202" w:rsidP="00FB5202">
      <w:pPr>
        <w:pStyle w:val="BodyText"/>
      </w:pPr>
      <w:r w:rsidRPr="00F405D3">
        <w:t xml:space="preserve">All numerical features—microbial abundance values and age—were then standardized using </w:t>
      </w:r>
      <w:proofErr w:type="spellStart"/>
      <w:r w:rsidRPr="00F405D3">
        <w:t>StandardScaler</w:t>
      </w:r>
      <w:proofErr w:type="spellEnd"/>
      <w:r w:rsidRPr="00F405D3">
        <w:t xml:space="preserve"> to ensure uniform scaling. The dataset was subsequently split into training and test subsets using an </w:t>
      </w:r>
      <w:r w:rsidRPr="00F405D3">
        <w:rPr>
          <w:b/>
          <w:bCs/>
        </w:rPr>
        <w:t>80/20 stratified split</w:t>
      </w:r>
      <w:r w:rsidRPr="00F405D3">
        <w:t>, preserving the original ratio of healthy to diabetic samples.</w:t>
      </w:r>
    </w:p>
    <w:p w14:paraId="54F8768D" w14:textId="77777777" w:rsidR="00FB5202" w:rsidRPr="00F405D3" w:rsidRDefault="00FB5202" w:rsidP="00FB5202">
      <w:pPr>
        <w:pStyle w:val="BodyText"/>
      </w:pPr>
      <w:r w:rsidRPr="00F405D3">
        <w:t xml:space="preserve">Given the moderate class imbalance (92 healthy vs. 53 diabetic), </w:t>
      </w:r>
      <w:r w:rsidRPr="00F405D3">
        <w:rPr>
          <w:b/>
          <w:bCs/>
        </w:rPr>
        <w:t>SMOTE (Synthetic Minority Over-sampling Technique)</w:t>
      </w:r>
      <w:r w:rsidRPr="00F405D3">
        <w:t xml:space="preserve"> was applied to the training set. This method generated synthetic samples for the minority class (diabetic) to balance the class distribution, reducing the risk of biased learning and improving model performance.</w:t>
      </w:r>
    </w:p>
    <w:p w14:paraId="5AE8D1B8" w14:textId="77777777" w:rsidR="00FB5202" w:rsidRPr="00D12D9C" w:rsidRDefault="00FB5202" w:rsidP="00FB5202">
      <w:pPr>
        <w:pStyle w:val="BodyText"/>
      </w:pPr>
      <w:r w:rsidRPr="00F405D3">
        <w:rPr>
          <w:lang w:val="en-US"/>
        </w:rPr>
        <w:t>At this stage, the dataset was fully structured, feature-selected, scaled, and balanced—ready for model development and training.</w:t>
      </w:r>
    </w:p>
    <w:p w14:paraId="2D3EB840" w14:textId="4F59F91F" w:rsidR="00FB5202" w:rsidRPr="00FB5202" w:rsidRDefault="00FB5202" w:rsidP="00FB5202">
      <w:pPr>
        <w:pStyle w:val="H2Cont"/>
        <w:numPr>
          <w:ilvl w:val="0"/>
          <w:numId w:val="39"/>
        </w:numPr>
        <w:spacing w:before="0"/>
      </w:pPr>
      <w:r>
        <w:t>MODEL DEVELOPMENT AND OPTIMIZATION</w:t>
      </w:r>
    </w:p>
    <w:p w14:paraId="51A2141C" w14:textId="77777777" w:rsidR="00FB5202" w:rsidRDefault="00FB5202" w:rsidP="00FB5202">
      <w:pPr>
        <w:pStyle w:val="BodyText"/>
        <w:rPr>
          <w:lang w:val="en-US"/>
        </w:rPr>
      </w:pPr>
      <w:r w:rsidRPr="00937B77">
        <w:rPr>
          <w:lang w:val="en-US"/>
        </w:rPr>
        <w:t>With the final dataset prepared, several machine learning models were developed to classify individuals as healthy or diabetic based on their gut microbiome profiles. The objective was to maximize predictive accuracy through robust feature representation, balanced training data, and optimized model configuration.</w:t>
      </w:r>
    </w:p>
    <w:p w14:paraId="51EA4F30" w14:textId="77777777" w:rsidR="00FB5202" w:rsidRDefault="00FB5202" w:rsidP="00FB5202">
      <w:pPr>
        <w:pStyle w:val="BodyText"/>
        <w:rPr>
          <w:lang w:val="en-US"/>
        </w:rPr>
      </w:pPr>
      <w:r w:rsidRPr="00937B77">
        <w:rPr>
          <w:lang w:val="en-US"/>
        </w:rPr>
        <w:t xml:space="preserve">Three supervised classifiers were selected as base learners due to their complementary strengths and interpretability: Random Forest (RF), Support Vector Machine (SVM), and Logistic Regression (LR). Each model underwent hyperparameter tuning using </w:t>
      </w:r>
      <w:proofErr w:type="spellStart"/>
      <w:r w:rsidRPr="00937B77">
        <w:rPr>
          <w:lang w:val="en-US"/>
        </w:rPr>
        <w:t>GridSearchCV</w:t>
      </w:r>
      <w:proofErr w:type="spellEnd"/>
      <w:r w:rsidRPr="00937B77">
        <w:rPr>
          <w:lang w:val="en-US"/>
        </w:rPr>
        <w:t>, with F1-score as the evaluation metric and 3-fold cross-validation to ensure robustness across training splits.</w:t>
      </w:r>
    </w:p>
    <w:p w14:paraId="24ECB630" w14:textId="77777777" w:rsidR="00FB5202" w:rsidRPr="00937B77" w:rsidRDefault="00FB5202" w:rsidP="00FB5202">
      <w:pPr>
        <w:pStyle w:val="BodyText"/>
      </w:pPr>
      <w:r w:rsidRPr="00937B77">
        <w:t xml:space="preserve">For the Random Forest classifier, the grid search explored parameters such as the </w:t>
      </w:r>
      <w:r w:rsidRPr="00937B77">
        <w:rPr>
          <w:b/>
          <w:bCs/>
        </w:rPr>
        <w:t>number of estimators</w:t>
      </w:r>
      <w:r w:rsidRPr="00937B77">
        <w:t xml:space="preserve">, </w:t>
      </w:r>
      <w:r w:rsidRPr="00937B77">
        <w:rPr>
          <w:b/>
          <w:bCs/>
        </w:rPr>
        <w:t>maximum tree depth</w:t>
      </w:r>
      <w:r w:rsidRPr="00937B77">
        <w:t xml:space="preserve">, </w:t>
      </w:r>
      <w:r w:rsidRPr="00937B77">
        <w:rPr>
          <w:b/>
          <w:bCs/>
        </w:rPr>
        <w:t>minimum samples per split</w:t>
      </w:r>
      <w:r w:rsidRPr="00937B77">
        <w:t xml:space="preserve">, and </w:t>
      </w:r>
      <w:r w:rsidRPr="00937B77">
        <w:rPr>
          <w:b/>
          <w:bCs/>
        </w:rPr>
        <w:t>minimum samples per leaf</w:t>
      </w:r>
      <w:r w:rsidRPr="00937B77">
        <w:t xml:space="preserve">. The Support Vector Machine was tuned by varying the </w:t>
      </w:r>
      <w:r w:rsidRPr="00937B77">
        <w:rPr>
          <w:b/>
          <w:bCs/>
        </w:rPr>
        <w:t>regularization parameter C</w:t>
      </w:r>
      <w:r w:rsidRPr="00937B77">
        <w:t xml:space="preserve">, </w:t>
      </w:r>
      <w:r w:rsidRPr="00937B77">
        <w:rPr>
          <w:b/>
          <w:bCs/>
        </w:rPr>
        <w:t>kernel type</w:t>
      </w:r>
      <w:r w:rsidRPr="00937B77">
        <w:t xml:space="preserve"> (linear and radial basis function), and </w:t>
      </w:r>
      <w:r w:rsidRPr="00937B77">
        <w:rPr>
          <w:b/>
          <w:bCs/>
        </w:rPr>
        <w:t>gamma</w:t>
      </w:r>
      <w:r w:rsidRPr="00937B77">
        <w:t xml:space="preserve">. In the case of Logistic Regression, tuning focused on the </w:t>
      </w:r>
      <w:r w:rsidRPr="00937B77">
        <w:rPr>
          <w:b/>
          <w:bCs/>
        </w:rPr>
        <w:t>regularization strength</w:t>
      </w:r>
      <w:r w:rsidRPr="00937B77">
        <w:t xml:space="preserve"> and the </w:t>
      </w:r>
      <w:r w:rsidRPr="00937B77">
        <w:rPr>
          <w:b/>
          <w:bCs/>
        </w:rPr>
        <w:t>solver</w:t>
      </w:r>
      <w:r w:rsidRPr="00937B77">
        <w:t xml:space="preserve"> (using </w:t>
      </w:r>
      <w:proofErr w:type="spellStart"/>
      <w:r w:rsidRPr="00937B77">
        <w:t>lbfgs</w:t>
      </w:r>
      <w:proofErr w:type="spellEnd"/>
      <w:r w:rsidRPr="00937B77">
        <w:t>) to ensure stable convergence on the standardized feature space.</w:t>
      </w:r>
    </w:p>
    <w:p w14:paraId="2816096F" w14:textId="77777777" w:rsidR="00FB5202" w:rsidRPr="00937B77" w:rsidRDefault="00FB5202" w:rsidP="00FB5202">
      <w:pPr>
        <w:pStyle w:val="BodyText"/>
      </w:pPr>
      <w:r w:rsidRPr="00937B77">
        <w:t xml:space="preserve">Once the best configurations were selected, these models were integrated into a </w:t>
      </w:r>
      <w:r w:rsidRPr="00937B77">
        <w:rPr>
          <w:b/>
          <w:bCs/>
        </w:rPr>
        <w:t>stacking ensemble classifier</w:t>
      </w:r>
      <w:r w:rsidRPr="00937B77">
        <w:t xml:space="preserve">, using Logistic Regression as the </w:t>
      </w:r>
      <w:r w:rsidRPr="00937B77">
        <w:rPr>
          <w:b/>
          <w:bCs/>
        </w:rPr>
        <w:t>meta-learner</w:t>
      </w:r>
      <w:r w:rsidRPr="00937B77">
        <w:t>. The stacking approach was chosen to leverage the diversity of the base learners—combining the decision boundaries of SVM, the ensemble power of Random Forest, and the linear separability of Logistic Regression.</w:t>
      </w:r>
    </w:p>
    <w:p w14:paraId="7074B16D" w14:textId="77777777" w:rsidR="00FB5202" w:rsidRPr="00937B77" w:rsidRDefault="00FB5202" w:rsidP="00FB5202">
      <w:pPr>
        <w:pStyle w:val="BodyText"/>
        <w:rPr>
          <w:lang w:val="en-US"/>
        </w:rPr>
      </w:pPr>
      <w:r w:rsidRPr="00937B77">
        <w:rPr>
          <w:lang w:val="en-US"/>
        </w:rPr>
        <w:t xml:space="preserve">The final model was constructed using </w:t>
      </w:r>
      <w:proofErr w:type="spellStart"/>
      <w:r w:rsidRPr="00937B77">
        <w:rPr>
          <w:lang w:val="en-US"/>
        </w:rPr>
        <w:t>StackingClassifier</w:t>
      </w:r>
      <w:proofErr w:type="spellEnd"/>
      <w:r w:rsidRPr="00937B77">
        <w:rPr>
          <w:lang w:val="en-US"/>
        </w:rPr>
        <w:t xml:space="preserve"> with passthrough=True, allowing the meta-model to access both the raw input features and the predictions of the base models. The ensemble was trained on the </w:t>
      </w:r>
      <w:r w:rsidRPr="00937B77">
        <w:rPr>
          <w:b/>
          <w:bCs/>
          <w:lang w:val="en-US"/>
        </w:rPr>
        <w:t>SMOTE-balanced</w:t>
      </w:r>
      <w:r w:rsidRPr="00937B77">
        <w:rPr>
          <w:lang w:val="en-US"/>
        </w:rPr>
        <w:t xml:space="preserve"> training set to mitigate class imbalance.</w:t>
      </w:r>
    </w:p>
    <w:p w14:paraId="1BD19086" w14:textId="47C79517" w:rsidR="00FB5202" w:rsidRDefault="00FB5202" w:rsidP="00FB5202">
      <w:pPr>
        <w:pStyle w:val="BodyText"/>
        <w:ind w:firstLine="0"/>
        <w:rPr>
          <w:lang w:val="en-US"/>
        </w:rPr>
      </w:pPr>
      <w:r w:rsidRPr="00937B77">
        <w:rPr>
          <w:lang w:val="en-US"/>
        </w:rPr>
        <w:t>This configuration achieved the best overall performance during experimentation, outperforming individual models and simpler ensemble methods such as majority voting. The optimized stacking pipeline was then evaluated on the held-out test set, as described in the next section.</w:t>
      </w:r>
    </w:p>
    <w:p w14:paraId="77AF5263" w14:textId="358A887D" w:rsidR="00FB5202" w:rsidRPr="00FB5202" w:rsidRDefault="00FB5202" w:rsidP="00FB5202">
      <w:pPr>
        <w:pStyle w:val="H2Cont"/>
        <w:numPr>
          <w:ilvl w:val="0"/>
          <w:numId w:val="39"/>
        </w:numPr>
        <w:spacing w:before="0"/>
      </w:pPr>
      <w:r>
        <w:t>PERFORMANCE EVALUATION</w:t>
      </w:r>
    </w:p>
    <w:p w14:paraId="6DF9ED6E" w14:textId="0911AA11" w:rsidR="00FB5202" w:rsidRPr="003E42B0" w:rsidRDefault="00FB5202" w:rsidP="00FB5202">
      <w:pPr>
        <w:pStyle w:val="BodyText"/>
      </w:pPr>
      <w:r w:rsidRPr="003E42B0">
        <w:t xml:space="preserve">The final stacking classifier was evaluated on the held-out test set using a variety of standard metrics: </w:t>
      </w:r>
      <w:r w:rsidRPr="003E42B0">
        <w:rPr>
          <w:b/>
          <w:bCs/>
        </w:rPr>
        <w:t>accuracy</w:t>
      </w:r>
      <w:r w:rsidRPr="003E42B0">
        <w:t xml:space="preserve">, </w:t>
      </w:r>
      <w:r w:rsidRPr="003E42B0">
        <w:rPr>
          <w:b/>
          <w:bCs/>
        </w:rPr>
        <w:t>precision</w:t>
      </w:r>
      <w:r w:rsidRPr="003E42B0">
        <w:t xml:space="preserve">, </w:t>
      </w:r>
      <w:r w:rsidRPr="003E42B0">
        <w:rPr>
          <w:b/>
          <w:bCs/>
        </w:rPr>
        <w:t>recall</w:t>
      </w:r>
      <w:r w:rsidRPr="003E42B0">
        <w:t xml:space="preserve">, and </w:t>
      </w:r>
      <w:r w:rsidRPr="003E42B0">
        <w:rPr>
          <w:b/>
          <w:bCs/>
        </w:rPr>
        <w:t>F1-score</w:t>
      </w:r>
      <w:r w:rsidRPr="003E42B0">
        <w:t xml:space="preserve">. The model achieved an accuracy of </w:t>
      </w:r>
      <w:r w:rsidRPr="003E42B0">
        <w:rPr>
          <w:b/>
          <w:bCs/>
        </w:rPr>
        <w:t>92%</w:t>
      </w:r>
      <w:r w:rsidRPr="003E42B0">
        <w:t xml:space="preserve">, marking a substantial improvement over the individual base models, which typically ranged from </w:t>
      </w:r>
      <w:r w:rsidRPr="003E42B0">
        <w:rPr>
          <w:b/>
          <w:bCs/>
        </w:rPr>
        <w:t>61% to 75%</w:t>
      </w:r>
      <w:r w:rsidRPr="003E42B0">
        <w:t>. The ensemble's strong performance was attributed to the complementary strengths of its components, as well as the careful feature selection, metadata integration, and class balancing steps applied earlier in the pipeline.</w:t>
      </w:r>
    </w:p>
    <w:p w14:paraId="2816916B" w14:textId="77777777" w:rsidR="00FB5202" w:rsidRPr="003E42B0" w:rsidRDefault="00FB5202" w:rsidP="00FB5202">
      <w:pPr>
        <w:pStyle w:val="BodyText"/>
      </w:pPr>
      <w:r w:rsidRPr="003E42B0">
        <w:t xml:space="preserve">The performance metrics for each individual model and the final ensemble are summarized in </w:t>
      </w:r>
      <w:r w:rsidRPr="003E42B0">
        <w:rPr>
          <w:b/>
          <w:bCs/>
        </w:rPr>
        <w:t>Table X</w:t>
      </w:r>
      <w:r w:rsidRPr="00937B77">
        <w:rPr>
          <w:lang w:val="en-US"/>
        </w:rPr>
        <w:t>.</w:t>
      </w:r>
    </w:p>
    <w:p w14:paraId="04D5847A" w14:textId="3709CF4A" w:rsidR="00FB5202" w:rsidRDefault="00FB5202" w:rsidP="00FB5202">
      <w:pPr>
        <w:pStyle w:val="BodyText"/>
        <w:rPr>
          <w:lang w:val="pt-PT"/>
        </w:rPr>
      </w:pPr>
      <w:r w:rsidRPr="003E42B0">
        <w:rPr>
          <w:highlight w:val="magenta"/>
          <w:lang w:val="pt-PT"/>
        </w:rPr>
        <w:t>(</w:t>
      </w:r>
      <w:r w:rsidR="00EE3AE2">
        <w:rPr>
          <w:highlight w:val="magenta"/>
          <w:lang w:val="pt-PT"/>
        </w:rPr>
        <w:t xml:space="preserve">Colocar tabela com valores da </w:t>
      </w:r>
      <w:proofErr w:type="spellStart"/>
      <w:r w:rsidR="00EE3AE2">
        <w:rPr>
          <w:highlight w:val="magenta"/>
          <w:lang w:val="pt-PT"/>
        </w:rPr>
        <w:t>acc</w:t>
      </w:r>
      <w:proofErr w:type="spellEnd"/>
      <w:r w:rsidR="00EE3AE2">
        <w:rPr>
          <w:highlight w:val="magenta"/>
          <w:lang w:val="pt-PT"/>
        </w:rPr>
        <w:t xml:space="preserve"> e todas as “iterações” que fiz até chegar a 92% de </w:t>
      </w:r>
      <w:proofErr w:type="spellStart"/>
      <w:r w:rsidR="00EE3AE2">
        <w:rPr>
          <w:highlight w:val="magenta"/>
          <w:lang w:val="pt-PT"/>
        </w:rPr>
        <w:t>accuracy</w:t>
      </w:r>
      <w:proofErr w:type="spellEnd"/>
      <w:r w:rsidRPr="003E42B0">
        <w:rPr>
          <w:highlight w:val="magenta"/>
          <w:lang w:val="pt-PT"/>
        </w:rPr>
        <w:t>)</w:t>
      </w:r>
    </w:p>
    <w:p w14:paraId="0E47DE31" w14:textId="77777777" w:rsidR="00FB5202" w:rsidRDefault="00FB5202" w:rsidP="00FB5202">
      <w:pPr>
        <w:pStyle w:val="BodyText"/>
        <w:rPr>
          <w:lang w:val="en-US"/>
        </w:rPr>
      </w:pPr>
      <w:r w:rsidRPr="003E42B0">
        <w:rPr>
          <w:lang w:val="en-US"/>
        </w:rPr>
        <w:t xml:space="preserve">In addition to internal evaluation, the model's generalizability was tested by introducing additional microbiome samples from a separate </w:t>
      </w:r>
      <w:proofErr w:type="spellStart"/>
      <w:r w:rsidRPr="003E42B0">
        <w:rPr>
          <w:lang w:val="en-US"/>
        </w:rPr>
        <w:t>GMRepo</w:t>
      </w:r>
      <w:proofErr w:type="spellEnd"/>
      <w:r w:rsidRPr="003E42B0">
        <w:rPr>
          <w:lang w:val="en-US"/>
        </w:rPr>
        <w:t xml:space="preserve"> project, </w:t>
      </w:r>
      <w:r w:rsidRPr="003E42B0">
        <w:rPr>
          <w:b/>
          <w:bCs/>
          <w:lang w:val="en-US"/>
        </w:rPr>
        <w:t>PRJNA422434</w:t>
      </w:r>
      <w:r w:rsidRPr="003E42B0">
        <w:rPr>
          <w:lang w:val="en-US"/>
        </w:rPr>
        <w:t xml:space="preserve">. These samples were processed and formatted in the same way as the original dataset to ensure compatibility. However, when the trained classifier was applied to this extended dataset, </w:t>
      </w:r>
      <w:r w:rsidRPr="003E42B0">
        <w:rPr>
          <w:b/>
          <w:bCs/>
          <w:lang w:val="en-US"/>
        </w:rPr>
        <w:t>performance dropped to 62% accuracy</w:t>
      </w:r>
      <w:r w:rsidRPr="003E42B0">
        <w:rPr>
          <w:lang w:val="en-US"/>
        </w:rPr>
        <w:t>. This result highlights a key limitation: while the model performs well within its original domain, it does not generalize reliably to unseen cohorts.</w:t>
      </w:r>
    </w:p>
    <w:p w14:paraId="7623B52B" w14:textId="77777777" w:rsidR="00FB5202" w:rsidRDefault="00FB5202" w:rsidP="00FB5202">
      <w:pPr>
        <w:pStyle w:val="BodyText"/>
        <w:rPr>
          <w:lang w:val="en-US"/>
        </w:rPr>
      </w:pPr>
      <w:r w:rsidRPr="00197FDD">
        <w:rPr>
          <w:lang w:val="en-US"/>
        </w:rPr>
        <w:t xml:space="preserve">The drop in performance is likely due to </w:t>
      </w:r>
      <w:r w:rsidRPr="00197FDD">
        <w:rPr>
          <w:b/>
          <w:bCs/>
          <w:lang w:val="en-US"/>
        </w:rPr>
        <w:t>cohort-specific effects</w:t>
      </w:r>
      <w:r w:rsidRPr="00197FDD">
        <w:rPr>
          <w:lang w:val="en-US"/>
        </w:rPr>
        <w:t xml:space="preserve">, such as variations in sample preparation, sequencing methods, or population-level microbiome differences. This emphasizes the need for </w:t>
      </w:r>
      <w:r w:rsidRPr="00197FDD">
        <w:rPr>
          <w:b/>
          <w:bCs/>
          <w:lang w:val="en-US"/>
        </w:rPr>
        <w:t>cross-cohort normalization strategies</w:t>
      </w:r>
      <w:r w:rsidRPr="00197FDD">
        <w:rPr>
          <w:lang w:val="en-US"/>
        </w:rPr>
        <w:t xml:space="preserve">, </w:t>
      </w:r>
      <w:r w:rsidRPr="00197FDD">
        <w:rPr>
          <w:b/>
          <w:bCs/>
          <w:lang w:val="en-US"/>
        </w:rPr>
        <w:t>domain adaptation</w:t>
      </w:r>
      <w:r w:rsidRPr="00197FDD">
        <w:rPr>
          <w:lang w:val="en-US"/>
        </w:rPr>
        <w:t xml:space="preserve">, or </w:t>
      </w:r>
      <w:r w:rsidRPr="00197FDD">
        <w:rPr>
          <w:b/>
          <w:bCs/>
          <w:lang w:val="en-US"/>
        </w:rPr>
        <w:t>larger and more diverse training datasets</w:t>
      </w:r>
      <w:r w:rsidRPr="00197FDD">
        <w:rPr>
          <w:lang w:val="en-US"/>
        </w:rPr>
        <w:t xml:space="preserve"> in future work.</w:t>
      </w:r>
    </w:p>
    <w:p w14:paraId="76F3849A" w14:textId="05B600D5" w:rsidR="00FB5202" w:rsidRPr="00FB5202" w:rsidRDefault="00FB5202" w:rsidP="00FB5202">
      <w:pPr>
        <w:pStyle w:val="BodyText"/>
        <w:rPr>
          <w:lang w:val="en-US"/>
        </w:rPr>
      </w:pPr>
      <w:r w:rsidRPr="00197FDD">
        <w:rPr>
          <w:lang w:val="en-US"/>
        </w:rPr>
        <w:t>Despite this limitation, the high internal accuracy demonstrates that gut microbiome composition, when properly processed and modeled, holds substantial promise for classifying Type 2 Diabetes status in controlled settings.</w:t>
      </w:r>
    </w:p>
    <w:p w14:paraId="24BCC821" w14:textId="6712F314" w:rsidR="0091745E" w:rsidRPr="0091745E" w:rsidRDefault="00FB5202" w:rsidP="006777B9">
      <w:pPr>
        <w:pStyle w:val="H1ListSpace"/>
      </w:pPr>
      <w:r>
        <w:t>FUTURE WORK</w:t>
      </w:r>
    </w:p>
    <w:p w14:paraId="7DFBCB44" w14:textId="77777777" w:rsidR="00FB5202" w:rsidRDefault="0091745E" w:rsidP="00FB5202">
      <w:pPr>
        <w:pStyle w:val="BodyText"/>
        <w:rPr>
          <w:lang w:val="en-US"/>
        </w:rPr>
      </w:pPr>
      <w:r>
        <w:t xml:space="preserve">The </w:t>
      </w:r>
      <w:r w:rsidR="00FB5202" w:rsidRPr="00197FDD">
        <w:rPr>
          <w:lang w:val="en-US"/>
        </w:rPr>
        <w:t>While the stacking classifier developed in this study achieved high predictive accuracy on the internal dataset, several important directions remain for improving model robustness, generalizability, and biological relevance.</w:t>
      </w:r>
    </w:p>
    <w:p w14:paraId="3FB1E99D" w14:textId="77777777" w:rsidR="00FB5202" w:rsidRPr="00197FDD" w:rsidRDefault="00FB5202" w:rsidP="00FB5202">
      <w:pPr>
        <w:pStyle w:val="BodyText"/>
        <w:rPr>
          <w:lang w:val="en-US"/>
        </w:rPr>
      </w:pPr>
      <w:r w:rsidRPr="00197FDD">
        <w:rPr>
          <w:lang w:val="en-US"/>
        </w:rPr>
        <w:t xml:space="preserve">First, future work should focus on enhancing </w:t>
      </w:r>
      <w:r w:rsidRPr="00197FDD">
        <w:rPr>
          <w:b/>
          <w:bCs/>
          <w:lang w:val="en-US"/>
        </w:rPr>
        <w:t>cross-cohort generalization</w:t>
      </w:r>
      <w:r w:rsidRPr="00197FDD">
        <w:rPr>
          <w:lang w:val="en-US"/>
        </w:rPr>
        <w:t xml:space="preserve">. The significant performance drop observed when applying the model to an external dataset (PRJNA422434) suggests that microbiome-based classifiers are sensitive to cohort-specific factors such as geographic diversity, sequencing methods, or environmental exposures. Approaches such as </w:t>
      </w:r>
      <w:r w:rsidRPr="00197FDD">
        <w:rPr>
          <w:b/>
          <w:bCs/>
          <w:lang w:val="en-US"/>
        </w:rPr>
        <w:t>domain adaptation</w:t>
      </w:r>
      <w:r w:rsidRPr="00197FDD">
        <w:rPr>
          <w:lang w:val="en-US"/>
        </w:rPr>
        <w:t xml:space="preserve">, </w:t>
      </w:r>
      <w:r w:rsidRPr="00197FDD">
        <w:rPr>
          <w:b/>
          <w:bCs/>
          <w:lang w:val="en-US"/>
        </w:rPr>
        <w:t>batch effect correction</w:t>
      </w:r>
      <w:r w:rsidRPr="00197FDD">
        <w:rPr>
          <w:lang w:val="en-US"/>
        </w:rPr>
        <w:t xml:space="preserve">, and </w:t>
      </w:r>
      <w:r w:rsidRPr="00197FDD">
        <w:rPr>
          <w:b/>
          <w:bCs/>
          <w:lang w:val="en-US"/>
        </w:rPr>
        <w:t>multi-cohort training</w:t>
      </w:r>
      <w:r w:rsidRPr="00197FDD">
        <w:rPr>
          <w:lang w:val="en-US"/>
        </w:rPr>
        <w:t xml:space="preserve"> could help mitigate this issue and improve transferability across datasets.</w:t>
      </w:r>
    </w:p>
    <w:p w14:paraId="275BF3E5" w14:textId="77777777" w:rsidR="00FB5202" w:rsidRPr="00197FDD" w:rsidRDefault="00FB5202" w:rsidP="00FB5202">
      <w:pPr>
        <w:pStyle w:val="BodyText"/>
        <w:rPr>
          <w:lang w:val="en-US"/>
        </w:rPr>
      </w:pPr>
      <w:r w:rsidRPr="00197FDD">
        <w:rPr>
          <w:lang w:val="en-US"/>
        </w:rPr>
        <w:t xml:space="preserve">Second, the integration of additional </w:t>
      </w:r>
      <w:r w:rsidRPr="00197FDD">
        <w:rPr>
          <w:b/>
          <w:bCs/>
          <w:lang w:val="en-US"/>
        </w:rPr>
        <w:t>metadata</w:t>
      </w:r>
      <w:r w:rsidRPr="00197FDD">
        <w:rPr>
          <w:lang w:val="en-US"/>
        </w:rPr>
        <w:t xml:space="preserve"> could improve model performance and interpretability. While this study incorporated host age and country, other factors such as diet, medication, lifestyle, and medical history could further explain variation in microbial composition and enhance predictive power. However, these variables are often inconsistently reported or entirely missing from public datasets, underscoring the need for better-curated and metadata-rich microbiome repositories.</w:t>
      </w:r>
    </w:p>
    <w:p w14:paraId="0DA85317" w14:textId="77777777" w:rsidR="00FB5202" w:rsidRPr="00197FDD" w:rsidRDefault="00FB5202" w:rsidP="00FB5202">
      <w:pPr>
        <w:pStyle w:val="BodyText"/>
        <w:rPr>
          <w:lang w:val="en-US"/>
        </w:rPr>
      </w:pPr>
      <w:r w:rsidRPr="00197FDD">
        <w:rPr>
          <w:lang w:val="en-US"/>
        </w:rPr>
        <w:t xml:space="preserve">Third, the current study focused on </w:t>
      </w:r>
      <w:r w:rsidRPr="00197FDD">
        <w:rPr>
          <w:b/>
          <w:bCs/>
          <w:lang w:val="en-US"/>
        </w:rPr>
        <w:t>species-level taxonomic profiles</w:t>
      </w:r>
      <w:r w:rsidRPr="00197FDD">
        <w:rPr>
          <w:lang w:val="en-US"/>
        </w:rPr>
        <w:t xml:space="preserve">, but functional information—such as gene content, metabolic pathway activity, or strain-level variation—could provide more direct insights into host-microbiome interactions. Incorporating such </w:t>
      </w:r>
      <w:r w:rsidRPr="00197FDD">
        <w:rPr>
          <w:b/>
          <w:bCs/>
          <w:lang w:val="en-US"/>
        </w:rPr>
        <w:t>functional metagenomics data</w:t>
      </w:r>
      <w:r w:rsidRPr="00197FDD">
        <w:rPr>
          <w:lang w:val="en-US"/>
        </w:rPr>
        <w:t xml:space="preserve"> may improve biological interpretability and enhance classification accuracy.</w:t>
      </w:r>
    </w:p>
    <w:p w14:paraId="0D8843FE" w14:textId="77777777" w:rsidR="00FB5202" w:rsidRPr="00197FDD" w:rsidRDefault="00FB5202" w:rsidP="00FB5202">
      <w:pPr>
        <w:pStyle w:val="BodyText"/>
        <w:rPr>
          <w:lang w:val="en-US"/>
        </w:rPr>
      </w:pPr>
      <w:r w:rsidRPr="00197FDD">
        <w:rPr>
          <w:lang w:val="en-US"/>
        </w:rPr>
        <w:t xml:space="preserve">Additionally, while the current model used traditional machine learning techniques, future work could explore </w:t>
      </w:r>
      <w:r w:rsidRPr="00197FDD">
        <w:rPr>
          <w:b/>
          <w:bCs/>
          <w:lang w:val="en-US"/>
        </w:rPr>
        <w:t>deep learning</w:t>
      </w:r>
      <w:r w:rsidRPr="00197FDD">
        <w:rPr>
          <w:lang w:val="en-US"/>
        </w:rPr>
        <w:t xml:space="preserve"> or </w:t>
      </w:r>
      <w:r w:rsidRPr="00197FDD">
        <w:rPr>
          <w:b/>
          <w:bCs/>
          <w:lang w:val="en-US"/>
        </w:rPr>
        <w:t>generative approaches</w:t>
      </w:r>
      <w:r w:rsidRPr="00197FDD">
        <w:rPr>
          <w:lang w:val="en-US"/>
        </w:rPr>
        <w:t xml:space="preserve">, such as </w:t>
      </w:r>
      <w:r w:rsidRPr="00197FDD">
        <w:rPr>
          <w:b/>
          <w:bCs/>
          <w:lang w:val="en-US"/>
        </w:rPr>
        <w:t>variational autoencoders (VAEs)</w:t>
      </w:r>
      <w:r w:rsidRPr="00197FDD">
        <w:rPr>
          <w:lang w:val="en-US"/>
        </w:rPr>
        <w:t xml:space="preserve"> or </w:t>
      </w:r>
      <w:r w:rsidRPr="00197FDD">
        <w:rPr>
          <w:b/>
          <w:bCs/>
          <w:lang w:val="en-US"/>
        </w:rPr>
        <w:t>generative adversarial networks (GANs)</w:t>
      </w:r>
      <w:r w:rsidRPr="00197FDD">
        <w:rPr>
          <w:lang w:val="en-US"/>
        </w:rPr>
        <w:t>, for learning compact representations or augmenting limited datasets.</w:t>
      </w:r>
    </w:p>
    <w:p w14:paraId="69504A9A" w14:textId="2E6F2CCC" w:rsidR="00BE0B38" w:rsidRPr="00FB5202" w:rsidRDefault="00FB5202" w:rsidP="00FB5202">
      <w:pPr>
        <w:pStyle w:val="BodyText"/>
        <w:rPr>
          <w:lang w:val="en-US"/>
        </w:rPr>
      </w:pPr>
      <w:r w:rsidRPr="00197FDD">
        <w:rPr>
          <w:lang w:val="en-US"/>
        </w:rPr>
        <w:t xml:space="preserve">Finally, a natural next step involves applying the model to </w:t>
      </w:r>
      <w:r w:rsidRPr="00197FDD">
        <w:rPr>
          <w:b/>
          <w:bCs/>
          <w:lang w:val="en-US"/>
        </w:rPr>
        <w:t>larger, more diverse cohorts</w:t>
      </w:r>
      <w:r w:rsidRPr="00197FDD">
        <w:rPr>
          <w:lang w:val="en-US"/>
        </w:rPr>
        <w:t>, possibly in clinical contexts, to assess real-world utility. Validation against longitudinal</w:t>
      </w:r>
      <w:r w:rsidR="004230D4">
        <w:rPr>
          <w:lang w:val="en-US"/>
        </w:rPr>
        <w:t xml:space="preserve"> </w:t>
      </w:r>
      <w:r w:rsidRPr="00197FDD">
        <w:rPr>
          <w:lang w:val="en-US"/>
        </w:rPr>
        <w:t>datasets could also help evaluate the model's ability to detect early microbiome shifts that precede clinical onset of Type 2 Diabetes.</w:t>
      </w:r>
    </w:p>
    <w:p w14:paraId="13629976" w14:textId="77777777" w:rsidR="00486E60" w:rsidRPr="00E91452" w:rsidRDefault="001C597C" w:rsidP="00165F70">
      <w:pPr>
        <w:pStyle w:val="H1ListSpace"/>
      </w:pPr>
      <w:r w:rsidRPr="00165F70">
        <w:t>CONCLUSION</w:t>
      </w:r>
    </w:p>
    <w:p w14:paraId="48A5F937" w14:textId="77777777" w:rsidR="00BA7B2F" w:rsidRPr="00A8467A" w:rsidRDefault="001C597C" w:rsidP="001C597C">
      <w:pPr>
        <w:pStyle w:val="PARA"/>
        <w:rPr>
          <w:spacing w:val="0"/>
        </w:rPr>
      </w:pPr>
      <w:r w:rsidRPr="00A8467A">
        <w:rPr>
          <w:spacing w:val="0"/>
        </w:rPr>
        <w:t>A conclusion section is not required. Although a conclusion may review the main points of the paper, do not replicate the abstract as the conclusion. A conclusion might elaborate on the importance of the work or suggest applications and extensions.</w:t>
      </w:r>
    </w:p>
    <w:p w14:paraId="7CD699F9" w14:textId="11B3F755" w:rsidR="00067C21" w:rsidRPr="00047215" w:rsidRDefault="00067C21" w:rsidP="001E4083">
      <w:pPr>
        <w:pStyle w:val="H1"/>
        <w:spacing w:before="300"/>
        <w:rPr>
          <w:lang w:val="pt-PT"/>
        </w:rPr>
      </w:pPr>
      <w:r w:rsidRPr="00047215">
        <w:rPr>
          <w:lang w:val="pt-PT"/>
        </w:rPr>
        <w:t>REFERENCES</w:t>
      </w:r>
    </w:p>
    <w:sdt>
      <w:sdtPr>
        <w:rPr>
          <w:color w:val="000000"/>
          <w:sz w:val="16"/>
          <w:szCs w:val="16"/>
        </w:rPr>
        <w:tag w:val="MENDELEY_BIBLIOGRAPHY"/>
        <w:id w:val="-1883551543"/>
        <w:placeholder>
          <w:docPart w:val="DefaultPlaceholder_-1854013440"/>
        </w:placeholder>
      </w:sdtPr>
      <w:sdtContent>
        <w:p w14:paraId="17795B4A" w14:textId="77777777" w:rsidR="00047215" w:rsidRPr="00047215" w:rsidRDefault="00047215">
          <w:pPr>
            <w:autoSpaceDE w:val="0"/>
            <w:autoSpaceDN w:val="0"/>
            <w:ind w:hanging="640"/>
            <w:divId w:val="1818574660"/>
            <w:rPr>
              <w:sz w:val="16"/>
              <w:szCs w:val="16"/>
            </w:rPr>
          </w:pPr>
          <w:r w:rsidRPr="00047215">
            <w:rPr>
              <w:sz w:val="16"/>
              <w:szCs w:val="16"/>
              <w:lang w:val="pt-PT"/>
            </w:rPr>
            <w:t>[1]</w:t>
          </w:r>
          <w:r w:rsidRPr="00047215">
            <w:rPr>
              <w:sz w:val="16"/>
              <w:szCs w:val="16"/>
              <w:lang w:val="pt-PT"/>
            </w:rPr>
            <w:tab/>
            <w:t xml:space="preserve">“IDF Diabetes Atlas | Global Diabetes Data &amp; </w:t>
          </w:r>
          <w:proofErr w:type="spellStart"/>
          <w:r w:rsidRPr="00047215">
            <w:rPr>
              <w:sz w:val="16"/>
              <w:szCs w:val="16"/>
              <w:lang w:val="pt-PT"/>
            </w:rPr>
            <w:t>Statistics</w:t>
          </w:r>
          <w:proofErr w:type="spellEnd"/>
          <w:r w:rsidRPr="00047215">
            <w:rPr>
              <w:sz w:val="16"/>
              <w:szCs w:val="16"/>
              <w:lang w:val="pt-PT"/>
            </w:rPr>
            <w:t xml:space="preserve">.” </w:t>
          </w:r>
          <w:r w:rsidRPr="00047215">
            <w:rPr>
              <w:sz w:val="16"/>
              <w:szCs w:val="16"/>
            </w:rPr>
            <w:t>Accessed: Apr. 26, 2025. [Online]. Available: https://diabetesatlas.org/</w:t>
          </w:r>
        </w:p>
        <w:p w14:paraId="25AFF396" w14:textId="77777777" w:rsidR="00047215" w:rsidRPr="00047215" w:rsidRDefault="00047215">
          <w:pPr>
            <w:autoSpaceDE w:val="0"/>
            <w:autoSpaceDN w:val="0"/>
            <w:ind w:hanging="640"/>
            <w:divId w:val="1674643532"/>
            <w:rPr>
              <w:sz w:val="16"/>
              <w:szCs w:val="16"/>
            </w:rPr>
          </w:pPr>
          <w:r w:rsidRPr="00047215">
            <w:rPr>
              <w:sz w:val="16"/>
              <w:szCs w:val="16"/>
            </w:rPr>
            <w:t>[2]</w:t>
          </w:r>
          <w:r w:rsidRPr="00047215">
            <w:rPr>
              <w:sz w:val="16"/>
              <w:szCs w:val="16"/>
            </w:rPr>
            <w:tab/>
            <w:t>“million”.</w:t>
          </w:r>
        </w:p>
        <w:p w14:paraId="6A2082D4" w14:textId="77777777" w:rsidR="00047215" w:rsidRPr="00047215" w:rsidRDefault="00047215">
          <w:pPr>
            <w:autoSpaceDE w:val="0"/>
            <w:autoSpaceDN w:val="0"/>
            <w:ind w:hanging="640"/>
            <w:divId w:val="1150515807"/>
            <w:rPr>
              <w:sz w:val="16"/>
              <w:szCs w:val="16"/>
            </w:rPr>
          </w:pPr>
          <w:r w:rsidRPr="00047215">
            <w:rPr>
              <w:sz w:val="16"/>
              <w:szCs w:val="16"/>
            </w:rPr>
            <w:t>[3]</w:t>
          </w:r>
          <w:r w:rsidRPr="00047215">
            <w:rPr>
              <w:sz w:val="16"/>
              <w:szCs w:val="16"/>
            </w:rPr>
            <w:tab/>
            <w:t xml:space="preserve">J. Wang </w:t>
          </w:r>
          <w:r w:rsidRPr="00047215">
            <w:rPr>
              <w:i/>
              <w:iCs/>
              <w:sz w:val="16"/>
              <w:szCs w:val="16"/>
            </w:rPr>
            <w:t>et al.</w:t>
          </w:r>
          <w:r w:rsidRPr="00047215">
            <w:rPr>
              <w:sz w:val="16"/>
              <w:szCs w:val="16"/>
            </w:rPr>
            <w:t xml:space="preserve">, “A metagenome-wide association study of gut microbiota in type 2 diabetes,” </w:t>
          </w:r>
          <w:r w:rsidRPr="00047215">
            <w:rPr>
              <w:i/>
              <w:iCs/>
              <w:sz w:val="16"/>
              <w:szCs w:val="16"/>
            </w:rPr>
            <w:t>Nature 2012 490:7418</w:t>
          </w:r>
          <w:r w:rsidRPr="00047215">
            <w:rPr>
              <w:sz w:val="16"/>
              <w:szCs w:val="16"/>
            </w:rPr>
            <w:t xml:space="preserve">, vol. 490, no. 7418, pp. 55–60, Sep. 2012, </w:t>
          </w:r>
          <w:proofErr w:type="spellStart"/>
          <w:r w:rsidRPr="00047215">
            <w:rPr>
              <w:sz w:val="16"/>
              <w:szCs w:val="16"/>
            </w:rPr>
            <w:t>doi</w:t>
          </w:r>
          <w:proofErr w:type="spellEnd"/>
          <w:r w:rsidRPr="00047215">
            <w:rPr>
              <w:sz w:val="16"/>
              <w:szCs w:val="16"/>
            </w:rPr>
            <w:t>: 10.1038/nature11450.</w:t>
          </w:r>
        </w:p>
        <w:p w14:paraId="130EF94D" w14:textId="7C47E7D6" w:rsidR="00047215" w:rsidRDefault="00047215" w:rsidP="00047215">
          <w:pPr>
            <w:pStyle w:val="References"/>
            <w:numPr>
              <w:ilvl w:val="0"/>
              <w:numId w:val="0"/>
            </w:numPr>
          </w:pPr>
          <w:r w:rsidRPr="00047215">
            <w:t> </w:t>
          </w:r>
        </w:p>
      </w:sdtContent>
    </w:sdt>
    <w:p w14:paraId="4675E848" w14:textId="77777777" w:rsidR="005C7DF8" w:rsidRDefault="005C7DF8" w:rsidP="000C09C8">
      <w:pPr>
        <w:pStyle w:val="AUBios"/>
        <w:rPr>
          <w:rStyle w:val="AUBiosbd"/>
        </w:rPr>
      </w:pPr>
    </w:p>
    <w:p w14:paraId="304557C7" w14:textId="77777777" w:rsidR="00047215" w:rsidRDefault="00047215" w:rsidP="000C09C8">
      <w:pPr>
        <w:pStyle w:val="AUBios"/>
        <w:rPr>
          <w:rStyle w:val="AUBiosbd"/>
        </w:rPr>
        <w:sectPr w:rsidR="00047215" w:rsidSect="00CB2DB1">
          <w:footerReference w:type="default" r:id="rId17"/>
          <w:type w:val="continuous"/>
          <w:pgSz w:w="11520" w:h="15660" w:code="1"/>
          <w:pgMar w:top="1300" w:right="740" w:bottom="1040" w:left="740" w:header="360" w:footer="640" w:gutter="0"/>
          <w:cols w:num="2" w:space="400"/>
          <w:docGrid w:linePitch="360"/>
        </w:sectPr>
      </w:pPr>
    </w:p>
    <w:p w14:paraId="55513F53" w14:textId="72B7C867" w:rsidR="000C09C8" w:rsidRPr="00BC119C" w:rsidRDefault="00BF71A1" w:rsidP="005C7DF8">
      <w:pPr>
        <w:pStyle w:val="AUBios"/>
        <w:spacing w:before="0"/>
        <w:rPr>
          <w:highlight w:val="yellow"/>
        </w:rPr>
      </w:pPr>
      <w:r w:rsidRPr="00BC119C">
        <w:rPr>
          <w:noProof/>
          <w:highlight w:val="yellow"/>
        </w:rPr>
        <w:drawing>
          <wp:anchor distT="0" distB="0" distL="114300" distR="114300" simplePos="0" relativeHeight="251658240" behindDoc="0" locked="0" layoutInCell="1" allowOverlap="1" wp14:anchorId="7E41A874" wp14:editId="0F900EEF">
            <wp:simplePos x="0" y="0"/>
            <wp:positionH relativeFrom="column">
              <wp:posOffset>0</wp:posOffset>
            </wp:positionH>
            <wp:positionV relativeFrom="paragraph">
              <wp:posOffset>8890</wp:posOffset>
            </wp:positionV>
            <wp:extent cx="914400" cy="1171575"/>
            <wp:effectExtent l="0" t="0" r="0" b="9525"/>
            <wp:wrapSquare wrapText="bothSides"/>
            <wp:docPr id="2" name="Picture 2" descr="\\192.168.0.8\Design2\Indesign Projects\005 Series\03 OA Word templates\Work\Access-Template\Images\Fig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0.8\Design2\Indesign Projects\005 Series\03 OA Word templates\Work\Access-Template\Images\Fig1.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1440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0C09C8" w:rsidRPr="00BC119C">
        <w:rPr>
          <w:rStyle w:val="AUBiosbd"/>
          <w:highlight w:val="yellow"/>
        </w:rPr>
        <w:t>FIRST A. AUTHOR</w:t>
      </w:r>
      <w:r w:rsidR="000C09C8" w:rsidRPr="00BC119C">
        <w:rPr>
          <w:rFonts w:cs="FormataOTFMd"/>
          <w:highlight w:val="yellow"/>
        </w:rPr>
        <w:t xml:space="preserve"> </w:t>
      </w:r>
      <w:r w:rsidR="000C09C8" w:rsidRPr="00BC119C">
        <w:rPr>
          <w:highlight w:val="yellow"/>
        </w:rPr>
        <w:t>(M’76–SM’81–F’87) and all authors may include biographies.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28F7401A" w14:textId="77777777" w:rsidR="000C09C8" w:rsidRPr="00BC119C" w:rsidRDefault="000C09C8" w:rsidP="000C09C8">
      <w:pPr>
        <w:pStyle w:val="AUBiosNoSpace"/>
        <w:rPr>
          <w:highlight w:val="yellow"/>
        </w:rPr>
      </w:pPr>
      <w:r w:rsidRPr="00BC119C">
        <w:rPr>
          <w:highlight w:val="yellow"/>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34AFBF78" w14:textId="51A13585" w:rsidR="000C09C8" w:rsidRPr="00BC119C" w:rsidRDefault="000C09C8" w:rsidP="000C09C8">
      <w:pPr>
        <w:pStyle w:val="AUBiosNoSpace"/>
        <w:rPr>
          <w:rStyle w:val="AUBiosbd"/>
          <w:highlight w:val="yellow"/>
        </w:rPr>
      </w:pPr>
      <w:r w:rsidRPr="00BC119C">
        <w:rPr>
          <w:highlight w:val="yellow"/>
        </w:rPr>
        <w:t>The third paragraph begins with the author’s title and last name (e.g., Dr. Smith, Prof. Jones, Mr. Kajor, Ms. Hunter). List any memberships in professional societies other than the IEEE. Finally, list any awards and work for IEEE committees and publications. If a photograph is provided, it should be of good quality, and professional-looking. Following are two examples of an author’s biography.</w:t>
      </w:r>
      <w:r w:rsidR="00BF71A1" w:rsidRPr="00BC119C">
        <w:rPr>
          <w:rFonts w:cs="Times New Roman"/>
          <w:snapToGrid w:val="0"/>
          <w:color w:val="000000"/>
          <w:w w:val="0"/>
          <w:sz w:val="0"/>
          <w:szCs w:val="0"/>
          <w:highlight w:val="yellow"/>
          <w:u w:color="000000"/>
          <w:bdr w:val="none" w:sz="0" w:space="0" w:color="000000"/>
          <w:shd w:val="clear" w:color="000000" w:fill="000000"/>
          <w:lang w:val="x-none" w:eastAsia="x-none" w:bidi="x-none"/>
        </w:rPr>
        <w:t xml:space="preserve"> </w:t>
      </w:r>
    </w:p>
    <w:p w14:paraId="0F285132" w14:textId="0DB4495F" w:rsidR="000C09C8" w:rsidRPr="00BC119C" w:rsidRDefault="00BF71A1" w:rsidP="000C09C8">
      <w:pPr>
        <w:pStyle w:val="AUBios"/>
        <w:rPr>
          <w:highlight w:val="yellow"/>
        </w:rPr>
      </w:pPr>
      <w:r w:rsidRPr="00BC119C">
        <w:rPr>
          <w:rFonts w:ascii="Helvetica" w:hAnsi="Helvetica"/>
          <w:b/>
          <w:bCs/>
          <w:noProof/>
          <w:highlight w:val="yellow"/>
        </w:rPr>
        <w:drawing>
          <wp:anchor distT="0" distB="0" distL="114300" distR="114300" simplePos="0" relativeHeight="251659264" behindDoc="0" locked="0" layoutInCell="1" allowOverlap="1" wp14:anchorId="5C6AC09B" wp14:editId="2E0EBF01">
            <wp:simplePos x="0" y="0"/>
            <wp:positionH relativeFrom="column">
              <wp:posOffset>7146</wp:posOffset>
            </wp:positionH>
            <wp:positionV relativeFrom="paragraph">
              <wp:posOffset>850265</wp:posOffset>
            </wp:positionV>
            <wp:extent cx="914400" cy="1143000"/>
            <wp:effectExtent l="0" t="0" r="0" b="0"/>
            <wp:wrapSquare wrapText="bothSides"/>
            <wp:docPr id="6" name="Picture 6" descr="\\192.168.0.8\Design2\Indesign Projects\005 Series\03 OA Word templates\Work\Access-Template\Fig-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2.168.0.8\Design2\Indesign Projects\005 Series\03 OA Word templates\Work\Access-Template\Fig-1.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09C8" w:rsidRPr="00BC119C">
        <w:rPr>
          <w:rFonts w:ascii="Helvetica" w:hAnsi="Helvetica"/>
          <w:b/>
          <w:bCs/>
          <w:highlight w:val="yellow"/>
        </w:rPr>
        <w:t>SECOND B. AUTHOR</w:t>
      </w:r>
      <w:r w:rsidR="000C09C8" w:rsidRPr="00BC119C">
        <w:rPr>
          <w:highlight w:val="yellow"/>
        </w:rPr>
        <w:t xml:space="preserve"> was born in Greenwich Village, New York, NY, USA in 1977. He received the B.S. and M.S. degrees in aerospace engineering from the University of Virginia, Charlottesville, in 2001 and the Ph.D. degree in mechanical engineering from Drexel University, Philadelphia, PA, in 2008.</w:t>
      </w:r>
    </w:p>
    <w:p w14:paraId="18BFAA1B" w14:textId="3C94C301" w:rsidR="000C09C8" w:rsidRPr="00BC119C" w:rsidRDefault="000C09C8" w:rsidP="000C09C8">
      <w:pPr>
        <w:pStyle w:val="AUBiosNoSpace"/>
        <w:rPr>
          <w:highlight w:val="yellow"/>
        </w:rPr>
      </w:pPr>
      <w:r w:rsidRPr="00BC119C">
        <w:rPr>
          <w:highlight w:val="yellow"/>
        </w:rPr>
        <w:t xml:space="preserve">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BC119C">
        <w:rPr>
          <w:rFonts w:ascii="Times-Italic" w:hAnsi="Times-Italic" w:cs="Times-Italic"/>
          <w:i/>
          <w:iCs/>
          <w:highlight w:val="yellow"/>
        </w:rPr>
        <w:t>Earth</w:t>
      </w:r>
      <w:r w:rsidRPr="00BC119C">
        <w:rPr>
          <w:highlight w:val="yellow"/>
        </w:rPr>
        <w:t xml:space="preserve">, </w:t>
      </w:r>
      <w:r w:rsidRPr="00BC119C">
        <w:rPr>
          <w:rFonts w:ascii="Times-Italic" w:hAnsi="Times-Italic" w:cs="Times-Italic"/>
          <w:i/>
          <w:iCs/>
          <w:highlight w:val="yellow"/>
        </w:rPr>
        <w:t>Moon</w:t>
      </w:r>
      <w:r w:rsidRPr="00BC119C">
        <w:rPr>
          <w:highlight w:val="yellow"/>
        </w:rPr>
        <w:t xml:space="preserve">, </w:t>
      </w:r>
      <w:r w:rsidRPr="00BC119C">
        <w:rPr>
          <w:rFonts w:ascii="Times-Italic" w:hAnsi="Times-Italic" w:cs="Times-Italic"/>
          <w:i/>
          <w:iCs/>
          <w:highlight w:val="yellow"/>
        </w:rPr>
        <w:t>Planets</w:t>
      </w:r>
      <w:r w:rsidRPr="00BC119C">
        <w:rPr>
          <w:highlight w:val="yellow"/>
        </w:rPr>
        <w:t xml:space="preserve">, and holds two patents. </w:t>
      </w:r>
    </w:p>
    <w:p w14:paraId="2AA4E2A7" w14:textId="755504A3" w:rsidR="00F02D75" w:rsidRPr="00BC119C" w:rsidRDefault="000C09C8" w:rsidP="000C09C8">
      <w:pPr>
        <w:pStyle w:val="AUBiosNoSpace"/>
        <w:rPr>
          <w:highlight w:val="yellow"/>
        </w:rPr>
      </w:pPr>
      <w:r w:rsidRPr="00BC119C">
        <w:rPr>
          <w:highlight w:val="yellow"/>
        </w:rPr>
        <w:t>Dr. Author was a recipient of the International Association of Geomagnetism and Aeronomy Young Scientist Award for Excellence in 2008, and the IEEE Electromagnetic Compatibility Society Best Symposium Paper Award in 2011.</w:t>
      </w:r>
    </w:p>
    <w:p w14:paraId="6EFCEA6E" w14:textId="5A663614" w:rsidR="0003253A" w:rsidRPr="0003253A" w:rsidRDefault="0003253A" w:rsidP="004230D4">
      <w:pPr>
        <w:pStyle w:val="AUBios"/>
        <w:spacing w:before="0"/>
      </w:pPr>
    </w:p>
    <w:p w14:paraId="77BA710C" w14:textId="77777777" w:rsidR="0003253A" w:rsidRPr="006A0B53" w:rsidRDefault="0003253A" w:rsidP="0003253A">
      <w:pPr>
        <w:pStyle w:val="AUBiosNoSpace"/>
        <w:ind w:firstLine="0"/>
      </w:pPr>
    </w:p>
    <w:sectPr w:rsidR="0003253A" w:rsidRPr="006A0B53" w:rsidSect="00CB2DB1">
      <w:footerReference w:type="default" r:id="rId20"/>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59455" w14:textId="77777777" w:rsidR="008E5314" w:rsidRDefault="008E5314">
      <w:r>
        <w:separator/>
      </w:r>
    </w:p>
  </w:endnote>
  <w:endnote w:type="continuationSeparator" w:id="0">
    <w:p w14:paraId="799006F0" w14:textId="77777777" w:rsidR="008E5314" w:rsidRDefault="008E5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ormata OTF">
    <w:altName w:val="Calibri"/>
    <w:panose1 w:val="00000000000000000000"/>
    <w:charset w:val="00"/>
    <w:family w:val="modern"/>
    <w:notTrueType/>
    <w:pitch w:val="variable"/>
    <w:sig w:usb0="8000002F" w:usb1="40000048"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B976A" w14:textId="77777777" w:rsidR="009C79C4" w:rsidRPr="00B979BB" w:rsidRDefault="009C79C4"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08833" w14:textId="5184F99D" w:rsidR="005C7DF8" w:rsidRPr="00B979BB" w:rsidRDefault="005C7DF8" w:rsidP="007A706D">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B6DD2" w14:textId="30D85FD1" w:rsidR="005C7DF8" w:rsidRPr="00B979BB" w:rsidRDefault="005C7DF8" w:rsidP="005C7DF8">
    <w:pPr>
      <w:pStyle w:val="Footer"/>
      <w:tabs>
        <w:tab w:val="clear" w:pos="4320"/>
        <w:tab w:val="clear" w:pos="8640"/>
        <w:tab w:val="center" w:pos="9540"/>
      </w:tabs>
      <w:rPr>
        <w:rFonts w:ascii="Helvetica" w:hAnsi="Helvetica"/>
        <w:sz w:val="12"/>
      </w:rPr>
    </w:pPr>
    <w:r>
      <w:rPr>
        <w:rFonts w:ascii="Helvetica" w:hAnsi="Helvetica" w:cs="FormataOTF-Reg"/>
        <w:sz w:val="12"/>
        <w:szCs w:val="14"/>
      </w:rPr>
      <w:t>8</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00545" w14:textId="77777777" w:rsidR="008E5314" w:rsidRDefault="008E5314">
      <w:r>
        <w:separator/>
      </w:r>
    </w:p>
  </w:footnote>
  <w:footnote w:type="continuationSeparator" w:id="0">
    <w:p w14:paraId="2E71DB3C" w14:textId="77777777" w:rsidR="008E5314" w:rsidRDefault="008E5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5B0C1" w14:textId="77777777" w:rsidR="009C79C4" w:rsidRPr="00E721A9" w:rsidRDefault="009C79C4"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6453F57"/>
    <w:multiLevelType w:val="multilevel"/>
    <w:tmpl w:val="CD96871E"/>
    <w:numStyleLink w:val="H2Restart"/>
  </w:abstractNum>
  <w:abstractNum w:abstractNumId="4"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6E735E"/>
    <w:multiLevelType w:val="multilevel"/>
    <w:tmpl w:val="CD96871E"/>
    <w:numStyleLink w:val="H2Restart"/>
  </w:abstractNum>
  <w:abstractNum w:abstractNumId="6"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4232A68"/>
    <w:multiLevelType w:val="multilevel"/>
    <w:tmpl w:val="A3CEC990"/>
    <w:numStyleLink w:val="H2afterH1New"/>
  </w:abstractNum>
  <w:abstractNum w:abstractNumId="8" w15:restartNumberingAfterBreak="0">
    <w:nsid w:val="197F4013"/>
    <w:multiLevelType w:val="multilevel"/>
    <w:tmpl w:val="CD96871E"/>
    <w:numStyleLink w:val="H2Restart"/>
  </w:abstractNum>
  <w:abstractNum w:abstractNumId="9"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1F74BC5"/>
    <w:multiLevelType w:val="multilevel"/>
    <w:tmpl w:val="CD96871E"/>
    <w:numStyleLink w:val="H2Restart"/>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A0841DE"/>
    <w:multiLevelType w:val="multilevel"/>
    <w:tmpl w:val="A3CEC990"/>
    <w:numStyleLink w:val="H2afterH1New"/>
  </w:abstractNum>
  <w:abstractNum w:abstractNumId="14" w15:restartNumberingAfterBreak="0">
    <w:nsid w:val="2E5117DB"/>
    <w:multiLevelType w:val="multilevel"/>
    <w:tmpl w:val="CD96871E"/>
    <w:numStyleLink w:val="H2Restart"/>
  </w:abstractNum>
  <w:abstractNum w:abstractNumId="15" w15:restartNumberingAfterBreak="0">
    <w:nsid w:val="2F754583"/>
    <w:multiLevelType w:val="hybridMultilevel"/>
    <w:tmpl w:val="FA38E1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34D1D"/>
    <w:multiLevelType w:val="multilevel"/>
    <w:tmpl w:val="CD96871E"/>
    <w:numStyleLink w:val="H2Restart"/>
  </w:abstractNum>
  <w:abstractNum w:abstractNumId="17"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4BF4C83"/>
    <w:multiLevelType w:val="multilevel"/>
    <w:tmpl w:val="CD96871E"/>
    <w:numStyleLink w:val="H2Restart"/>
  </w:abstractNum>
  <w:abstractNum w:abstractNumId="19" w15:restartNumberingAfterBreak="0">
    <w:nsid w:val="357A45C8"/>
    <w:multiLevelType w:val="multilevel"/>
    <w:tmpl w:val="CD96871E"/>
    <w:numStyleLink w:val="H2Restart"/>
  </w:abstractNum>
  <w:abstractNum w:abstractNumId="20"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2"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D90722D"/>
    <w:multiLevelType w:val="multilevel"/>
    <w:tmpl w:val="CD96871E"/>
    <w:numStyleLink w:val="H2Restart"/>
  </w:abstractNum>
  <w:abstractNum w:abstractNumId="25" w15:restartNumberingAfterBreak="0">
    <w:nsid w:val="442B60CD"/>
    <w:multiLevelType w:val="multilevel"/>
    <w:tmpl w:val="CD96871E"/>
    <w:numStyleLink w:val="H2Restart"/>
  </w:abstractNum>
  <w:abstractNum w:abstractNumId="26" w15:restartNumberingAfterBreak="0">
    <w:nsid w:val="4A1139B8"/>
    <w:multiLevelType w:val="multilevel"/>
    <w:tmpl w:val="BFB29B88"/>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A8B0ABB"/>
    <w:multiLevelType w:val="multilevel"/>
    <w:tmpl w:val="CD96871E"/>
    <w:numStyleLink w:val="H2Restart"/>
  </w:abstractNum>
  <w:abstractNum w:abstractNumId="28"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D6E47F2"/>
    <w:multiLevelType w:val="multilevel"/>
    <w:tmpl w:val="CD96871E"/>
    <w:numStyleLink w:val="H2Restart"/>
  </w:abstractNum>
  <w:abstractNum w:abstractNumId="30" w15:restartNumberingAfterBreak="0">
    <w:nsid w:val="50410D7D"/>
    <w:multiLevelType w:val="multilevel"/>
    <w:tmpl w:val="CD96871E"/>
    <w:numStyleLink w:val="H2Restart"/>
  </w:abstractNum>
  <w:abstractNum w:abstractNumId="31"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021B99"/>
    <w:multiLevelType w:val="multilevel"/>
    <w:tmpl w:val="CD96871E"/>
    <w:numStyleLink w:val="H2Restart"/>
  </w:abstractNum>
  <w:abstractNum w:abstractNumId="33" w15:restartNumberingAfterBreak="0">
    <w:nsid w:val="5B3417A4"/>
    <w:multiLevelType w:val="multilevel"/>
    <w:tmpl w:val="68E0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744E82"/>
    <w:multiLevelType w:val="multilevel"/>
    <w:tmpl w:val="CD96871E"/>
    <w:numStyleLink w:val="H2Restart"/>
  </w:abstractNum>
  <w:abstractNum w:abstractNumId="35"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4D460AA"/>
    <w:multiLevelType w:val="multilevel"/>
    <w:tmpl w:val="CD96871E"/>
    <w:numStyleLink w:val="H2Restart"/>
  </w:abstractNum>
  <w:abstractNum w:abstractNumId="37" w15:restartNumberingAfterBreak="0">
    <w:nsid w:val="651D64E4"/>
    <w:multiLevelType w:val="multilevel"/>
    <w:tmpl w:val="CD96871E"/>
    <w:numStyleLink w:val="H2Restart"/>
  </w:abstractNum>
  <w:abstractNum w:abstractNumId="38" w15:restartNumberingAfterBreak="0">
    <w:nsid w:val="685D76CD"/>
    <w:multiLevelType w:val="multilevel"/>
    <w:tmpl w:val="CD96871E"/>
    <w:numStyleLink w:val="H2Restart"/>
  </w:abstractNum>
  <w:abstractNum w:abstractNumId="39"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2FC6D80"/>
    <w:multiLevelType w:val="multilevel"/>
    <w:tmpl w:val="CD96871E"/>
    <w:numStyleLink w:val="H2Restart"/>
  </w:abstractNum>
  <w:num w:numId="1" w16cid:durableId="146632016">
    <w:abstractNumId w:val="0"/>
  </w:num>
  <w:num w:numId="2" w16cid:durableId="2139685392">
    <w:abstractNumId w:val="11"/>
  </w:num>
  <w:num w:numId="3" w16cid:durableId="1730304559">
    <w:abstractNumId w:val="21"/>
  </w:num>
  <w:num w:numId="4" w16cid:durableId="1904947642">
    <w:abstractNumId w:val="17"/>
  </w:num>
  <w:num w:numId="5" w16cid:durableId="2086564019">
    <w:abstractNumId w:val="35"/>
  </w:num>
  <w:num w:numId="6" w16cid:durableId="1720010044">
    <w:abstractNumId w:val="23"/>
  </w:num>
  <w:num w:numId="7" w16cid:durableId="1589195024">
    <w:abstractNumId w:val="9"/>
  </w:num>
  <w:num w:numId="8" w16cid:durableId="1483892291">
    <w:abstractNumId w:val="13"/>
  </w:num>
  <w:num w:numId="9" w16cid:durableId="572131377">
    <w:abstractNumId w:val="28"/>
  </w:num>
  <w:num w:numId="10" w16cid:durableId="282537363">
    <w:abstractNumId w:val="6"/>
  </w:num>
  <w:num w:numId="11" w16cid:durableId="653067656">
    <w:abstractNumId w:val="34"/>
  </w:num>
  <w:num w:numId="12" w16cid:durableId="255796949">
    <w:abstractNumId w:val="29"/>
  </w:num>
  <w:num w:numId="13" w16cid:durableId="511922190">
    <w:abstractNumId w:val="4"/>
  </w:num>
  <w:num w:numId="14" w16cid:durableId="1166827748">
    <w:abstractNumId w:val="5"/>
    <w:lvlOverride w:ilvl="0">
      <w:lvl w:ilvl="0">
        <w:start w:val="1"/>
        <w:numFmt w:val="upperLetter"/>
        <w:suff w:val="space"/>
        <w:lvlText w:val="%1."/>
        <w:lvlJc w:val="left"/>
        <w:pPr>
          <w:ind w:left="0" w:firstLine="0"/>
        </w:pPr>
        <w:rPr>
          <w:rFonts w:hint="default"/>
        </w:rPr>
      </w:lvl>
    </w:lvlOverride>
  </w:num>
  <w:num w:numId="15" w16cid:durableId="1487938667">
    <w:abstractNumId w:val="12"/>
  </w:num>
  <w:num w:numId="16" w16cid:durableId="1982534741">
    <w:abstractNumId w:val="26"/>
  </w:num>
  <w:num w:numId="17" w16cid:durableId="139330846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95729568">
    <w:abstractNumId w:val="39"/>
  </w:num>
  <w:num w:numId="19" w16cid:durableId="269047845">
    <w:abstractNumId w:val="3"/>
  </w:num>
  <w:num w:numId="20" w16cid:durableId="909580657">
    <w:abstractNumId w:val="2"/>
  </w:num>
  <w:num w:numId="21" w16cid:durableId="373579168">
    <w:abstractNumId w:val="24"/>
  </w:num>
  <w:num w:numId="22" w16cid:durableId="1745251843">
    <w:abstractNumId w:val="8"/>
  </w:num>
  <w:num w:numId="23" w16cid:durableId="2111774571">
    <w:abstractNumId w:val="16"/>
  </w:num>
  <w:num w:numId="24" w16cid:durableId="143159150">
    <w:abstractNumId w:val="37"/>
  </w:num>
  <w:num w:numId="25" w16cid:durableId="1312634794">
    <w:abstractNumId w:val="27"/>
  </w:num>
  <w:num w:numId="26" w16cid:durableId="237444995">
    <w:abstractNumId w:val="32"/>
  </w:num>
  <w:num w:numId="27" w16cid:durableId="376199287">
    <w:abstractNumId w:val="18"/>
  </w:num>
  <w:num w:numId="28" w16cid:durableId="1079518982">
    <w:abstractNumId w:val="25"/>
  </w:num>
  <w:num w:numId="29" w16cid:durableId="1536120966">
    <w:abstractNumId w:val="40"/>
  </w:num>
  <w:num w:numId="30" w16cid:durableId="1012683639">
    <w:abstractNumId w:val="10"/>
  </w:num>
  <w:num w:numId="31" w16cid:durableId="581259744">
    <w:abstractNumId w:val="38"/>
  </w:num>
  <w:num w:numId="32" w16cid:durableId="550194706">
    <w:abstractNumId w:val="19"/>
  </w:num>
  <w:num w:numId="33" w16cid:durableId="986592793">
    <w:abstractNumId w:val="36"/>
  </w:num>
  <w:num w:numId="34" w16cid:durableId="131562090">
    <w:abstractNumId w:val="30"/>
  </w:num>
  <w:num w:numId="35" w16cid:durableId="215555830">
    <w:abstractNumId w:val="22"/>
  </w:num>
  <w:num w:numId="36" w16cid:durableId="752821514">
    <w:abstractNumId w:val="14"/>
  </w:num>
  <w:num w:numId="37" w16cid:durableId="102464003">
    <w:abstractNumId w:val="20"/>
  </w:num>
  <w:num w:numId="38" w16cid:durableId="26297219">
    <w:abstractNumId w:val="15"/>
  </w:num>
  <w:num w:numId="39" w16cid:durableId="631059541">
    <w:abstractNumId w:val="7"/>
  </w:num>
  <w:num w:numId="40" w16cid:durableId="462891185">
    <w:abstractNumId w:val="1"/>
  </w:num>
  <w:num w:numId="41" w16cid:durableId="96431312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77785744">
    <w:abstractNumId w:val="31"/>
  </w:num>
  <w:num w:numId="43" w16cid:durableId="1094472151">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1006"/>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47215"/>
    <w:rsid w:val="000518DD"/>
    <w:rsid w:val="00052666"/>
    <w:rsid w:val="00052968"/>
    <w:rsid w:val="00057E9A"/>
    <w:rsid w:val="00060D60"/>
    <w:rsid w:val="00061511"/>
    <w:rsid w:val="00061B24"/>
    <w:rsid w:val="00065CD5"/>
    <w:rsid w:val="00067C21"/>
    <w:rsid w:val="00070737"/>
    <w:rsid w:val="000714C3"/>
    <w:rsid w:val="00071D5E"/>
    <w:rsid w:val="00076966"/>
    <w:rsid w:val="00083EC4"/>
    <w:rsid w:val="000844AB"/>
    <w:rsid w:val="00084BD2"/>
    <w:rsid w:val="00090D81"/>
    <w:rsid w:val="00090E84"/>
    <w:rsid w:val="0009131B"/>
    <w:rsid w:val="00091F92"/>
    <w:rsid w:val="00092C74"/>
    <w:rsid w:val="00094BAA"/>
    <w:rsid w:val="000A1FA2"/>
    <w:rsid w:val="000A3B16"/>
    <w:rsid w:val="000A40E6"/>
    <w:rsid w:val="000B2C18"/>
    <w:rsid w:val="000B330B"/>
    <w:rsid w:val="000B7135"/>
    <w:rsid w:val="000C01F4"/>
    <w:rsid w:val="000C09C8"/>
    <w:rsid w:val="000C0E3B"/>
    <w:rsid w:val="000C221B"/>
    <w:rsid w:val="000C426E"/>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5AFE"/>
    <w:rsid w:val="00186F4C"/>
    <w:rsid w:val="0019262C"/>
    <w:rsid w:val="001955E9"/>
    <w:rsid w:val="0019723F"/>
    <w:rsid w:val="001A4A79"/>
    <w:rsid w:val="001A773F"/>
    <w:rsid w:val="001A7827"/>
    <w:rsid w:val="001B18AC"/>
    <w:rsid w:val="001B1B9C"/>
    <w:rsid w:val="001B2F14"/>
    <w:rsid w:val="001B4688"/>
    <w:rsid w:val="001C2E5E"/>
    <w:rsid w:val="001C3B16"/>
    <w:rsid w:val="001C495F"/>
    <w:rsid w:val="001C597C"/>
    <w:rsid w:val="001D0247"/>
    <w:rsid w:val="001D0759"/>
    <w:rsid w:val="001D3924"/>
    <w:rsid w:val="001D3AED"/>
    <w:rsid w:val="001D4C0D"/>
    <w:rsid w:val="001D5027"/>
    <w:rsid w:val="001D5163"/>
    <w:rsid w:val="001D5407"/>
    <w:rsid w:val="001D6F48"/>
    <w:rsid w:val="001E3E87"/>
    <w:rsid w:val="001E4083"/>
    <w:rsid w:val="001E4698"/>
    <w:rsid w:val="001E69B5"/>
    <w:rsid w:val="001E6A66"/>
    <w:rsid w:val="001E6CFA"/>
    <w:rsid w:val="001F0601"/>
    <w:rsid w:val="001F4FA0"/>
    <w:rsid w:val="001F73C8"/>
    <w:rsid w:val="00200B38"/>
    <w:rsid w:val="00201A76"/>
    <w:rsid w:val="002025F9"/>
    <w:rsid w:val="00205C43"/>
    <w:rsid w:val="00207411"/>
    <w:rsid w:val="00210142"/>
    <w:rsid w:val="00210E41"/>
    <w:rsid w:val="00211824"/>
    <w:rsid w:val="002141C8"/>
    <w:rsid w:val="00215F8D"/>
    <w:rsid w:val="002170E6"/>
    <w:rsid w:val="00220965"/>
    <w:rsid w:val="00223B9B"/>
    <w:rsid w:val="00227DAA"/>
    <w:rsid w:val="00231E14"/>
    <w:rsid w:val="00234996"/>
    <w:rsid w:val="00241628"/>
    <w:rsid w:val="002428D8"/>
    <w:rsid w:val="00242C14"/>
    <w:rsid w:val="002467D5"/>
    <w:rsid w:val="00252416"/>
    <w:rsid w:val="00253CFC"/>
    <w:rsid w:val="002560D8"/>
    <w:rsid w:val="002633DB"/>
    <w:rsid w:val="0026796B"/>
    <w:rsid w:val="00275282"/>
    <w:rsid w:val="0028303E"/>
    <w:rsid w:val="00284674"/>
    <w:rsid w:val="00285B40"/>
    <w:rsid w:val="00285DD4"/>
    <w:rsid w:val="00293D7A"/>
    <w:rsid w:val="00295093"/>
    <w:rsid w:val="002967D4"/>
    <w:rsid w:val="002969CB"/>
    <w:rsid w:val="002A000F"/>
    <w:rsid w:val="002A048A"/>
    <w:rsid w:val="002A14BA"/>
    <w:rsid w:val="002A24AD"/>
    <w:rsid w:val="002A3234"/>
    <w:rsid w:val="002A4118"/>
    <w:rsid w:val="002A486E"/>
    <w:rsid w:val="002A529C"/>
    <w:rsid w:val="002B0C37"/>
    <w:rsid w:val="002B17AE"/>
    <w:rsid w:val="002B197E"/>
    <w:rsid w:val="002B379B"/>
    <w:rsid w:val="002B5DFD"/>
    <w:rsid w:val="002B62BC"/>
    <w:rsid w:val="002B7F19"/>
    <w:rsid w:val="002C2CCF"/>
    <w:rsid w:val="002C419A"/>
    <w:rsid w:val="002C707C"/>
    <w:rsid w:val="002D11FD"/>
    <w:rsid w:val="002D26B0"/>
    <w:rsid w:val="002D3E91"/>
    <w:rsid w:val="002D4A44"/>
    <w:rsid w:val="002D54D7"/>
    <w:rsid w:val="002D7313"/>
    <w:rsid w:val="002E02B1"/>
    <w:rsid w:val="002E396B"/>
    <w:rsid w:val="002E3D2C"/>
    <w:rsid w:val="002F1879"/>
    <w:rsid w:val="002F1D45"/>
    <w:rsid w:val="002F3420"/>
    <w:rsid w:val="002F42B2"/>
    <w:rsid w:val="002F63A1"/>
    <w:rsid w:val="003036BA"/>
    <w:rsid w:val="00304392"/>
    <w:rsid w:val="0030758F"/>
    <w:rsid w:val="00313105"/>
    <w:rsid w:val="003141B6"/>
    <w:rsid w:val="003146F4"/>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9F1"/>
    <w:rsid w:val="00351EDC"/>
    <w:rsid w:val="003520A4"/>
    <w:rsid w:val="00353818"/>
    <w:rsid w:val="003541F4"/>
    <w:rsid w:val="00355460"/>
    <w:rsid w:val="0035702D"/>
    <w:rsid w:val="00360535"/>
    <w:rsid w:val="003628EB"/>
    <w:rsid w:val="0036342D"/>
    <w:rsid w:val="00363602"/>
    <w:rsid w:val="003639EB"/>
    <w:rsid w:val="00364197"/>
    <w:rsid w:val="00373A9F"/>
    <w:rsid w:val="003756EB"/>
    <w:rsid w:val="003763CB"/>
    <w:rsid w:val="00380D62"/>
    <w:rsid w:val="00381001"/>
    <w:rsid w:val="0038145D"/>
    <w:rsid w:val="00382E5B"/>
    <w:rsid w:val="00383853"/>
    <w:rsid w:val="00384980"/>
    <w:rsid w:val="00385B5E"/>
    <w:rsid w:val="003874CB"/>
    <w:rsid w:val="00390B86"/>
    <w:rsid w:val="00391E44"/>
    <w:rsid w:val="00393CE8"/>
    <w:rsid w:val="003940D4"/>
    <w:rsid w:val="00394239"/>
    <w:rsid w:val="003A0AEE"/>
    <w:rsid w:val="003A5252"/>
    <w:rsid w:val="003A7420"/>
    <w:rsid w:val="003A75E8"/>
    <w:rsid w:val="003B2723"/>
    <w:rsid w:val="003B3AC6"/>
    <w:rsid w:val="003B3FFE"/>
    <w:rsid w:val="003C1744"/>
    <w:rsid w:val="003C615D"/>
    <w:rsid w:val="003D112E"/>
    <w:rsid w:val="003D12A0"/>
    <w:rsid w:val="003D1A98"/>
    <w:rsid w:val="003D3330"/>
    <w:rsid w:val="003D37D6"/>
    <w:rsid w:val="003D3FE2"/>
    <w:rsid w:val="003D4E93"/>
    <w:rsid w:val="003D640F"/>
    <w:rsid w:val="003D7316"/>
    <w:rsid w:val="003D7D09"/>
    <w:rsid w:val="003E17F3"/>
    <w:rsid w:val="003F7D7E"/>
    <w:rsid w:val="00402953"/>
    <w:rsid w:val="00410A00"/>
    <w:rsid w:val="0041108E"/>
    <w:rsid w:val="0041189C"/>
    <w:rsid w:val="004127AE"/>
    <w:rsid w:val="0041399D"/>
    <w:rsid w:val="00416591"/>
    <w:rsid w:val="00416D80"/>
    <w:rsid w:val="00417315"/>
    <w:rsid w:val="00420CA6"/>
    <w:rsid w:val="00422716"/>
    <w:rsid w:val="004230D4"/>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72EC"/>
    <w:rsid w:val="00477BF4"/>
    <w:rsid w:val="0048099D"/>
    <w:rsid w:val="004811E6"/>
    <w:rsid w:val="00482836"/>
    <w:rsid w:val="00482EE5"/>
    <w:rsid w:val="00483326"/>
    <w:rsid w:val="00486D54"/>
    <w:rsid w:val="00486E60"/>
    <w:rsid w:val="00491213"/>
    <w:rsid w:val="0049327F"/>
    <w:rsid w:val="00493B58"/>
    <w:rsid w:val="0049433A"/>
    <w:rsid w:val="004949B8"/>
    <w:rsid w:val="004A0234"/>
    <w:rsid w:val="004A11FE"/>
    <w:rsid w:val="004A465D"/>
    <w:rsid w:val="004A6349"/>
    <w:rsid w:val="004A7ADD"/>
    <w:rsid w:val="004B30CA"/>
    <w:rsid w:val="004B7C73"/>
    <w:rsid w:val="004C1DD3"/>
    <w:rsid w:val="004C23B8"/>
    <w:rsid w:val="004C41FA"/>
    <w:rsid w:val="004C6BFB"/>
    <w:rsid w:val="004D0892"/>
    <w:rsid w:val="004D0B9B"/>
    <w:rsid w:val="004D0E4A"/>
    <w:rsid w:val="004D67B3"/>
    <w:rsid w:val="004F105E"/>
    <w:rsid w:val="004F2C2F"/>
    <w:rsid w:val="004F6E39"/>
    <w:rsid w:val="004F7211"/>
    <w:rsid w:val="00500D8B"/>
    <w:rsid w:val="00502AFF"/>
    <w:rsid w:val="00504A78"/>
    <w:rsid w:val="00505244"/>
    <w:rsid w:val="00505C65"/>
    <w:rsid w:val="00506758"/>
    <w:rsid w:val="00510D59"/>
    <w:rsid w:val="00513F3E"/>
    <w:rsid w:val="005151B5"/>
    <w:rsid w:val="00517856"/>
    <w:rsid w:val="005206B2"/>
    <w:rsid w:val="00520DF1"/>
    <w:rsid w:val="00523407"/>
    <w:rsid w:val="00523A05"/>
    <w:rsid w:val="00525891"/>
    <w:rsid w:val="0052668A"/>
    <w:rsid w:val="00527F31"/>
    <w:rsid w:val="0053363E"/>
    <w:rsid w:val="005336C5"/>
    <w:rsid w:val="005376CB"/>
    <w:rsid w:val="00540BCE"/>
    <w:rsid w:val="005411C5"/>
    <w:rsid w:val="00541F28"/>
    <w:rsid w:val="0054241F"/>
    <w:rsid w:val="0054746D"/>
    <w:rsid w:val="00551F45"/>
    <w:rsid w:val="00555F01"/>
    <w:rsid w:val="0055767F"/>
    <w:rsid w:val="00564E0C"/>
    <w:rsid w:val="00565A4C"/>
    <w:rsid w:val="00566CE5"/>
    <w:rsid w:val="00570D65"/>
    <w:rsid w:val="005722AA"/>
    <w:rsid w:val="005762F3"/>
    <w:rsid w:val="00577FB4"/>
    <w:rsid w:val="00581E03"/>
    <w:rsid w:val="00583985"/>
    <w:rsid w:val="005842B4"/>
    <w:rsid w:val="00587CF1"/>
    <w:rsid w:val="005902A9"/>
    <w:rsid w:val="0059062E"/>
    <w:rsid w:val="00590A10"/>
    <w:rsid w:val="0059297F"/>
    <w:rsid w:val="00593176"/>
    <w:rsid w:val="00594006"/>
    <w:rsid w:val="00594D78"/>
    <w:rsid w:val="00594F41"/>
    <w:rsid w:val="00596126"/>
    <w:rsid w:val="005A0F28"/>
    <w:rsid w:val="005A11DA"/>
    <w:rsid w:val="005A299D"/>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5941"/>
    <w:rsid w:val="005F14FC"/>
    <w:rsid w:val="005F2A4C"/>
    <w:rsid w:val="005F36BF"/>
    <w:rsid w:val="005F7D12"/>
    <w:rsid w:val="00601262"/>
    <w:rsid w:val="00604D84"/>
    <w:rsid w:val="00607722"/>
    <w:rsid w:val="006129FD"/>
    <w:rsid w:val="00616EC7"/>
    <w:rsid w:val="0062116B"/>
    <w:rsid w:val="00622CC0"/>
    <w:rsid w:val="0062439C"/>
    <w:rsid w:val="00624A57"/>
    <w:rsid w:val="0062501A"/>
    <w:rsid w:val="006259D1"/>
    <w:rsid w:val="0063180F"/>
    <w:rsid w:val="00631923"/>
    <w:rsid w:val="00632C12"/>
    <w:rsid w:val="0063306E"/>
    <w:rsid w:val="00643136"/>
    <w:rsid w:val="0064321C"/>
    <w:rsid w:val="006452AD"/>
    <w:rsid w:val="00647B74"/>
    <w:rsid w:val="00650847"/>
    <w:rsid w:val="00650AC5"/>
    <w:rsid w:val="00652438"/>
    <w:rsid w:val="00653552"/>
    <w:rsid w:val="00654C7D"/>
    <w:rsid w:val="0065507F"/>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920B0"/>
    <w:rsid w:val="00692183"/>
    <w:rsid w:val="00692480"/>
    <w:rsid w:val="006932A5"/>
    <w:rsid w:val="006934C7"/>
    <w:rsid w:val="00697787"/>
    <w:rsid w:val="006A0B53"/>
    <w:rsid w:val="006A0DAB"/>
    <w:rsid w:val="006A190F"/>
    <w:rsid w:val="006A1C67"/>
    <w:rsid w:val="006A2937"/>
    <w:rsid w:val="006A3523"/>
    <w:rsid w:val="006B0525"/>
    <w:rsid w:val="006B24AE"/>
    <w:rsid w:val="006B6C9F"/>
    <w:rsid w:val="006C2A2F"/>
    <w:rsid w:val="006C550F"/>
    <w:rsid w:val="006C599B"/>
    <w:rsid w:val="006C69B6"/>
    <w:rsid w:val="006D02FC"/>
    <w:rsid w:val="006D096B"/>
    <w:rsid w:val="006D2F5B"/>
    <w:rsid w:val="006D31AB"/>
    <w:rsid w:val="006D446E"/>
    <w:rsid w:val="006D4A1A"/>
    <w:rsid w:val="006D5343"/>
    <w:rsid w:val="006D6A18"/>
    <w:rsid w:val="006D6BB5"/>
    <w:rsid w:val="006D7BFC"/>
    <w:rsid w:val="006E3B17"/>
    <w:rsid w:val="006F6C87"/>
    <w:rsid w:val="006F6F42"/>
    <w:rsid w:val="0070502C"/>
    <w:rsid w:val="007074FD"/>
    <w:rsid w:val="0070798C"/>
    <w:rsid w:val="00715990"/>
    <w:rsid w:val="0071635C"/>
    <w:rsid w:val="00720592"/>
    <w:rsid w:val="00721E50"/>
    <w:rsid w:val="00722E0A"/>
    <w:rsid w:val="00722FB0"/>
    <w:rsid w:val="00723860"/>
    <w:rsid w:val="007250AC"/>
    <w:rsid w:val="007268F5"/>
    <w:rsid w:val="00731485"/>
    <w:rsid w:val="00731792"/>
    <w:rsid w:val="00732067"/>
    <w:rsid w:val="0074265D"/>
    <w:rsid w:val="00742C4F"/>
    <w:rsid w:val="0074666A"/>
    <w:rsid w:val="007472D6"/>
    <w:rsid w:val="00753AD5"/>
    <w:rsid w:val="00754771"/>
    <w:rsid w:val="007573E5"/>
    <w:rsid w:val="00762309"/>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A706D"/>
    <w:rsid w:val="007A73F6"/>
    <w:rsid w:val="007B0961"/>
    <w:rsid w:val="007B2C20"/>
    <w:rsid w:val="007B42EE"/>
    <w:rsid w:val="007C4B89"/>
    <w:rsid w:val="007C59A9"/>
    <w:rsid w:val="007C6BED"/>
    <w:rsid w:val="007D55B1"/>
    <w:rsid w:val="007D57A8"/>
    <w:rsid w:val="007D73E9"/>
    <w:rsid w:val="007E0556"/>
    <w:rsid w:val="007E1456"/>
    <w:rsid w:val="007E17FA"/>
    <w:rsid w:val="007E44F5"/>
    <w:rsid w:val="007E4ED6"/>
    <w:rsid w:val="007E56C6"/>
    <w:rsid w:val="007F0C04"/>
    <w:rsid w:val="007F2F1F"/>
    <w:rsid w:val="007F46D2"/>
    <w:rsid w:val="007F4EC6"/>
    <w:rsid w:val="007F7FD1"/>
    <w:rsid w:val="00800B09"/>
    <w:rsid w:val="0080221D"/>
    <w:rsid w:val="00802FF6"/>
    <w:rsid w:val="00803F2B"/>
    <w:rsid w:val="008041BD"/>
    <w:rsid w:val="008053A6"/>
    <w:rsid w:val="00805B41"/>
    <w:rsid w:val="008105D3"/>
    <w:rsid w:val="00814D2E"/>
    <w:rsid w:val="008158A3"/>
    <w:rsid w:val="008166F7"/>
    <w:rsid w:val="008208C7"/>
    <w:rsid w:val="00825012"/>
    <w:rsid w:val="00827861"/>
    <w:rsid w:val="008310FF"/>
    <w:rsid w:val="00833C2D"/>
    <w:rsid w:val="008379B1"/>
    <w:rsid w:val="0084556B"/>
    <w:rsid w:val="0084716E"/>
    <w:rsid w:val="00853B01"/>
    <w:rsid w:val="00853F30"/>
    <w:rsid w:val="008540B3"/>
    <w:rsid w:val="0085574D"/>
    <w:rsid w:val="00855E21"/>
    <w:rsid w:val="00856CFF"/>
    <w:rsid w:val="0086016B"/>
    <w:rsid w:val="00860963"/>
    <w:rsid w:val="008612B0"/>
    <w:rsid w:val="008637A0"/>
    <w:rsid w:val="00864000"/>
    <w:rsid w:val="00864EFE"/>
    <w:rsid w:val="00865D5B"/>
    <w:rsid w:val="0086631A"/>
    <w:rsid w:val="0086796B"/>
    <w:rsid w:val="008757F8"/>
    <w:rsid w:val="008773E5"/>
    <w:rsid w:val="00881AEC"/>
    <w:rsid w:val="00884341"/>
    <w:rsid w:val="00884362"/>
    <w:rsid w:val="00885612"/>
    <w:rsid w:val="00887535"/>
    <w:rsid w:val="00887BB0"/>
    <w:rsid w:val="0089022F"/>
    <w:rsid w:val="008A05F2"/>
    <w:rsid w:val="008A240F"/>
    <w:rsid w:val="008B116A"/>
    <w:rsid w:val="008B2BCE"/>
    <w:rsid w:val="008B46A7"/>
    <w:rsid w:val="008B5F7B"/>
    <w:rsid w:val="008B7348"/>
    <w:rsid w:val="008C075C"/>
    <w:rsid w:val="008C093B"/>
    <w:rsid w:val="008C4341"/>
    <w:rsid w:val="008C5AA7"/>
    <w:rsid w:val="008C6D05"/>
    <w:rsid w:val="008D1510"/>
    <w:rsid w:val="008D384B"/>
    <w:rsid w:val="008D3922"/>
    <w:rsid w:val="008D44E3"/>
    <w:rsid w:val="008D4E58"/>
    <w:rsid w:val="008D7A2F"/>
    <w:rsid w:val="008E2ED6"/>
    <w:rsid w:val="008E4786"/>
    <w:rsid w:val="008E5314"/>
    <w:rsid w:val="008E5D55"/>
    <w:rsid w:val="008E66A1"/>
    <w:rsid w:val="008F26AD"/>
    <w:rsid w:val="008F2E64"/>
    <w:rsid w:val="008F2FB3"/>
    <w:rsid w:val="008F4B39"/>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60D1"/>
    <w:rsid w:val="009364DE"/>
    <w:rsid w:val="009405A9"/>
    <w:rsid w:val="00944628"/>
    <w:rsid w:val="00947BF1"/>
    <w:rsid w:val="0095097F"/>
    <w:rsid w:val="00950F2C"/>
    <w:rsid w:val="009512A7"/>
    <w:rsid w:val="009543EE"/>
    <w:rsid w:val="00967F32"/>
    <w:rsid w:val="009702DE"/>
    <w:rsid w:val="00971B64"/>
    <w:rsid w:val="00973331"/>
    <w:rsid w:val="00974712"/>
    <w:rsid w:val="00976266"/>
    <w:rsid w:val="00977BEF"/>
    <w:rsid w:val="0098218D"/>
    <w:rsid w:val="00990E54"/>
    <w:rsid w:val="00990F3D"/>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1BFF"/>
    <w:rsid w:val="009C4DE4"/>
    <w:rsid w:val="009C79C4"/>
    <w:rsid w:val="009D219C"/>
    <w:rsid w:val="009D22F8"/>
    <w:rsid w:val="009D2CDF"/>
    <w:rsid w:val="009D3510"/>
    <w:rsid w:val="009D72AA"/>
    <w:rsid w:val="009E393C"/>
    <w:rsid w:val="009E6008"/>
    <w:rsid w:val="009E6385"/>
    <w:rsid w:val="009E6EE9"/>
    <w:rsid w:val="009F0268"/>
    <w:rsid w:val="009F1F2E"/>
    <w:rsid w:val="009F4313"/>
    <w:rsid w:val="009F494B"/>
    <w:rsid w:val="00A009EA"/>
    <w:rsid w:val="00A06892"/>
    <w:rsid w:val="00A07761"/>
    <w:rsid w:val="00A12D02"/>
    <w:rsid w:val="00A139C5"/>
    <w:rsid w:val="00A17980"/>
    <w:rsid w:val="00A21E33"/>
    <w:rsid w:val="00A21E81"/>
    <w:rsid w:val="00A25047"/>
    <w:rsid w:val="00A30934"/>
    <w:rsid w:val="00A33184"/>
    <w:rsid w:val="00A33C56"/>
    <w:rsid w:val="00A36342"/>
    <w:rsid w:val="00A4099B"/>
    <w:rsid w:val="00A42896"/>
    <w:rsid w:val="00A43179"/>
    <w:rsid w:val="00A45310"/>
    <w:rsid w:val="00A4771A"/>
    <w:rsid w:val="00A50D78"/>
    <w:rsid w:val="00A52005"/>
    <w:rsid w:val="00A53223"/>
    <w:rsid w:val="00A57BE7"/>
    <w:rsid w:val="00A611EE"/>
    <w:rsid w:val="00A6545C"/>
    <w:rsid w:val="00A6563F"/>
    <w:rsid w:val="00A66CCA"/>
    <w:rsid w:val="00A67F48"/>
    <w:rsid w:val="00A704D5"/>
    <w:rsid w:val="00A70752"/>
    <w:rsid w:val="00A7774E"/>
    <w:rsid w:val="00A8467A"/>
    <w:rsid w:val="00A86C97"/>
    <w:rsid w:val="00A86DE0"/>
    <w:rsid w:val="00A86E28"/>
    <w:rsid w:val="00A92AC5"/>
    <w:rsid w:val="00A93E28"/>
    <w:rsid w:val="00AA6824"/>
    <w:rsid w:val="00AA701D"/>
    <w:rsid w:val="00AB4207"/>
    <w:rsid w:val="00AC2B6A"/>
    <w:rsid w:val="00AD0FD6"/>
    <w:rsid w:val="00AD7994"/>
    <w:rsid w:val="00AE0A20"/>
    <w:rsid w:val="00AE31C7"/>
    <w:rsid w:val="00AE3911"/>
    <w:rsid w:val="00AE3DD9"/>
    <w:rsid w:val="00AE709A"/>
    <w:rsid w:val="00AE784D"/>
    <w:rsid w:val="00AF108A"/>
    <w:rsid w:val="00AF7E75"/>
    <w:rsid w:val="00B005D4"/>
    <w:rsid w:val="00B00868"/>
    <w:rsid w:val="00B01558"/>
    <w:rsid w:val="00B02FB1"/>
    <w:rsid w:val="00B0645A"/>
    <w:rsid w:val="00B06847"/>
    <w:rsid w:val="00B07042"/>
    <w:rsid w:val="00B071FD"/>
    <w:rsid w:val="00B07868"/>
    <w:rsid w:val="00B1340A"/>
    <w:rsid w:val="00B159DB"/>
    <w:rsid w:val="00B21B6E"/>
    <w:rsid w:val="00B220B5"/>
    <w:rsid w:val="00B22EA9"/>
    <w:rsid w:val="00B24F0E"/>
    <w:rsid w:val="00B262E4"/>
    <w:rsid w:val="00B3043A"/>
    <w:rsid w:val="00B313EF"/>
    <w:rsid w:val="00B40077"/>
    <w:rsid w:val="00B42160"/>
    <w:rsid w:val="00B43D5E"/>
    <w:rsid w:val="00B45A43"/>
    <w:rsid w:val="00B45D4C"/>
    <w:rsid w:val="00B54914"/>
    <w:rsid w:val="00B5501D"/>
    <w:rsid w:val="00B61668"/>
    <w:rsid w:val="00B6613A"/>
    <w:rsid w:val="00B70AB8"/>
    <w:rsid w:val="00B7110A"/>
    <w:rsid w:val="00B71D96"/>
    <w:rsid w:val="00B73845"/>
    <w:rsid w:val="00B76BA6"/>
    <w:rsid w:val="00B76BE5"/>
    <w:rsid w:val="00B80094"/>
    <w:rsid w:val="00B81523"/>
    <w:rsid w:val="00B81683"/>
    <w:rsid w:val="00B85469"/>
    <w:rsid w:val="00B902AE"/>
    <w:rsid w:val="00B9337F"/>
    <w:rsid w:val="00B94BF5"/>
    <w:rsid w:val="00B958C0"/>
    <w:rsid w:val="00B979BB"/>
    <w:rsid w:val="00B97F8D"/>
    <w:rsid w:val="00BA020C"/>
    <w:rsid w:val="00BA0D9F"/>
    <w:rsid w:val="00BA31AE"/>
    <w:rsid w:val="00BA7B2F"/>
    <w:rsid w:val="00BB4689"/>
    <w:rsid w:val="00BB5D21"/>
    <w:rsid w:val="00BB6C89"/>
    <w:rsid w:val="00BB72FD"/>
    <w:rsid w:val="00BC1036"/>
    <w:rsid w:val="00BC119C"/>
    <w:rsid w:val="00BC2D8F"/>
    <w:rsid w:val="00BC4302"/>
    <w:rsid w:val="00BC57BB"/>
    <w:rsid w:val="00BD13D0"/>
    <w:rsid w:val="00BD2CE8"/>
    <w:rsid w:val="00BD2E2F"/>
    <w:rsid w:val="00BD6B49"/>
    <w:rsid w:val="00BD7DD2"/>
    <w:rsid w:val="00BE0B38"/>
    <w:rsid w:val="00BE1BCC"/>
    <w:rsid w:val="00BE4777"/>
    <w:rsid w:val="00BF47AC"/>
    <w:rsid w:val="00BF71A1"/>
    <w:rsid w:val="00C017C5"/>
    <w:rsid w:val="00C01E2F"/>
    <w:rsid w:val="00C02BA6"/>
    <w:rsid w:val="00C03393"/>
    <w:rsid w:val="00C05C30"/>
    <w:rsid w:val="00C061C7"/>
    <w:rsid w:val="00C07C7D"/>
    <w:rsid w:val="00C10F6F"/>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0F93"/>
    <w:rsid w:val="00C52B44"/>
    <w:rsid w:val="00C557BA"/>
    <w:rsid w:val="00C55C70"/>
    <w:rsid w:val="00C56EF3"/>
    <w:rsid w:val="00C57B14"/>
    <w:rsid w:val="00C65B54"/>
    <w:rsid w:val="00C71521"/>
    <w:rsid w:val="00C74121"/>
    <w:rsid w:val="00C74475"/>
    <w:rsid w:val="00C74538"/>
    <w:rsid w:val="00C74BFC"/>
    <w:rsid w:val="00C74C7A"/>
    <w:rsid w:val="00C8361D"/>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2DB1"/>
    <w:rsid w:val="00CB3F7E"/>
    <w:rsid w:val="00CB47FC"/>
    <w:rsid w:val="00CB7E0F"/>
    <w:rsid w:val="00CC06D9"/>
    <w:rsid w:val="00CC32B5"/>
    <w:rsid w:val="00CC6C12"/>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7E8F"/>
    <w:rsid w:val="00D81728"/>
    <w:rsid w:val="00D81AFE"/>
    <w:rsid w:val="00D828C6"/>
    <w:rsid w:val="00D91FF4"/>
    <w:rsid w:val="00D95FC4"/>
    <w:rsid w:val="00D965FD"/>
    <w:rsid w:val="00D96DFE"/>
    <w:rsid w:val="00D96EEF"/>
    <w:rsid w:val="00D97993"/>
    <w:rsid w:val="00DA2F9C"/>
    <w:rsid w:val="00DB0143"/>
    <w:rsid w:val="00DB45CB"/>
    <w:rsid w:val="00DB7966"/>
    <w:rsid w:val="00DC1FAF"/>
    <w:rsid w:val="00DC59D1"/>
    <w:rsid w:val="00DC7D0F"/>
    <w:rsid w:val="00DD2B2D"/>
    <w:rsid w:val="00DD6641"/>
    <w:rsid w:val="00DE168E"/>
    <w:rsid w:val="00DF172F"/>
    <w:rsid w:val="00DF17BF"/>
    <w:rsid w:val="00DF2140"/>
    <w:rsid w:val="00DF36B4"/>
    <w:rsid w:val="00DF49FE"/>
    <w:rsid w:val="00DF56B6"/>
    <w:rsid w:val="00DF65DE"/>
    <w:rsid w:val="00E02368"/>
    <w:rsid w:val="00E05091"/>
    <w:rsid w:val="00E05FFD"/>
    <w:rsid w:val="00E119C1"/>
    <w:rsid w:val="00E12A76"/>
    <w:rsid w:val="00E12DAF"/>
    <w:rsid w:val="00E15E99"/>
    <w:rsid w:val="00E1687C"/>
    <w:rsid w:val="00E17BCE"/>
    <w:rsid w:val="00E213C4"/>
    <w:rsid w:val="00E25C96"/>
    <w:rsid w:val="00E26C9C"/>
    <w:rsid w:val="00E3158C"/>
    <w:rsid w:val="00E32038"/>
    <w:rsid w:val="00E33CF9"/>
    <w:rsid w:val="00E35052"/>
    <w:rsid w:val="00E35309"/>
    <w:rsid w:val="00E356FE"/>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6C0D"/>
    <w:rsid w:val="00E87D96"/>
    <w:rsid w:val="00E90168"/>
    <w:rsid w:val="00E90A8F"/>
    <w:rsid w:val="00E90B4B"/>
    <w:rsid w:val="00E91452"/>
    <w:rsid w:val="00E93F89"/>
    <w:rsid w:val="00EA2030"/>
    <w:rsid w:val="00EA5D2D"/>
    <w:rsid w:val="00EB0BA5"/>
    <w:rsid w:val="00EB151B"/>
    <w:rsid w:val="00EB3128"/>
    <w:rsid w:val="00EB7F44"/>
    <w:rsid w:val="00EC189B"/>
    <w:rsid w:val="00EC2CC3"/>
    <w:rsid w:val="00EC3F6B"/>
    <w:rsid w:val="00EC5C8C"/>
    <w:rsid w:val="00EC7BD8"/>
    <w:rsid w:val="00EC7F67"/>
    <w:rsid w:val="00ED04DC"/>
    <w:rsid w:val="00ED0A07"/>
    <w:rsid w:val="00ED0B50"/>
    <w:rsid w:val="00ED1033"/>
    <w:rsid w:val="00ED3993"/>
    <w:rsid w:val="00ED4B30"/>
    <w:rsid w:val="00ED4E28"/>
    <w:rsid w:val="00ED5206"/>
    <w:rsid w:val="00ED72C1"/>
    <w:rsid w:val="00ED788C"/>
    <w:rsid w:val="00EE1CF4"/>
    <w:rsid w:val="00EE3AE2"/>
    <w:rsid w:val="00EE46FF"/>
    <w:rsid w:val="00EE4709"/>
    <w:rsid w:val="00EE6643"/>
    <w:rsid w:val="00EE71F1"/>
    <w:rsid w:val="00EF051A"/>
    <w:rsid w:val="00EF119F"/>
    <w:rsid w:val="00EF1336"/>
    <w:rsid w:val="00EF1E4E"/>
    <w:rsid w:val="00EF5356"/>
    <w:rsid w:val="00EF5447"/>
    <w:rsid w:val="00EF77D8"/>
    <w:rsid w:val="00F02D75"/>
    <w:rsid w:val="00F06E6E"/>
    <w:rsid w:val="00F11CFC"/>
    <w:rsid w:val="00F21756"/>
    <w:rsid w:val="00F218C8"/>
    <w:rsid w:val="00F22CEC"/>
    <w:rsid w:val="00F2489D"/>
    <w:rsid w:val="00F2502E"/>
    <w:rsid w:val="00F2743A"/>
    <w:rsid w:val="00F309E2"/>
    <w:rsid w:val="00F30EB0"/>
    <w:rsid w:val="00F35BA4"/>
    <w:rsid w:val="00F374DD"/>
    <w:rsid w:val="00F419EF"/>
    <w:rsid w:val="00F448F1"/>
    <w:rsid w:val="00F451D8"/>
    <w:rsid w:val="00F45366"/>
    <w:rsid w:val="00F479DE"/>
    <w:rsid w:val="00F50781"/>
    <w:rsid w:val="00F5116C"/>
    <w:rsid w:val="00F51EC5"/>
    <w:rsid w:val="00F53B86"/>
    <w:rsid w:val="00F54E71"/>
    <w:rsid w:val="00F556DC"/>
    <w:rsid w:val="00F56B6C"/>
    <w:rsid w:val="00F572C7"/>
    <w:rsid w:val="00F62237"/>
    <w:rsid w:val="00F62DC5"/>
    <w:rsid w:val="00F639C8"/>
    <w:rsid w:val="00F65DD1"/>
    <w:rsid w:val="00F70DB5"/>
    <w:rsid w:val="00F710F9"/>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1155"/>
    <w:rsid w:val="00FB3B21"/>
    <w:rsid w:val="00FB5202"/>
    <w:rsid w:val="00FC4A99"/>
    <w:rsid w:val="00FC5334"/>
    <w:rsid w:val="00FC5379"/>
    <w:rsid w:val="00FC5574"/>
    <w:rsid w:val="00FC6EA1"/>
    <w:rsid w:val="00FD44FC"/>
    <w:rsid w:val="00FD5695"/>
    <w:rsid w:val="00FD7030"/>
    <w:rsid w:val="00FD7B44"/>
    <w:rsid w:val="00FE0E6E"/>
    <w:rsid w:val="00FE3160"/>
    <w:rsid w:val="00FE5536"/>
    <w:rsid w:val="00FE76EC"/>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E2BAEBAB-C634-4EAA-A062-034D8B6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A06892"/>
    <w:pPr>
      <w:numPr>
        <w:numId w:val="37"/>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14141F"/>
    <w:pPr>
      <w:numPr>
        <w:numId w:val="3"/>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40"/>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CommentReference">
    <w:name w:val="annotation reference"/>
    <w:basedOn w:val="DefaultParagraphFont"/>
    <w:semiHidden/>
    <w:unhideWhenUsed/>
    <w:rsid w:val="006621CC"/>
    <w:rPr>
      <w:sz w:val="16"/>
      <w:szCs w:val="16"/>
    </w:rPr>
  </w:style>
  <w:style w:type="paragraph" w:styleId="CommentText">
    <w:name w:val="annotation text"/>
    <w:basedOn w:val="Normal"/>
    <w:link w:val="CommentTextChar"/>
    <w:unhideWhenUsed/>
    <w:rsid w:val="006621CC"/>
    <w:rPr>
      <w:sz w:val="20"/>
      <w:szCs w:val="20"/>
    </w:rPr>
  </w:style>
  <w:style w:type="character" w:customStyle="1" w:styleId="CommentTextChar">
    <w:name w:val="Comment Text Char"/>
    <w:basedOn w:val="DefaultParagraphFont"/>
    <w:link w:val="CommentText"/>
    <w:rsid w:val="006621CC"/>
    <w:rPr>
      <w:lang w:val="en-US" w:eastAsia="en-US"/>
    </w:rPr>
  </w:style>
  <w:style w:type="paragraph" w:styleId="CommentSubject">
    <w:name w:val="annotation subject"/>
    <w:basedOn w:val="CommentText"/>
    <w:next w:val="CommentText"/>
    <w:link w:val="CommentSubjectChar"/>
    <w:semiHidden/>
    <w:unhideWhenUsed/>
    <w:rsid w:val="006621CC"/>
    <w:rPr>
      <w:b/>
      <w:bCs/>
    </w:rPr>
  </w:style>
  <w:style w:type="character" w:customStyle="1" w:styleId="CommentSubjectChar">
    <w:name w:val="Comment Subject Char"/>
    <w:basedOn w:val="CommentTextChar"/>
    <w:link w:val="CommentSubject"/>
    <w:semiHidden/>
    <w:rsid w:val="006621CC"/>
    <w:rPr>
      <w:b/>
      <w:bCs/>
      <w:lang w:val="en-US" w:eastAsia="en-US"/>
    </w:rPr>
  </w:style>
  <w:style w:type="paragraph" w:customStyle="1" w:styleId="REFBUL">
    <w:name w:val="REF_BUL"/>
    <w:basedOn w:val="PARA"/>
    <w:qFormat/>
    <w:rsid w:val="001C495F"/>
    <w:pPr>
      <w:numPr>
        <w:numId w:val="42"/>
      </w:numPr>
      <w:ind w:left="480" w:hanging="240"/>
    </w:pPr>
    <w:rPr>
      <w:i/>
    </w:rPr>
  </w:style>
  <w:style w:type="paragraph" w:customStyle="1" w:styleId="REFTxt">
    <w:name w:val="REF_Txt"/>
    <w:basedOn w:val="Norma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character" w:styleId="Emphasis">
    <w:name w:val="Emphasis"/>
    <w:basedOn w:val="DefaultParagraphFont"/>
    <w:uiPriority w:val="20"/>
    <w:qFormat/>
    <w:rsid w:val="00505C65"/>
    <w:rPr>
      <w:i/>
      <w:iCs/>
    </w:rPr>
  </w:style>
  <w:style w:type="paragraph" w:styleId="BodyText">
    <w:name w:val="Body Text"/>
    <w:basedOn w:val="Normal"/>
    <w:link w:val="BodyTextChar"/>
    <w:rsid w:val="00B3043A"/>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B3043A"/>
    <w:rPr>
      <w:rFonts w:eastAsia="SimSun"/>
      <w:spacing w:val="-1"/>
      <w:lang w:val="x-none" w:eastAsia="x-none"/>
    </w:rPr>
  </w:style>
  <w:style w:type="character" w:styleId="PlaceholderText">
    <w:name w:val="Placeholder Text"/>
    <w:basedOn w:val="DefaultParagraphFont"/>
    <w:uiPriority w:val="99"/>
    <w:semiHidden/>
    <w:rsid w:val="001B18AC"/>
    <w:rPr>
      <w:color w:val="666666"/>
    </w:rPr>
  </w:style>
  <w:style w:type="paragraph" w:styleId="NormalWeb">
    <w:name w:val="Normal (Web)"/>
    <w:basedOn w:val="Normal"/>
    <w:semiHidden/>
    <w:unhideWhenUsed/>
    <w:rsid w:val="001D0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599296">
      <w:bodyDiv w:val="1"/>
      <w:marLeft w:val="0"/>
      <w:marRight w:val="0"/>
      <w:marTop w:val="0"/>
      <w:marBottom w:val="0"/>
      <w:divBdr>
        <w:top w:val="none" w:sz="0" w:space="0" w:color="auto"/>
        <w:left w:val="none" w:sz="0" w:space="0" w:color="auto"/>
        <w:bottom w:val="none" w:sz="0" w:space="0" w:color="auto"/>
        <w:right w:val="none" w:sz="0" w:space="0" w:color="auto"/>
      </w:divBdr>
      <w:divsChild>
        <w:div w:id="186337040">
          <w:marLeft w:val="640"/>
          <w:marRight w:val="0"/>
          <w:marTop w:val="0"/>
          <w:marBottom w:val="0"/>
          <w:divBdr>
            <w:top w:val="none" w:sz="0" w:space="0" w:color="auto"/>
            <w:left w:val="none" w:sz="0" w:space="0" w:color="auto"/>
            <w:bottom w:val="none" w:sz="0" w:space="0" w:color="auto"/>
            <w:right w:val="none" w:sz="0" w:space="0" w:color="auto"/>
          </w:divBdr>
        </w:div>
        <w:div w:id="1142039266">
          <w:marLeft w:val="640"/>
          <w:marRight w:val="0"/>
          <w:marTop w:val="0"/>
          <w:marBottom w:val="0"/>
          <w:divBdr>
            <w:top w:val="none" w:sz="0" w:space="0" w:color="auto"/>
            <w:left w:val="none" w:sz="0" w:space="0" w:color="auto"/>
            <w:bottom w:val="none" w:sz="0" w:space="0" w:color="auto"/>
            <w:right w:val="none" w:sz="0" w:space="0" w:color="auto"/>
          </w:divBdr>
        </w:div>
        <w:div w:id="916942007">
          <w:marLeft w:val="640"/>
          <w:marRight w:val="0"/>
          <w:marTop w:val="0"/>
          <w:marBottom w:val="0"/>
          <w:divBdr>
            <w:top w:val="none" w:sz="0" w:space="0" w:color="auto"/>
            <w:left w:val="none" w:sz="0" w:space="0" w:color="auto"/>
            <w:bottom w:val="none" w:sz="0" w:space="0" w:color="auto"/>
            <w:right w:val="none" w:sz="0" w:space="0" w:color="auto"/>
          </w:divBdr>
        </w:div>
      </w:divsChild>
    </w:div>
    <w:div w:id="998313763">
      <w:bodyDiv w:val="1"/>
      <w:marLeft w:val="0"/>
      <w:marRight w:val="0"/>
      <w:marTop w:val="0"/>
      <w:marBottom w:val="0"/>
      <w:divBdr>
        <w:top w:val="none" w:sz="0" w:space="0" w:color="auto"/>
        <w:left w:val="none" w:sz="0" w:space="0" w:color="auto"/>
        <w:bottom w:val="none" w:sz="0" w:space="0" w:color="auto"/>
        <w:right w:val="none" w:sz="0" w:space="0" w:color="auto"/>
      </w:divBdr>
    </w:div>
    <w:div w:id="1267032418">
      <w:bodyDiv w:val="1"/>
      <w:marLeft w:val="0"/>
      <w:marRight w:val="0"/>
      <w:marTop w:val="0"/>
      <w:marBottom w:val="0"/>
      <w:divBdr>
        <w:top w:val="none" w:sz="0" w:space="0" w:color="auto"/>
        <w:left w:val="none" w:sz="0" w:space="0" w:color="auto"/>
        <w:bottom w:val="none" w:sz="0" w:space="0" w:color="auto"/>
        <w:right w:val="none" w:sz="0" w:space="0" w:color="auto"/>
      </w:divBdr>
    </w:div>
    <w:div w:id="1336765961">
      <w:bodyDiv w:val="1"/>
      <w:marLeft w:val="0"/>
      <w:marRight w:val="0"/>
      <w:marTop w:val="0"/>
      <w:marBottom w:val="0"/>
      <w:divBdr>
        <w:top w:val="none" w:sz="0" w:space="0" w:color="auto"/>
        <w:left w:val="none" w:sz="0" w:space="0" w:color="auto"/>
        <w:bottom w:val="none" w:sz="0" w:space="0" w:color="auto"/>
        <w:right w:val="none" w:sz="0" w:space="0" w:color="auto"/>
      </w:divBdr>
    </w:div>
    <w:div w:id="1755862222">
      <w:bodyDiv w:val="1"/>
      <w:marLeft w:val="0"/>
      <w:marRight w:val="0"/>
      <w:marTop w:val="0"/>
      <w:marBottom w:val="0"/>
      <w:divBdr>
        <w:top w:val="none" w:sz="0" w:space="0" w:color="auto"/>
        <w:left w:val="none" w:sz="0" w:space="0" w:color="auto"/>
        <w:bottom w:val="none" w:sz="0" w:space="0" w:color="auto"/>
        <w:right w:val="none" w:sz="0" w:space="0" w:color="auto"/>
      </w:divBdr>
    </w:div>
    <w:div w:id="2033451876">
      <w:bodyDiv w:val="1"/>
      <w:marLeft w:val="0"/>
      <w:marRight w:val="0"/>
      <w:marTop w:val="0"/>
      <w:marBottom w:val="0"/>
      <w:divBdr>
        <w:top w:val="none" w:sz="0" w:space="0" w:color="auto"/>
        <w:left w:val="none" w:sz="0" w:space="0" w:color="auto"/>
        <w:bottom w:val="none" w:sz="0" w:space="0" w:color="auto"/>
        <w:right w:val="none" w:sz="0" w:space="0" w:color="auto"/>
      </w:divBdr>
      <w:divsChild>
        <w:div w:id="1818574660">
          <w:marLeft w:val="640"/>
          <w:marRight w:val="0"/>
          <w:marTop w:val="0"/>
          <w:marBottom w:val="0"/>
          <w:divBdr>
            <w:top w:val="none" w:sz="0" w:space="0" w:color="auto"/>
            <w:left w:val="none" w:sz="0" w:space="0" w:color="auto"/>
            <w:bottom w:val="none" w:sz="0" w:space="0" w:color="auto"/>
            <w:right w:val="none" w:sz="0" w:space="0" w:color="auto"/>
          </w:divBdr>
        </w:div>
        <w:div w:id="1674643532">
          <w:marLeft w:val="640"/>
          <w:marRight w:val="0"/>
          <w:marTop w:val="0"/>
          <w:marBottom w:val="0"/>
          <w:divBdr>
            <w:top w:val="none" w:sz="0" w:space="0" w:color="auto"/>
            <w:left w:val="none" w:sz="0" w:space="0" w:color="auto"/>
            <w:bottom w:val="none" w:sz="0" w:space="0" w:color="auto"/>
            <w:right w:val="none" w:sz="0" w:space="0" w:color="auto"/>
          </w:divBdr>
        </w:div>
        <w:div w:id="115051580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tif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mrepo.humangut.info/home" TargetMode="External"/><Relationship Id="rId19" Type="http://schemas.openxmlformats.org/officeDocument/2006/relationships/image" Target="media/image9.tif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FB05F88-4558-4261-BD62-6AB893098CDA}"/>
      </w:docPartPr>
      <w:docPartBody>
        <w:p w:rsidR="00FD7DF6" w:rsidRDefault="00AF598A">
          <w:r w:rsidRPr="0056417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ormata OTF">
    <w:altName w:val="Calibri"/>
    <w:panose1 w:val="00000000000000000000"/>
    <w:charset w:val="00"/>
    <w:family w:val="modern"/>
    <w:notTrueType/>
    <w:pitch w:val="variable"/>
    <w:sig w:usb0="8000002F" w:usb1="40000048"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8A"/>
    <w:rsid w:val="00405A7F"/>
    <w:rsid w:val="005A0F28"/>
    <w:rsid w:val="00944628"/>
    <w:rsid w:val="00AF598A"/>
    <w:rsid w:val="00F14A10"/>
    <w:rsid w:val="00FD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598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062509-EB37-422A-9E10-228FC72F7B75}">
  <we:reference id="wa104382081" version="1.55.1.0" store="pt-PT" storeType="OMEX"/>
  <we:alternateReferences>
    <we:reference id="wa104382081" version="1.55.1.0" store="pt-PT" storeType="OMEX"/>
  </we:alternateReferences>
  <we:properties>
    <we:property name="MENDELEY_CITATIONS" value="[{&quot;citationID&quot;:&quot;MENDELEY_CITATION_d598782f-64c4-4ef9-9f70-0d1229bc3304&quot;,&quot;properties&quot;:{&quot;noteIndex&quot;:0},&quot;isEdited&quot;:false,&quot;manualOverride&quot;:{&quot;isManuallyOverridden&quot;:false,&quot;citeprocText&quot;:&quot;[1]&quot;,&quot;manualOverrideText&quot;:&quot;&quot;},&quot;citationTag&quot;:&quot;MENDELEY_CITATION_v3_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&quot;,&quot;citationItems&quot;:[{&quot;id&quot;:&quot;a6471966-a9c7-3d97-8656-e3c9ba6e940b&quot;,&quot;itemData&quot;:{&quot;type&quot;:&quot;webpage&quot;,&quot;id&quot;:&quot;a6471966-a9c7-3d97-8656-e3c9ba6e940b&quot;,&quot;title&quot;:&quot;IDF Diabetes Atlas | Global Diabetes Data &amp; Statistics&quot;,&quot;groupId&quot;:&quot;37732c91-5f5e-3b5f-84f4-17eae6b7da37&quot;,&quot;accessed&quot;:{&quot;date-parts&quot;:[[2025,4,26]]},&quot;URL&quot;:&quot;https://diabetesatlas.org/&quot;},&quot;isTemporary&quot;:false}]},{&quot;citationID&quot;:&quot;MENDELEY_CITATION_dce55684-6333-4b06-8795-b0e7cb17c495&quot;,&quot;properties&quot;:{&quot;noteIndex&quot;:0},&quot;isEdited&quot;:false,&quot;manualOverride&quot;:{&quot;isManuallyOverridden&quot;:false,&quot;citeprocText&quot;:&quot;[2]&quot;,&quot;manualOverrideText&quot;:&quot;&quot;},&quot;citationTag&quot;:&quot;MENDELEY_CITATION_v3_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&quot;,&quot;citationItems&quot;:[{&quot;id&quot;:&quot;6b3709e2-67ca-3174-86e7-fbaf761857d9&quot;,&quot;itemData&quot;:{&quot;type&quot;:&quot;article-journal&quot;,&quot;id&quot;:&quot;6b3709e2-67ca-3174-86e7-fbaf761857d9&quot;,&quot;title&quot;:&quot;million&quot;,&quot;groupId&quot;:&quot;37732c91-5f5e-3b5f-84f4-17eae6b7da37&quot;,&quot;accessed&quot;:{&quot;date-parts&quot;:[[2025,4,26]]}},&quot;isTemporary&quot;:false}]},{&quot;citationID&quot;:&quot;MENDELEY_CITATION_4c93d8e7-86e7-4348-b552-6ea6c22b5260&quot;,&quot;properties&quot;:{&quot;noteIndex&quot;:0},&quot;isEdited&quot;:false,&quot;manualOverride&quot;:{&quot;isManuallyOverridden&quot;:false,&quot;citeprocText&quot;:&quot;[3]&quot;,&quot;manualOverrideText&quot;:&quot;&quot;},&quot;citationTag&quot;:&quot;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&quot;,&quot;citationItems&quot;:[{&quot;id&quot;:&quot;4802714f-9a4e-3623-9154-ba85d9257be0&quot;,&quot;itemData&quot;:{&quot;type&quot;:&quot;article-journal&quot;,&quot;id&quot;:&quot;4802714f-9a4e-3623-9154-ba85d9257be0&quot;,&quot;title&quot;:&quot;A metagenome-wide association study of gut microbiota in type 2 diabetes&quot;,&quot;groupId&quot;:&quot;37732c91-5f5e-3b5f-84f4-17eae6b7da37&quot;,&quot;author&quot;:[{&quot;family&quot;:&quot;Wang&quot;,&quot;given&quot;:&quot;Jun&quot;,&quot;parse-names&quot;:false,&quot;dropping-particle&quot;:&quot;&quot;,&quot;non-dropping-particle&quot;:&quot;&quot;},{&quot;family&quot;:&quot;Qin&quot;,&quot;given&quot;:&quot;Junjie&quot;,&quot;parse-names&quot;:false,&quot;dropping-particle&quot;:&quot;&quot;,&quot;non-dropping-particle&quot;:&quot;&quot;},{&quot;family&quot;:&quot;Li&quot;,&quot;given&quot;:&quot;Yingrui&quot;,&quot;parse-names&quot;:false,&quot;dropping-particle&quot;:&quot;&quot;,&quot;non-dropping-particle&quot;:&quot;&quot;},{&quot;family&quot;:&quot;Cai&quot;,&quot;given&quot;:&quot;Zhiming&quot;,&quot;parse-names&quot;:false,&quot;dropping-particle&quot;:&quot;&quot;,&quot;non-dropping-particle&quot;:&quot;&quot;},{&quot;family&quot;:&quot;Li&quot;,&quot;given&quot;:&quot;Shenghui&quot;,&quot;parse-names&quot;:false,&quot;dropping-particle&quot;:&quot;&quot;,&quot;non-dropping-particle&quot;:&quot;&quot;},{&quot;family&quot;:&quot;Zhu&quot;,&quot;given&quot;:&quot;Jianfeng&quot;,&quot;parse-names&quot;:false,&quot;dropping-particle&quot;:&quot;&quot;,&quot;non-dropping-particle&quot;:&quot;&quot;},{&quot;family&quot;:&quot;Zhang&quot;,&quot;given&quot;:&quot;Fan&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Wenwei&quot;,&quot;parse-names&quot;:false,&quot;dropping-particle&quot;:&quot;&quot;,&quot;non-dropping-particle&quot;:&quot;&quot;},{&quot;family&quot;:&quot;Guan&quot;,&quot;given&quot;:&quot;Yuanlin&quot;,&quot;parse-names&quot;:false,&quot;dropping-particle&quot;:&quot;&quot;,&quot;non-dropping-particle&quot;:&quot;&quot;},{&quot;family&quot;:&quot;Shen&quot;,&quot;given&quot;:&quot;Dongqian&quot;,&quot;parse-names&quot;:false,&quot;dropping-particle&quot;:&quot;&quot;,&quot;non-dropping-particle&quot;:&quot;&quot;},{&quot;family&quot;:&quot;Peng&quot;,&quot;given&quot;:&quot;Yangqing&quot;,&quot;parse-names&quot;:false,&quot;dropping-particle&quot;:&quot;&quot;,&quot;non-dropping-particle&quot;:&quot;&quot;},{&quot;family&quot;:&quot;Zhang&quot;,&quot;given&quot;:&quot;Dongya&quot;,&quot;parse-names&quot;:false,&quot;dropping-particle&quot;:&quot;&quot;,&quot;non-dropping-particle&quot;:&quot;&quot;},{&quot;family&quot;:&quot;Jie&quot;,&quot;given&quot;:&quot;Zhuye&quot;,&quot;parse-names&quot;:false,&quot;dropping-particle&quot;:&quot;&quot;,&quot;non-dropping-particle&quot;:&quot;&quot;},{&quot;family&quot;:&quot;Wu&quot;,&quot;given&quot;:&quot;Wenxian&quot;,&quot;parse-names&quot;:false,&quot;dropping-particle&quot;:&quot;&quot;,&quot;non-dropping-particle&quot;:&quot;&quot;},{&quot;family&quot;:&quot;Qin&quot;,&quot;given&quot;:&quot;Youwen&quot;,&quot;parse-names&quot;:false,&quot;dropping-particle&quot;:&quot;&quot;,&quot;non-dropping-particle&quot;:&quot;&quot;},{&quot;family&quot;:&quot;Xue&quot;,&quot;given&quot;:&quot;Wenbin&quot;,&quot;parse-names&quot;:false,&quot;dropping-particle&quot;:&quot;&quot;,&quot;non-dropping-particle&quot;:&quot;&quot;},{&quot;family&quot;:&quot;Li&quot;,&quot;given&quot;:&quot;Junhua&quot;,&quot;parse-names&quot;:false,&quot;dropping-particle&quot;:&quot;&quot;,&quot;non-dropping-particle&quot;:&quot;&quot;},{&quot;family&quot;:&quot;Han&quot;,&quot;given&quot;:&quot;Lingchuan&quot;,&quot;parse-names&quot;:false,&quot;dropping-particle&quot;:&quot;&quot;,&quot;non-dropping-particle&quot;:&quot;&quot;},{&quot;family&quot;:&quot;Lu&quot;,&quot;given&quot;:&quot;Donghui&quot;,&quot;parse-names&quot;:false,&quot;dropping-particle&quot;:&quot;&quot;,&quot;non-dropping-particle&quot;:&quot;&quot;},{&quot;family&quot;:&quot;Wu&quot;,&quot;given&quot;:&quot;Peixian&quot;,&quot;parse-names&quot;:false,&quot;dropping-particle&quot;:&quot;&quot;,&quot;non-dropping-particle&quot;:&quot;&quot;},{&quot;family&quot;:&quot;Dai&quot;,&quot;given&quot;:&quot;Yali&quot;,&quot;parse-names&quot;:false,&quot;dropping-particle&quot;:&quot;&quot;,&quot;non-dropping-particle&quot;:&quot;&quot;},{&quot;family&quot;:&quot;Sun&quot;,&quot;given&quot;:&quot;Xiaojuan&quot;,&quot;parse-names&quot;:false,&quot;dropping-particle&quot;:&quot;&quot;,&quot;non-dropping-particle&quot;:&quot;&quot;},{&quot;family&quot;:&quot;Li&quot;,&quot;given&quot;:&quot;Zesong&quot;,&quot;parse-names&quot;:false,&quot;dropping-particle&quot;:&quot;&quot;,&quot;non-dropping-particle&quot;:&quot;&quot;},{&quot;family&quot;:&quot;Tang&quot;,&quot;given&quot;:&quot;Aifa&quot;,&quot;parse-names&quot;:false,&quot;dropping-particle&quot;:&quot;&quot;,&quot;non-dropping-particle&quot;:&quot;&quot;},{&quot;family&quot;:&quot;Zhong&quot;,&quot;given&quot;:&quot;Shilong&quot;,&quot;parse-names&quot;:false,&quot;dropping-particle&quot;:&quot;&quot;,&quot;non-dropping-particle&quot;:&quot;&quot;},{&quot;family&quot;:&quot;Li&quot;,&quot;given&quot;:&quot;Xiaoping&quot;,&quot;parse-names&quot;:false,&quot;dropping-particle&quot;:&quot;&quot;,&quot;non-dropping-particle&quot;:&quot;&quot;},{&quot;family&quot;:&quot;Chen&quot;,&quot;given&quot;:&quot;Weineng&quot;,&quot;parse-names&quot;:false,&quot;dropping-particle&quot;:&quot;&quot;,&quot;non-dropping-particle&quot;:&quot;&quot;},{&quot;family&quot;:&quot;Xu&quot;,&quot;given&quot;:&quot;Ran&quot;,&quot;parse-names&quot;:false,&quot;dropping-particle&quot;:&quot;&quot;,&quot;non-dropping-particle&quot;:&quot;&quot;},{&quot;family&quot;:&quot;Wang&quot;,&quot;given&quot;:&quot;Mingbang&quot;,&quot;parse-names&quot;:false,&quot;dropping-particle&quot;:&quot;&quot;,&quot;non-dropping-particle&quot;:&quot;&quot;},{&quot;family&quot;:&quot;Feng&quot;,&quot;given&quot;:&quot;Qiang&quot;,&quot;parse-names&quot;:false,&quot;dropping-particle&quot;:&quot;&quot;,&quot;non-dropping-particle&quot;:&quot;&quot;},{&quot;family&quot;:&quot;Gong&quot;,&quot;given&quot;:&quot;Meihua&quot;,&quot;parse-names&quot;:false,&quot;dropping-particle&quot;:&quot;&quot;,&quot;non-dropping-particle&quot;:&quot;&quot;},{&quot;family&quot;:&quot;Yu&quot;,&quot;given&quot;:&quot;Jing&quot;,&quot;parse-names&quot;:false,&quot;dropping-particle&quot;:&quot;&quot;,&quot;non-dropping-particle&quot;:&quot;&quot;},{&quot;family&quot;:&quot;Zhang&quot;,&quot;given&quot;:&quot;Yanyan&quot;,&quot;parse-names&quot;:false,&quot;dropping-particle&quot;:&quot;&quot;,&quot;non-dropping-particle&quot;:&quot;&quot;},{&quot;family&quot;:&quot;Zhang&quot;,&quot;given&quot;:&quot;Ming&quot;,&quot;parse-names&quot;:false,&quot;dropping-particle&quot;:&quot;&quot;,&quot;non-dropping-particle&quot;:&quot;&quot;},{&quot;family&quot;:&quot;Hansen&quot;,&quot;given&quot;:&quot;Torben&quot;,&quot;parse-names&quot;:false,&quot;dropping-particle&quot;:&quot;&quot;,&quot;non-dropping-particle&quot;:&quot;&quot;},{&quot;family&quot;:&quot;Sanchez&quot;,&quot;given&quot;:&quot;Gaston&quot;,&quot;parse-names&quot;:false,&quot;dropping-particle&quot;:&quot;&quot;,&quot;non-dropping-particle&quot;:&quot;&quot;},{&quot;family&quot;:&quot;Raes&quot;,&quot;given&quot;:&quot;Jeroen&quot;,&quot;parse-names&quot;:false,&quot;dropping-particle&quot;:&quot;&quot;,&quot;non-dropping-particle&quot;:&quot;&quot;},{&quot;family&quot;:&quot;Falony&quot;,&quot;given&quot;:&quot;Gwen&quot;,&quot;parse-names&quot;:false,&quot;dropping-particle&quot;:&quot;&quot;,&quot;non-dropping-particle&quot;:&quot;&quot;},{&quot;family&quot;:&quot;Okuda&quot;,&quot;given&quot;:&quot;Shujiro&quot;,&quot;parse-names&quot;:false,&quot;dropping-particle&quot;:&quot;&quot;,&quot;non-dropping-particle&quot;:&quot;&quot;},{&quot;family&quot;:&quot;Almeida&quot;,&quot;given&quot;:&quot;Mathieu&quot;,&quot;parse-names&quot;:false,&quot;dropping-particle&quot;:&quot;&quot;,&quot;non-dropping-particle&quot;:&quot;&quot;},{&quot;family&quot;:&quot;Lechatelier&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Pons&quot;,&quot;given&quot;:&quot;Nicolas&quot;,&quot;parse-names&quot;:false,&quot;dropping-particle&quot;:&quot;&quot;,&quot;non-dropping-particle&quot;:&quot;&quot;},{&quot;family&quot;:&quot;Batto&quot;,&quot;given&quot;:&quot;Jean Michel&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Hua&quot;,&quot;parse-names&quot;:false,&quot;dropping-particle&quot;:&quot;&quot;,&quot;non-dropping-particle&quot;:&quot;&quot;},{&quot;family&quot;:&quot;Yang&quot;,&quot;given&quot;:&quot;Ruifu&quot;,&quot;parse-names&quot;:false,&quot;dropping-particle&quot;:&quot;&quot;,&quot;non-dropping-particle&quot;:&quot;&quot;},{&quot;family&quot;:&quot;Zheng&quot;,&quot;given&quot;:&quot;Weimou&quot;,&quot;parse-names&quot;:false,&quot;dropping-particle&quot;:&quot;&quot;,&quot;non-dropping-particle&quot;:&quot;&quot;},{&quot;family&quot;:&quot;Li&quot;,&quot;given&quot;:&quot;Songgang&quot;,&quot;parse-names&quot;:false,&quot;dropping-particle&quot;:&quot;&quot;,&quot;non-dropping-particle&quot;:&quot;&quot;},{&quot;family&quot;:&quot;Yang&quot;,&quot;given&quot;:&quot;Huanming&quot;,&quot;parse-names&quot;:false,&quot;dropping-particle&quot;:&quot;&quot;,&quot;non-dropping-particle&quot;:&quot;&quot;},{&quot;family&quot;:&quot;Ehrlich&quot;,&quot;given&quot;:&quot;S. Dusko&quot;,&quot;parse-names&quot;:false,&quot;dropping-particle&quot;:&quot;&quot;,&quot;non-dropping-particle&quot;:&quot;&quot;},{&quot;family&quot;:&quot;Nielsen&quot;,&quot;given&quot;:&quot;Rasmus&quot;,&quot;parse-names&quot;:false,&quot;dropping-particle&quot;:&quot;&quot;,&quot;non-dropping-particle&quot;:&quot;&quot;},{&quot;family&quot;:&quot;Pedersen&quot;,&quot;given&quot;:&quot;Oluf&quot;,&quot;parse-names&quot;:false,&quot;dropping-particle&quot;:&quot;&quot;,&quot;non-dropping-particle&quot;:&quot;&quot;},{&quot;family&quot;:&quot;Kristiansen&quot;,&quot;given&quot;:&quot;Karsten&quot;,&quot;parse-names&quot;:false,&quot;dropping-particle&quot;:&quot;&quot;,&quot;non-dropping-particle&quot;:&quot;&quot;},{&quot;family&quot;:&quot;Wang&quot;,&quot;given&quot;:&quot;Jian&quot;,&quot;parse-names&quot;:false,&quot;dropping-particle&quot;:&quot;&quot;,&quot;non-dropping-particle&quot;:&quot;&quot;}],&quot;container-title&quot;:&quot;Nature 2012 490:7418&quot;,&quot;accessed&quot;:{&quot;date-parts&quot;:[[2025,4,27]]},&quot;DOI&quot;:&quot;10.1038/nature11450&quot;,&quot;ISSN&quot;:&quot;1476-4687&quot;,&quot;PMID&quot;:&quot;23023125&quot;,&quot;URL&quot;:&quot;https://www.nature.com/articles/nature11450&quot;,&quot;issued&quot;:{&quot;date-parts&quot;:[[2012,9,26]]},&quot;page&quot;:&quot;55-60&quot;,&quot;abstract&quot;:&quo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 The authors have developed a new method, metagenome-wide association study (MGWAS), to compare the combined genetic content of the faecal microbiota of healthy people versus patients with type 2 diabetes; they identify multiple microbial species and metabolic pathways that are associated with either cohort and show that some of these may be used as biomarkers. The incidence of type 2 diabetes is known to correlate with both genetic and environmental factors, and it has been suggested that alterations in the intestinal microbiota may also be involved. Jun Wang and colleagues have developed a novel approach, termed a metagenome-wide association study (MWAS), to compare the combined genetic content of the faecal microbiota between healthy people and those with diabetes. They identify multiple microbial species and metabolic pathways that are associated with either cohort and show that some of these may be used as biomarkers.&quot;,&quot;publisher&quot;:&quot;Nature Publishing Group&quot;,&quot;issue&quot;:&quot;7418&quot;,&quot;volume&quot;:&quot;490&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A4D4-BF06-4BA0-A3D8-63287419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3792</Words>
  <Characters>21618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25360</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Rafael Margarido Fonseca</cp:lastModifiedBy>
  <cp:revision>17</cp:revision>
  <cp:lastPrinted>2022-11-11T11:49:00Z</cp:lastPrinted>
  <dcterms:created xsi:type="dcterms:W3CDTF">2024-10-07T15:16:00Z</dcterms:created>
  <dcterms:modified xsi:type="dcterms:W3CDTF">2025-04-27T15:55:00Z</dcterms:modified>
</cp:coreProperties>
</file>