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Beatrice Okoro</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Tilda Chen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Tourism 101</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29/09/2025</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VALUE OF FOREIGN TRAVEL</w:t>
      </w:r>
    </w:p>
    <w:p w:rsidR="00000000" w:rsidDel="00000000" w:rsidP="00000000" w:rsidRDefault="00000000" w:rsidRPr="00000000" w14:paraId="0000000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travel has long been regarded as more than a leisure activity; it is a profound educational experience that fosters intellectual growth, cultural awareness, and personal development. In an increasingly interconnected world, the act of journeying beyond one’s national borders offers valuable insights into the complexities of human societies and encourages adaptability in diverse environments. Understanding the value of foreign travel requires examining its impact on education, intercultural competence, and self-identity.</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educational standpoint, travel exposes individuals to perspectives that cannot be replicated in textbooks or classrooms. Engaging directly with foreign environments allows learners to situate knowledge within real-world contexts, bridging theory and lived experience. For instance, visiting historical landmarks, such as the Great Wall of China or the Roman Colosseum, brings history to life and creates a deeper connection to global heritage (Smith, 2019). Such encounters expand intellectual horizons by demonstrating that knowledge is not static but continually shaped by cultural contexts.</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Equally important is the role foreign travel plays in developing intercultural competence. Exposure to new traditions, languages, and social norms compels travelers to confront preconceived notions and stereotypes. According to Chen and Starosta (2021), intercultural sensitivity develops through direct contact with diverse communities, where individuals must negotiate meaning and build relationships across cultural boundaries. This competence is vital in today’s globalized workforce, where collaboration often transcends national and cultural lines. Thus, foreign travel cultivates skills that extend beyond leisure, preparing individuals for professional and civic engagement in multicultural settings.</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personal level, foreign travel can be transformative by fostering resilience and adaptability. Navigating unfamiliar environments requires problem-solving, patience, and a willingness to embrace uncertainty. These challenges enhance self-confidence and reshape personal identity, as travelers learn not only about others but also about themselves. Jones (2020) argues that such experiences create reflective opportunities that strengthen emotional intelligence and independence. Consequently, travel becomes a catalyst for personal growth as much as for academic and cultural learning.</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value of foreign travel extends beyond recreation. It is an educational tool, a bridge to intercultural competence, and a pathway to self-discovery. In an era defined by global interdependence, travel offers the rare chance to connect knowledge with lived experience, to appreciate cultural diversity, and to refine the self in meaningful ways. Therefore, foreign travel should be embraced not merely as a privilege but as an essential component of holistic development.</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G. M., &amp; Starosta, W. J. (2021). Foundations of intercultural communication. Routledge.</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M. T. (2020). Travel and self-discovery: The psychology of exploration. Academic Press.</w:t>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J. A. (2019). Global heritage and education: Learning through travel. Springer.</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