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L'application prévient, puis </w:t>
            </w:r>
            <w:r>
              <w:rPr>
                <w:b/>
                <w:bCs/>
                <w:sz w:val="20"/>
                <w:szCs w:val="20"/>
              </w:rPr>
              <w:t xml:space="preserve">WhatsApp s'ouvre avec le lien de signature du PV</w:t>
            </w:r>
            <w:r>
              <w:rPr>
                <w:sz w:val="20"/>
                <w:szCs w:val="20"/>
              </w:rPr>
              <w:t xml:space="preserve">, à envoyer au client. Le lien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ouvre WhatsApp avec le lien du PV.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2.101.380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2.101.380</dc:description>
  <cp:lastModifiedBy>Un-named</cp:lastModifiedBy>
  <cp:revision>1</cp:revision>
  <dcterms:created xsi:type="dcterms:W3CDTF">2026-09-30T11:34:41.271Z</dcterms:created>
  <dcterms:modified xsi:type="dcterms:W3CDTF">2026-09-30T11:34:41.271Z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