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L'application prévient, puis </w:t>
            </w:r>
            <w:r>
              <w:rPr>
                <w:b/>
                <w:bCs/>
                <w:sz w:val="20"/>
                <w:szCs w:val="20"/>
              </w:rPr>
              <w:t xml:space="preserve">WhatsApp s'ouvre avec le lien de signature du PV</w:t>
            </w:r>
            <w:r>
              <w:rPr>
                <w:sz w:val="20"/>
                <w:szCs w:val="20"/>
              </w:rPr>
              <w:t xml:space="preserve">, à envoyer au client. Le lien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ouvre WhatsApp avec le lien du PV.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2.101.382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2.101.382</dc:description>
  <cp:lastModifiedBy>Un-named</cp:lastModifiedBy>
  <cp:revision>1</cp:revision>
  <dcterms:created xsi:type="dcterms:W3CDTF">2026-09-30T14:20:04.214Z</dcterms:created>
  <dcterms:modified xsi:type="dcterms:W3CDTF">2026-09-30T14:20:04.214Z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