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16 chapitres  ·  Version 2.101.382  ·  30 septembre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51</w:t>
      </w:r>
    </w:p>
    <w:p>
      <w:pPr>
        <w:tabs>
          <w:tab w:val="right" w:pos="9300" w:leader="dot"/>
        </w:tabs>
        <w:spacing w:after="100" w:before="60"/>
      </w:pPr>
      <w:r>
        <w:rPr>
          <w:b/>
          <w:bCs/>
          <w:sz w:val="22"/>
          <w:szCs w:val="22"/>
        </w:rPr>
        <w:t xml:space="preserve">Chapitre 6  ·  Caisse et encaissements</w:t>
      </w:r>
      <w:r>
        <w:rPr>
          <w:color w:val="475569"/>
          <w:sz w:val="22"/>
          <w:szCs w:val="22"/>
        </w:rPr>
        <w:t xml:space="preserve">	67</w:t>
      </w:r>
    </w:p>
    <w:p>
      <w:pPr>
        <w:tabs>
          <w:tab w:val="right" w:pos="9300" w:leader="dot"/>
        </w:tabs>
        <w:spacing w:after="100" w:before="60"/>
      </w:pPr>
      <w:r>
        <w:rPr>
          <w:b/>
          <w:bCs/>
          <w:sz w:val="22"/>
          <w:szCs w:val="22"/>
        </w:rPr>
        <w:t xml:space="preserve">Chapitre 7  ·  Dettes et paiements</w:t>
      </w:r>
      <w:r>
        <w:rPr>
          <w:color w:val="475569"/>
          <w:sz w:val="22"/>
          <w:szCs w:val="22"/>
        </w:rPr>
        <w:t xml:space="preserve">	82</w:t>
      </w:r>
    </w:p>
    <w:p>
      <w:pPr>
        <w:tabs>
          <w:tab w:val="right" w:pos="9300" w:leader="dot"/>
        </w:tabs>
        <w:spacing w:after="100" w:before="60"/>
      </w:pPr>
      <w:r>
        <w:rPr>
          <w:b/>
          <w:bCs/>
          <w:sz w:val="22"/>
          <w:szCs w:val="22"/>
        </w:rPr>
        <w:t xml:space="preserve">Chapitre 8  ·  Stocks</w:t>
      </w:r>
      <w:r>
        <w:rPr>
          <w:color w:val="475569"/>
          <w:sz w:val="22"/>
          <w:szCs w:val="22"/>
        </w:rPr>
        <w:t xml:space="preserve">	96</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111</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126</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139</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153</w:t>
      </w:r>
    </w:p>
    <w:p>
      <w:pPr>
        <w:tabs>
          <w:tab w:val="right" w:pos="9300" w:leader="dot"/>
        </w:tabs>
        <w:spacing w:after="100" w:before="60"/>
      </w:pPr>
      <w:r>
        <w:rPr>
          <w:b/>
          <w:bCs/>
          <w:sz w:val="22"/>
          <w:szCs w:val="22"/>
        </w:rPr>
        <w:t xml:space="preserve">Chapitre 13  ·  Devis et proformas</w:t>
      </w:r>
      <w:r>
        <w:rPr>
          <w:color w:val="475569"/>
          <w:sz w:val="22"/>
          <w:szCs w:val="22"/>
        </w:rPr>
        <w:t xml:space="preserve">	167</w:t>
      </w:r>
    </w:p>
    <w:p>
      <w:pPr>
        <w:tabs>
          <w:tab w:val="right" w:pos="9300" w:leader="dot"/>
        </w:tabs>
        <w:spacing w:after="100" w:before="60"/>
      </w:pPr>
      <w:r>
        <w:rPr>
          <w:b/>
          <w:bCs/>
          <w:sz w:val="22"/>
          <w:szCs w:val="22"/>
        </w:rPr>
        <w:t xml:space="preserve">Chapitre 14  ·  Contrats</w:t>
      </w:r>
      <w:r>
        <w:rPr>
          <w:color w:val="475569"/>
          <w:sz w:val="22"/>
          <w:szCs w:val="22"/>
        </w:rPr>
        <w:t xml:space="preserve">	182</w:t>
      </w:r>
    </w:p>
    <w:p>
      <w:pPr>
        <w:tabs>
          <w:tab w:val="right" w:pos="9300" w:leader="dot"/>
        </w:tabs>
        <w:spacing w:after="100" w:before="60"/>
      </w:pPr>
      <w:r>
        <w:rPr>
          <w:b/>
          <w:bCs/>
          <w:sz w:val="22"/>
          <w:szCs w:val="22"/>
        </w:rPr>
        <w:t xml:space="preserve">Chapitre 15  ·  Chantiers et travaux</w:t>
      </w:r>
      <w:r>
        <w:rPr>
          <w:color w:val="475569"/>
          <w:sz w:val="22"/>
          <w:szCs w:val="22"/>
        </w:rPr>
        <w:t xml:space="preserve">	193</w:t>
      </w:r>
    </w:p>
    <w:p>
      <w:pPr>
        <w:tabs>
          <w:tab w:val="right" w:pos="9300" w:leader="dot"/>
        </w:tabs>
        <w:spacing w:after="100" w:before="60"/>
      </w:pPr>
      <w:r>
        <w:rPr>
          <w:b/>
          <w:bCs/>
          <w:sz w:val="22"/>
          <w:szCs w:val="22"/>
        </w:rPr>
        <w:t xml:space="preserve">Chapitre 16  ·  Commissions et primes</w:t>
      </w:r>
      <w:r>
        <w:rPr>
          <w:color w:val="475569"/>
          <w:sz w:val="22"/>
          <w:szCs w:val="22"/>
        </w:rPr>
        <w:t xml:space="preserve">	205</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Dépenses (lecture), Dettes, Clients, Caisse, Salaire, Messages, WhatsApp, Créer un client, Primes remises, Contrats, Travaux à crédit</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Comme le vendeur, plus Stocks et Fournisseurs ; sans Ravitaillement ni Primes remises</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L'application prévient, puis </w:t>
            </w:r>
            <w:r>
              <w:rPr>
                <w:b/>
                <w:bCs/>
                <w:sz w:val="20"/>
                <w:szCs w:val="20"/>
              </w:rPr>
              <w:t xml:space="preserve">WhatsApp s'ouvre avec le lien de signature du PV</w:t>
            </w:r>
            <w:r>
              <w:rPr>
                <w:sz w:val="20"/>
                <w:szCs w:val="20"/>
              </w:rPr>
              <w:t xml:space="preserve">, à envoyer au client. Le lien ne porte </w:t>
            </w:r>
            <w:r>
              <w:rPr>
                <w:b/>
                <w:bCs/>
                <w:sz w:val="20"/>
                <w:szCs w:val="20"/>
              </w:rPr>
              <w:t xml:space="preserve">aucun code</w:t>
            </w:r>
            <w:r>
              <w:rPr>
                <w:sz w:val="20"/>
                <w:szCs w:val="20"/>
              </w:rPr>
              <w:t xml:space="preserve"> du client.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ouvre WhatsApp avec le lien du PV.</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Taux et objectif d'un agent ; activer ou retirer.</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Deux taux existent, et un seul paie.</w:t>
            </w:r>
            <w:r>
              <w:t xml:space="preserve"> Le taux qui sert au </w:t>
            </w:r>
            <w:r>
              <w:rPr>
                <w:b/>
                <w:bCs/>
              </w:rPr>
              <w:t xml:space="preserve">paiement</w:t>
            </w:r>
            <w:r>
              <w:t xml:space="preserve"> est celui de la fiche de l'employé (👥 Utilisateurs → 💰 Commission). Celui de 🎯 Commerciaux (« Modifier ») ne sert qu'au </w:t>
            </w:r>
            <w:r>
              <w:rPr>
                <w:b/>
                <w:bCs/>
              </w:rPr>
              <w:t xml:space="preserve">classement</w:t>
            </w:r>
            <w:r>
              <w:t xml:space="preserve"> et à l'estimation « Commissions estimées (CA × taux) ». Changez le taux dans 👥 Utilisateurs.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Changer le taux dans 🎯 Commerciaux en croyant changer la paie.</w:t>
            </w:r>
          </w:p>
        </w:tc>
        <w:tc>
          <w:tcPr>
            <w:tcW w:type="dxa" w:w="5000"/>
            <w:shd w:fill="F8FAFC" w:color="auto" w:val="clear"/>
            <w:tcMar>
              <w:top w:type="dxa" w:w="100"/>
              <w:left w:type="dxa" w:w="140"/>
              <w:bottom w:type="dxa" w:w="100"/>
              <w:right w:type="dxa" w:w="140"/>
            </w:tcMar>
          </w:tcPr>
          <w:p>
            <w:r>
              <w:rPr>
                <w:sz w:val="19"/>
                <w:szCs w:val="19"/>
              </w:rPr>
              <w:t xml:space="preserve">Le taux payé est celui de 👥 Utilisateurs → 💰 Commission.</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2.101.382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2.101.382</dc:description>
  <cp:lastModifiedBy>Un-named</cp:lastModifiedBy>
  <cp:revision>1</cp:revision>
  <dcterms:created xsi:type="dcterms:W3CDTF">2026-09-30T14:20:14.973Z</dcterms:created>
  <dcterms:modified xsi:type="dcterms:W3CDTF">2026-09-30T14:20:14.973Z</dcterms:modified>
</cp:coreProperties>
</file>

<file path=docProps/custom.xml><?xml version="1.0" encoding="utf-8"?>
<Properties xmlns="http://schemas.openxmlformats.org/officeDocument/2006/custom-properties" xmlns:vt="http://schemas.openxmlformats.org/officeDocument/2006/docPropsVTypes"/>
</file>