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2.101.435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les versements et le crédit BMI en cours.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2026-10-05T12:40:49.080Z</dcterms:created>
  <dcterms:modified xsi:type="dcterms:W3CDTF">2026-10-05T12:40:49.080Z</dcterms:modified>
</cp:coreProperties>
</file>

<file path=docProps/custom.xml><?xml version="1.0" encoding="utf-8"?>
<Properties xmlns="http://schemas.openxmlformats.org/officeDocument/2006/custom-properties" xmlns:vt="http://schemas.openxmlformats.org/officeDocument/2006/docPropsVTypes"/>
</file>