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</w:t>
            </w:r>
            <w:r>
              <w:rPr>
                <w:b/>
                <w:bCs/>
                <w:sz w:val="20"/>
                <w:szCs w:val="20"/>
              </w:rPr>
              <w:t xml:space="preserve">la caisse qui paie</w:t>
            </w:r>
            <w:r>
              <w:rPr>
                <w:sz w:val="20"/>
                <w:szCs w:val="20"/>
              </w:rPr>
              <w:t xml:space="preserve"> et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caisse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la caisse qui paie.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la caisse et le moyen de remise. Une dépense « Prêt au personnel » sort de la caisse.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est une dépense</w:t>
      </w:r>
      <w:r>
        <w:t xml:space="preserve"> : « Salaires » (virement, avance), « Prêt au personnel » (crédit accordé), « Cotisations CNSS ». Ce sont des dépenses automatiques : elles ne passent pas par la validation du DG et ne se modifient pas dans 📤 Dépenses.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2.101.391</dc:description>
  <cp:lastModifiedBy>Un-named</cp:lastModifiedBy>
  <cp:revision>1</cp:revision>
  <dcterms:created xsi:type="dcterms:W3CDTF">2026-10-01T14:13:20.390Z</dcterms:created>
  <dcterms:modified xsi:type="dcterms:W3CDTF">2026-10-01T14:13:20.390Z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