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L'application prévient, puis </w:t>
            </w:r>
            <w:r>
              <w:rPr>
                <w:b/>
                <w:bCs/>
                <w:sz w:val="20"/>
                <w:szCs w:val="20"/>
              </w:rPr>
              <w:t xml:space="preserve">WhatsApp s'ouvre avec le lien de signature du PV</w:t>
            </w:r>
            <w:r>
              <w:rPr>
                <w:sz w:val="20"/>
                <w:szCs w:val="20"/>
              </w:rPr>
              <w:t xml:space="preserve">, à envoyer au client. Le lien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ouvre WhatsApp avec le lien du PV.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2.101.388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2.101.388</dc:description>
  <cp:lastModifiedBy>Un-named</cp:lastModifiedBy>
  <cp:revision>1</cp:revision>
  <dcterms:created xsi:type="dcterms:W3CDTF">2026-09-30T22:05:10.765Z</dcterms:created>
  <dcterms:modified xsi:type="dcterms:W3CDTF">2026-09-30T22:05:10.765Z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