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🚐 La caisse de terrain n'est pas dans ce tableau.</w:t>
            </w:r>
            <w:r>
              <w:t xml:space="preserve"> Elle reçoit les encaissements faits sur les chantiers (poses seules et leurs versements) ; elle naît toute seule au premier devis de pose seule validé. Elle a son </w:t>
            </w:r>
            <w:r>
              <w:rPr>
                <w:b/>
                <w:bCs/>
              </w:rPr>
              <w:t xml:space="preserve">cadre à part</w:t>
            </w:r>
            <w:r>
              <w:t xml:space="preserve">, juste sous le tableau, avec seulement </w:t>
            </w:r>
            <w:r>
              <w:rPr>
                <w:b/>
                <w:bCs/>
              </w:rPr>
              <w:t xml:space="preserve">📍 Infos reçu</w:t>
            </w:r>
            <w:r>
              <w:t xml:space="preserve">, </w:t>
            </w:r>
            <w:r>
              <w:rPr>
                <w:b/>
                <w:bCs/>
              </w:rPr>
              <w:t xml:space="preserve">💼 Fonds de caisse</w:t>
            </w:r>
            <w:r>
              <w:t xml:space="preserve">, </w:t>
            </w:r>
            <w:r>
              <w:rPr>
                <w:b/>
                <w:bCs/>
              </w:rPr>
              <w:t xml:space="preserve">📱 Comptes mobiles</w:t>
            </w:r>
            <w:r>
              <w:t xml:space="preserve"> et le préfixe de ses reçus. Elle ne se transforme pas en magasin, ne se supprime pas, n'a ni loyer ni logo, et garde la couleur grise.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2.101.426</dc:description>
  <cp:lastModifiedBy>Un-named</cp:lastModifiedBy>
  <cp:revision>1</cp:revision>
  <dcterms:created xsi:type="dcterms:W3CDTF">2026-10-03T19:48:45.531Z</dcterms:created>
  <dcterms:modified xsi:type="dcterms:W3CDTF">2026-10-03T19:48:45.531Z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