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2.101.413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109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ni un prêt au personnel (un crédit BMI, que l'employé rend) n'apparaissent dans 📤 Dépenses. L'écran dit où les retrouver : 🔒 Caisse et l'export « Versements » ; les prêts dans 👥 Utilisateurs → 🏦 Crédits BMI. « Prêt au personnel » ne se choisit plus comme catégorie : un prêt passe par 🏦 Crédits BMI.</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2026-10-03T13:49:49.899Z</dcterms:created>
  <dcterms:modified xsi:type="dcterms:W3CDTF">2026-10-03T13:49:49.899Z</dcterms:modified>
</cp:coreProperties>
</file>

<file path=docProps/custom.xml><?xml version="1.0" encoding="utf-8"?>
<Properties xmlns="http://schemas.openxmlformats.org/officeDocument/2006/custom-properties" xmlns:vt="http://schemas.openxmlformats.org/officeDocument/2006/docPropsVTypes"/>
</file>