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prêt au personnel</w:t>
      </w:r>
      <w:r>
        <w:t xml:space="preserve"> (un crédit BMI, que l'employé rend) </w:t>
      </w:r>
      <w:r>
        <w:rPr>
          <w:b/>
          <w:bCs/>
        </w:rPr>
        <w:t xml:space="preserve">se lit dans la liste</w:t>
      </w:r>
      <w:r>
        <w:t xml:space="preserve">, avec la mention « n'est pas une charge » — et « ↩ argent rentré dans la caisse » pour un remboursement : il fait bouger la caisse, on doit le voir. Il ne compte pas dans « Ce mois ». Son suivi est dans 👥 Utilisateurs → 🏦 Crédits BMI, et « Prêt au personnel » ne se choisit pas comme catégorie.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2.101.415</dc:description>
  <cp:lastModifiedBy>Un-named</cp:lastModifiedBy>
  <cp:revision>1</cp:revision>
  <dcterms:created xsi:type="dcterms:W3CDTF">2026-10-03T15:12:23.536Z</dcterms:created>
  <dcterms:modified xsi:type="dcterms:W3CDTF">2026-10-03T15:12:23.536Z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