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cada" w:cs="Scada" w:eastAsia="Scada" w:hAnsi="Scada"/>
          <w:sz w:val="52"/>
          <w:szCs w:val="52"/>
        </w:rPr>
      </w:pPr>
      <w:r w:rsidDel="00000000" w:rsidR="00000000" w:rsidRPr="00000000">
        <w:rPr>
          <w:rFonts w:ascii="Scada" w:cs="Scada" w:eastAsia="Scada" w:hAnsi="Scada"/>
          <w:sz w:val="52"/>
          <w:szCs w:val="52"/>
          <w:rtl w:val="0"/>
        </w:rPr>
        <w:t xml:space="preserve">Leadership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Scada" w:cs="Scada" w:eastAsia="Scada" w:hAnsi="Scad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Concentrate on the whole, the interconnections between the parts, and how to optimize value creation across all systems. Take initiative where you have the opportunity to create substantial value.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Conduct regular high fidelity planning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Once a year allocate 1-3 days collaborating with team to establish clear objectives for the year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Make sure objectives are highly aligned with the company’s strategic priorities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Establish team and individual goals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00"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Check in at the 6-month mark and review how progress is being made toward annual objectives — half-day or one-day meeting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Establish quarterly goals for team and for each team member that are aligned with annual goals.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Include team development goals as part of the team goals and individual development goals as part of the individual goals.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Hold regular one-on-ones with each direct report and reference established goals.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Consciously delegate and empower each direct report at a level appropriate with their competency.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Engage in activities that optimize personal grounding and a calm alert internal state — optimizing creativity, focus, emotional intelligence (engaging in activities such as yoga, meditation, tai chi, exercise, healthy diet, music, art, service, philanthropy).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Hold regular management team meetings (weekly to monthly).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Review progress against team goals in team meetings. Facilitate roughly equal participation between team members.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Provide regular praise and recognition (about 6 times more frequently than constructive feedback) using best practices.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Provide regular constructive feedback, especially in one-on-one’s, as is appropriate, using guidelines.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Actively coach and support direct reports: review progress against goals, ask questions, seek to understand and support success, monitor results.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Continually work on building rapport and creating psychological safety with your team and throughout the organization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Regularly ask for feedback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Share information, plans, feelings and thoughts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Regularly connect with team members on a personal level as well as a work level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="240" w:lineRule="auto"/>
        <w:ind w:left="90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Be accessible, authentic, compassionate, vulnerable.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Establish and practice effective decision making: good decisions, efficiently executed, optimizing buy-in. Engage others, collaborate, define and agree upon the process.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Review structures, systems and processes and optimize where there is opportunity for improvement.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Communicate team progress within team and across org.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line="240" w:lineRule="auto"/>
        <w:ind w:left="360" w:hanging="360"/>
        <w:rPr>
          <w:rFonts w:ascii="Karma" w:cs="Karma" w:eastAsia="Karma" w:hAnsi="Karma"/>
          <w:sz w:val="24"/>
          <w:szCs w:val="24"/>
        </w:rPr>
      </w:pPr>
      <w:r w:rsidDel="00000000" w:rsidR="00000000" w:rsidRPr="00000000">
        <w:rPr>
          <w:rFonts w:ascii="Karma" w:cs="Karma" w:eastAsia="Karma" w:hAnsi="Karma"/>
          <w:sz w:val="24"/>
          <w:szCs w:val="24"/>
          <w:rtl w:val="0"/>
        </w:rPr>
        <w:t xml:space="preserve">Practice leading every day and be an inspirational role model.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180" w:left="720" w:right="720" w:header="180" w:footer="1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ca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ma">
    <w:embedRegular w:fontKey="{00000000-0000-0000-0000-000000000000}" r:id="rId5" w:subsetted="0"/>
    <w:embedBold w:fontKey="{00000000-0000-0000-0000-000000000000}" r:id="rId6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Karma" w:cs="Karma" w:eastAsia="Karma" w:hAnsi="Karma"/>
        <w:color w:val="cccccc"/>
        <w:sz w:val="16"/>
        <w:szCs w:val="16"/>
      </w:rPr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2022 Peak Leadership. All Rights Reserved.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Fonts w:ascii="Karma" w:cs="Karma" w:eastAsia="Karma" w:hAnsi="Karma"/>
        <w:color w:val="cccccc"/>
        <w:sz w:val="16"/>
        <w:szCs w:val="16"/>
        <w:rtl w:val="0"/>
      </w:rPr>
      <w:t xml:space="preserve">© 2022 Peak Leadership.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4680"/>
        <w:tab w:val="right" w:leader="none" w:pos="9360"/>
      </w:tabs>
      <w:spacing w:line="240" w:lineRule="auto"/>
      <w:ind w:left="180" w:firstLine="0"/>
      <w:jc w:val="center"/>
      <w:rPr/>
    </w:pPr>
    <w:r w:rsidDel="00000000" w:rsidR="00000000" w:rsidRPr="00000000">
      <w:rPr>
        <w:rFonts w:ascii="Palatino" w:cs="Palatino" w:eastAsia="Palatino" w:hAnsi="Palatino"/>
        <w:color w:val="0070c0"/>
        <w:sz w:val="20"/>
        <w:szCs w:val="20"/>
      </w:rPr>
      <w:drawing>
        <wp:inline distB="114300" distT="114300" distL="114300" distR="114300">
          <wp:extent cx="964109" cy="3762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4109" cy="376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cada-regular.ttf"/><Relationship Id="rId2" Type="http://schemas.openxmlformats.org/officeDocument/2006/relationships/font" Target="fonts/Scada-bold.ttf"/><Relationship Id="rId3" Type="http://schemas.openxmlformats.org/officeDocument/2006/relationships/font" Target="fonts/Scada-italic.ttf"/><Relationship Id="rId4" Type="http://schemas.openxmlformats.org/officeDocument/2006/relationships/font" Target="fonts/Scada-boldItalic.ttf"/><Relationship Id="rId5" Type="http://schemas.openxmlformats.org/officeDocument/2006/relationships/font" Target="fonts/Karma-regular.ttf"/><Relationship Id="rId6" Type="http://schemas.openxmlformats.org/officeDocument/2006/relationships/font" Target="fonts/Kar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