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sz w:val="48"/>
          <w:szCs w:val="48"/>
          <w:rtl w:val="0"/>
        </w:rPr>
        <w:t xml:space="preserve">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What is adaptability?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Adaptability in leadership involves the ability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Adjust to rapidly changing situations and priorities.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Tolerate ambiguity and uncertainty.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Develop new ways of behaving to achieve objectives and overcome obstacles.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Why is it important?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Responsive to Change: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Leaders who adapt quickly can respond to market changes, technological advancements, and evolving customer needs, ensuring their organizations remain competitive.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Resilient in Crisis: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Adaptable leaders can navigate crises more effectively, maintaining stability and guiding their teams through uncertainty.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Enhanced Innovation: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By embracing new ideas and approaches, adaptable leaders foster a culture of innovation and creativity.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Improved Problem-Solving: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Adaptability allows leaders to find alternative solutions to challenges, improving overall problem-solving capabilities.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Employee Engagement: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Adaptable leaders can better support their teams, leading to higher levels of engagement, satisfaction, and retention.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Long-term Success: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Organizations led by adaptable leaders are more likely to achieve long-term success and sustainability in a rapidly changing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 General tips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Embrace continuous learning by staying updated on industry trends and best practices.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Cultivate a growth mindset by viewing challenges as opportunities for growth.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Practice mindfulness to develop self-awareness and stay focused in the face of uncertainty.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Enhance emotional intelligence by actively listening and managing your emotions under pressure.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Foster flexibility by being open to new ideas and different perspectives.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Develop strategic thinking by regularly assessing the external environment and creating contingency plans.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Build resilience by developing coping strategies and maintaining a positive attitude.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Improve decision-making skills by gathering diverse perspectives and being willing to make decisions with incomplete information.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Encourage a collaborative culture by fostering teamwork and creating an inclusive environment.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Stay agile with technology by embracing new technologies and investing in digital tools for remote work.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Conduct retrospective meetings to assess what approaches were successful and which were not.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Attend cross-functional meetings to understand broader business dynamics.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Regularly revise personal and team goals to align with changing company strategies.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Encourage team experimentation with new problem-solving techniques.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Promote a culture where experimentation and learning are valued.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Create a supportive environment where taking calculated risks is encouraged.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Learn from failures and use them as opportunities for growth.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Karma" w:cs="Karma" w:eastAsia="Karma" w:hAnsi="Karm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Karma">
    <w:embedRegular w:fontKey="{00000000-0000-0000-0000-000000000000}" r:id="rId1" w:subsetted="0"/>
    <w:embedBold w:fontKey="{00000000-0000-0000-0000-000000000000}" r:id="rId2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2021 Peak Leadership.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2024 Peak Leadership Institute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ma-regular.ttf"/><Relationship Id="rId2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+JZ95dlj1aO8WJnqc165p2nd4g==">CgMxLjA4AHIhMWdja1FTMVlKQlhWWnlGS2ozTTVBbnF6Z1FuSXpORFdQ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