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9360"/>
        </w:tabs>
        <w:spacing w:line="240" w:lineRule="auto"/>
        <w:ind w:left="180" w:firstLine="0"/>
        <w:jc w:val="center"/>
        <w:rPr>
          <w:rFonts w:ascii="Palatino" w:cs="Palatino" w:eastAsia="Palatino" w:hAnsi="Palatino"/>
          <w:color w:val="0070c0"/>
          <w:sz w:val="20"/>
          <w:szCs w:val="20"/>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Avenir" w:cs="Avenir" w:eastAsia="Avenir" w:hAnsi="Avenir"/>
          <w:b w:val="1"/>
          <w:color w:val="374151"/>
          <w:sz w:val="28"/>
          <w:szCs w:val="28"/>
        </w:rPr>
      </w:pPr>
      <w:r w:rsidDel="00000000" w:rsidR="00000000" w:rsidRPr="00000000">
        <w:rPr>
          <w:rFonts w:ascii="Avenir" w:cs="Avenir" w:eastAsia="Avenir" w:hAnsi="Avenir"/>
          <w:b w:val="1"/>
          <w:color w:val="374151"/>
          <w:sz w:val="28"/>
          <w:szCs w:val="28"/>
          <w:rtl w:val="0"/>
        </w:rPr>
        <w:t xml:space="preserve">Creating Buy-In Guide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venir" w:cs="Avenir" w:eastAsia="Avenir" w:hAnsi="Avenir"/>
          <w:color w:val="374151"/>
        </w:rPr>
      </w:pPr>
      <w:r w:rsidDel="00000000" w:rsidR="00000000" w:rsidRPr="00000000">
        <w:rPr>
          <w:rFonts w:ascii="Avenir" w:cs="Avenir" w:eastAsia="Avenir" w:hAnsi="Avenir"/>
          <w:color w:val="374151"/>
          <w:rtl w:val="0"/>
        </w:rPr>
        <w:t xml:space="preserve">Whether you're trying to persuade a team to adopt a new project, convince stakeholders to support your idea, or gain the trust and support of your colleagues or superiors, creating buy-in is a critical skill, especially for senior leaders. Here are some key elements to guide creating buy-in effectively:</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360" w:hanging="360"/>
        <w:rPr>
          <w:rFonts w:ascii="Avenir" w:cs="Avenir" w:eastAsia="Avenir" w:hAnsi="Avenir"/>
          <w:sz w:val="22"/>
          <w:szCs w:val="22"/>
        </w:rPr>
      </w:pPr>
      <w:r w:rsidDel="00000000" w:rsidR="00000000" w:rsidRPr="00000000">
        <w:rPr>
          <w:rFonts w:ascii="Avenir" w:cs="Avenir" w:eastAsia="Avenir" w:hAnsi="Avenir"/>
          <w:b w:val="1"/>
          <w:color w:val="374151"/>
          <w:u w:val="single"/>
          <w:rtl w:val="0"/>
        </w:rPr>
        <w:t xml:space="preserve">Understand Your Audience</w:t>
      </w:r>
      <w:r w:rsidDel="00000000" w:rsidR="00000000" w:rsidRPr="00000000">
        <w:rPr>
          <w:rFonts w:ascii="Avenir" w:cs="Avenir" w:eastAsia="Avenir" w:hAnsi="Avenir"/>
          <w:b w:val="1"/>
          <w:color w:val="374151"/>
          <w:rtl w:val="0"/>
        </w:rPr>
        <w:t xml:space="preserve">:</w:t>
      </w:r>
      <w:r w:rsidDel="00000000" w:rsidR="00000000" w:rsidRPr="00000000">
        <w:rPr>
          <w:rFonts w:ascii="Avenir" w:cs="Avenir" w:eastAsia="Avenir" w:hAnsi="Avenir"/>
          <w:color w:val="374151"/>
          <w:rtl w:val="0"/>
        </w:rPr>
        <w:t xml:space="preserve"> Begin by thoroughly understanding the individuals or groups you want to gain buy-in from. What are their values, priorities, concerns, and interests? Tailor your approach to resonate with their specific needs and expectations. Timing is important to their receptivity. Know who to involve and when.</w:t>
        <w:br w:type="textWrapping"/>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 w:hanging="360"/>
        <w:rPr>
          <w:rFonts w:ascii="Avenir" w:cs="Avenir" w:eastAsia="Avenir" w:hAnsi="Avenir"/>
          <w:sz w:val="22"/>
          <w:szCs w:val="22"/>
        </w:rPr>
      </w:pPr>
      <w:r w:rsidDel="00000000" w:rsidR="00000000" w:rsidRPr="00000000">
        <w:rPr>
          <w:rFonts w:ascii="Avenir" w:cs="Avenir" w:eastAsia="Avenir" w:hAnsi="Avenir"/>
          <w:b w:val="1"/>
          <w:color w:val="374151"/>
          <w:u w:val="single"/>
          <w:rtl w:val="0"/>
        </w:rPr>
        <w:t xml:space="preserve">Define Your Objectives &amp; Craft a Clear, Compelling Rationale</w:t>
      </w:r>
      <w:r w:rsidDel="00000000" w:rsidR="00000000" w:rsidRPr="00000000">
        <w:rPr>
          <w:rFonts w:ascii="Avenir" w:cs="Avenir" w:eastAsia="Avenir" w:hAnsi="Avenir"/>
          <w:b w:val="1"/>
          <w:color w:val="374151"/>
          <w:rtl w:val="0"/>
        </w:rPr>
        <w:t xml:space="preserve">: </w:t>
      </w:r>
      <w:r w:rsidDel="00000000" w:rsidR="00000000" w:rsidRPr="00000000">
        <w:rPr>
          <w:rFonts w:ascii="Avenir" w:cs="Avenir" w:eastAsia="Avenir" w:hAnsi="Avenir"/>
          <w:color w:val="374151"/>
          <w:rtl w:val="0"/>
        </w:rPr>
        <w:t xml:space="preserve">Clearly articulate what your goals are and what a good outcome looks like. Develop a persuasive message that highlights the benefits and relevance of your idea, project, or proposal. Use clear and concise language, focusing on how it aligns with the interests and goals of your audience, as well as how it aligns with the organization's or team's vision, mission, values, and/or strategic goals.</w:t>
        <w:br w:type="textWrapping"/>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 w:hanging="360"/>
        <w:rPr>
          <w:rFonts w:ascii="Avenir" w:cs="Avenir" w:eastAsia="Avenir" w:hAnsi="Avenir"/>
          <w:sz w:val="22"/>
          <w:szCs w:val="22"/>
        </w:rPr>
      </w:pPr>
      <w:r w:rsidDel="00000000" w:rsidR="00000000" w:rsidRPr="00000000">
        <w:rPr>
          <w:rFonts w:ascii="Avenir" w:cs="Avenir" w:eastAsia="Avenir" w:hAnsi="Avenir"/>
          <w:b w:val="1"/>
          <w:color w:val="374151"/>
          <w:u w:val="single"/>
          <w:rtl w:val="0"/>
        </w:rPr>
        <w:t xml:space="preserve">Build Trust</w:t>
      </w:r>
      <w:r w:rsidDel="00000000" w:rsidR="00000000" w:rsidRPr="00000000">
        <w:rPr>
          <w:rFonts w:ascii="Avenir" w:cs="Avenir" w:eastAsia="Avenir" w:hAnsi="Avenir"/>
          <w:b w:val="1"/>
          <w:color w:val="374151"/>
          <w:rtl w:val="0"/>
        </w:rPr>
        <w:t xml:space="preserve">:</w:t>
      </w:r>
      <w:r w:rsidDel="00000000" w:rsidR="00000000" w:rsidRPr="00000000">
        <w:rPr>
          <w:rFonts w:ascii="Avenir" w:cs="Avenir" w:eastAsia="Avenir" w:hAnsi="Avenir"/>
          <w:color w:val="374151"/>
          <w:rtl w:val="0"/>
        </w:rPr>
        <w:t xml:space="preserve"> Trust is the foundation of buy-in. Establish your credibility by demonstrating open communication, consistent fair management practices, and a genuine commitment to the well-being of the organization or team.</w:t>
        <w:br w:type="textWrapping"/>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 w:hanging="360"/>
        <w:rPr>
          <w:rFonts w:ascii="Avenir" w:cs="Avenir" w:eastAsia="Avenir" w:hAnsi="Avenir"/>
          <w:sz w:val="22"/>
          <w:szCs w:val="22"/>
        </w:rPr>
      </w:pPr>
      <w:r w:rsidDel="00000000" w:rsidR="00000000" w:rsidRPr="00000000">
        <w:rPr>
          <w:rFonts w:ascii="Avenir" w:cs="Avenir" w:eastAsia="Avenir" w:hAnsi="Avenir"/>
          <w:b w:val="1"/>
          <w:color w:val="374151"/>
          <w:u w:val="single"/>
          <w:rtl w:val="0"/>
        </w:rPr>
        <w:t xml:space="preserve">Provide Evidence</w:t>
      </w:r>
      <w:r w:rsidDel="00000000" w:rsidR="00000000" w:rsidRPr="00000000">
        <w:rPr>
          <w:rFonts w:ascii="Avenir" w:cs="Avenir" w:eastAsia="Avenir" w:hAnsi="Avenir"/>
          <w:b w:val="1"/>
          <w:color w:val="374151"/>
          <w:rtl w:val="0"/>
        </w:rPr>
        <w:t xml:space="preserve">: </w:t>
      </w:r>
      <w:r w:rsidDel="00000000" w:rsidR="00000000" w:rsidRPr="00000000">
        <w:rPr>
          <w:rFonts w:ascii="Avenir" w:cs="Avenir" w:eastAsia="Avenir" w:hAnsi="Avenir"/>
          <w:color w:val="374151"/>
          <w:rtl w:val="0"/>
        </w:rPr>
        <w:t xml:space="preserve">Support your claims with data, facts, and examples. This adds credibility to your argument and helps your audience make informed decisions.</w:t>
        <w:br w:type="textWrapping"/>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 w:hanging="360"/>
        <w:rPr>
          <w:rFonts w:ascii="Avenir" w:cs="Avenir" w:eastAsia="Avenir" w:hAnsi="Avenir"/>
          <w:sz w:val="22"/>
          <w:szCs w:val="22"/>
        </w:rPr>
      </w:pPr>
      <w:r w:rsidDel="00000000" w:rsidR="00000000" w:rsidRPr="00000000">
        <w:rPr>
          <w:rFonts w:ascii="Avenir" w:cs="Avenir" w:eastAsia="Avenir" w:hAnsi="Avenir"/>
          <w:b w:val="1"/>
          <w:color w:val="374151"/>
          <w:u w:val="single"/>
          <w:rtl w:val="0"/>
        </w:rPr>
        <w:t xml:space="preserve">Ask for Input &amp; Engage in Active Listening</w:t>
      </w:r>
      <w:r w:rsidDel="00000000" w:rsidR="00000000" w:rsidRPr="00000000">
        <w:rPr>
          <w:rFonts w:ascii="Avenir" w:cs="Avenir" w:eastAsia="Avenir" w:hAnsi="Avenir"/>
          <w:b w:val="1"/>
          <w:color w:val="374151"/>
          <w:rtl w:val="0"/>
        </w:rPr>
        <w:t xml:space="preserve">:</w:t>
      </w:r>
      <w:r w:rsidDel="00000000" w:rsidR="00000000" w:rsidRPr="00000000">
        <w:rPr>
          <w:rFonts w:ascii="Avenir" w:cs="Avenir" w:eastAsia="Avenir" w:hAnsi="Avenir"/>
          <w:color w:val="374151"/>
          <w:rtl w:val="0"/>
        </w:rPr>
        <w:t xml:space="preserve"> When presenting your ideas, actively listen to the feedback and questions from your audience. Show that you value their input and are open to discussion. If input is relevant and instructive, refine the plan of action to take into account input. </w:t>
        <w:br w:type="textWrapping"/>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 w:hanging="360"/>
        <w:rPr>
          <w:rFonts w:ascii="Avenir" w:cs="Avenir" w:eastAsia="Avenir" w:hAnsi="Avenir"/>
          <w:sz w:val="22"/>
          <w:szCs w:val="22"/>
        </w:rPr>
      </w:pPr>
      <w:r w:rsidDel="00000000" w:rsidR="00000000" w:rsidRPr="00000000">
        <w:rPr>
          <w:rFonts w:ascii="Avenir" w:cs="Avenir" w:eastAsia="Avenir" w:hAnsi="Avenir"/>
          <w:b w:val="1"/>
          <w:color w:val="374151"/>
          <w:u w:val="single"/>
          <w:rtl w:val="0"/>
        </w:rPr>
        <w:t xml:space="preserve">Create a Sense of Ownership</w:t>
      </w:r>
      <w:r w:rsidDel="00000000" w:rsidR="00000000" w:rsidRPr="00000000">
        <w:rPr>
          <w:rFonts w:ascii="Avenir" w:cs="Avenir" w:eastAsia="Avenir" w:hAnsi="Avenir"/>
          <w:b w:val="1"/>
          <w:color w:val="374151"/>
          <w:rtl w:val="0"/>
        </w:rPr>
        <w:t xml:space="preserve">:</w:t>
      </w:r>
      <w:r w:rsidDel="00000000" w:rsidR="00000000" w:rsidRPr="00000000">
        <w:rPr>
          <w:rFonts w:ascii="Avenir" w:cs="Avenir" w:eastAsia="Avenir" w:hAnsi="Avenir"/>
          <w:color w:val="374151"/>
          <w:rtl w:val="0"/>
        </w:rPr>
        <w:t xml:space="preserve"> Involve your audience in the decision-making process and encourage them to take ownership of the idea. People are more likely to support what they feel they've had a hand in creating. This must be done in a manner that is consistent with organizational management structure, acknowledging respective roles, responsibilities and authority. But generally, the more that relevant team members feel involved and acknowledged, the better. </w:t>
        <w:br w:type="textWrapping"/>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360" w:hanging="360"/>
        <w:rPr>
          <w:rFonts w:ascii="Avenir" w:cs="Avenir" w:eastAsia="Avenir" w:hAnsi="Avenir"/>
          <w:sz w:val="22"/>
          <w:szCs w:val="22"/>
        </w:rPr>
      </w:pPr>
      <w:r w:rsidDel="00000000" w:rsidR="00000000" w:rsidRPr="00000000">
        <w:rPr>
          <w:rFonts w:ascii="Avenir" w:cs="Avenir" w:eastAsia="Avenir" w:hAnsi="Avenir"/>
          <w:b w:val="1"/>
          <w:color w:val="374151"/>
          <w:u w:val="single"/>
          <w:rtl w:val="0"/>
        </w:rPr>
        <w:t xml:space="preserve">Communicate on Ongoing Basis, Adapt and Iterate</w:t>
      </w:r>
      <w:r w:rsidDel="00000000" w:rsidR="00000000" w:rsidRPr="00000000">
        <w:rPr>
          <w:rFonts w:ascii="Avenir" w:cs="Avenir" w:eastAsia="Avenir" w:hAnsi="Avenir"/>
          <w:b w:val="1"/>
          <w:color w:val="374151"/>
          <w:rtl w:val="0"/>
        </w:rPr>
        <w:t xml:space="preserve">: </w:t>
      </w:r>
      <w:r w:rsidDel="00000000" w:rsidR="00000000" w:rsidRPr="00000000">
        <w:rPr>
          <w:rFonts w:ascii="Avenir" w:cs="Avenir" w:eastAsia="Avenir" w:hAnsi="Avenir"/>
          <w:color w:val="374151"/>
          <w:rtl w:val="0"/>
        </w:rPr>
        <w:t xml:space="preserve">After gaining initial buy-in, continue to communicate successes and contributions, address concerns, and provide updates. Consistent communication builds trust and reinforces commitment. Be flexible and willing to adapt your approach based on feedback and changing circumstances. Continuously improve your strategy for creating buy-in.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Avenir" w:cs="Avenir" w:eastAsia="Avenir" w:hAnsi="Avenir"/>
          <w:color w:val="374151"/>
        </w:rPr>
      </w:pPr>
      <w:r w:rsidDel="00000000" w:rsidR="00000000" w:rsidRPr="00000000">
        <w:rPr>
          <w:rFonts w:ascii="Avenir" w:cs="Avenir" w:eastAsia="Avenir" w:hAnsi="Avenir"/>
          <w:color w:val="374151"/>
          <w:rtl w:val="0"/>
        </w:rPr>
        <w:t xml:space="preserve">Remember that creating buy-in is an ongoing process, and success may not come immediately. Persistence, empathy, and a well-crafted approach will increase your chances of gaining the support you need for your ideas and initiatives.</w:t>
      </w:r>
    </w:p>
    <w:p w:rsidR="00000000" w:rsidDel="00000000" w:rsidP="00000000" w:rsidRDefault="00000000" w:rsidRPr="00000000" w14:paraId="0000000C">
      <w:pPr>
        <w:widowControl w:val="0"/>
        <w:spacing w:after="200" w:lineRule="auto"/>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720" w:top="720" w:left="1080" w:right="108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tabs>
        <w:tab w:val="center" w:leader="none" w:pos="4680"/>
        <w:tab w:val="right" w:leader="none" w:pos="9360"/>
      </w:tabs>
      <w:spacing w:line="240" w:lineRule="auto"/>
      <w:ind w:left="180" w:firstLine="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tabs>
        <w:tab w:val="center" w:leader="none" w:pos="4680"/>
        <w:tab w:val="right" w:leader="none" w:pos="9360"/>
      </w:tabs>
      <w:spacing w:line="240" w:lineRule="auto"/>
      <w:ind w:left="180" w:firstLine="0"/>
      <w:jc w:val="center"/>
      <w:rPr/>
    </w:pPr>
    <w:r w:rsidDel="00000000" w:rsidR="00000000" w:rsidRPr="00000000">
      <w:rPr>
        <w:rFonts w:ascii="Palatino" w:cs="Palatino" w:eastAsia="Palatino" w:hAnsi="Palatino"/>
        <w:color w:val="0070c0"/>
        <w:sz w:val="20"/>
        <w:szCs w:val="20"/>
      </w:rPr>
      <w:drawing>
        <wp:inline distB="114300" distT="114300" distL="114300" distR="114300">
          <wp:extent cx="964109" cy="3762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4109" cy="37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1"/>
        <w:color w:val="374151"/>
        <w:sz w:val="24"/>
        <w:szCs w:val="24"/>
        <w:u w:val="none"/>
      </w:rPr>
    </w:lvl>
    <w:lvl w:ilvl="1">
      <w:start w:val="1"/>
      <w:numFmt w:val="lowerLetter"/>
      <w:lvlText w:val="%2."/>
      <w:lvlJc w:val="left"/>
      <w:pPr>
        <w:ind w:left="1440" w:hanging="360"/>
      </w:pPr>
      <w:rPr>
        <w:rFonts w:ascii="Roboto" w:cs="Roboto" w:eastAsia="Roboto" w:hAnsi="Roboto"/>
        <w:color w:val="374151"/>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