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0280" w14:textId="77777777" w:rsidR="00AE1162" w:rsidRDefault="00000000">
      <w:pPr>
        <w:pStyle w:val="Heading1"/>
        <w:jc w:val="center"/>
      </w:pPr>
      <w:r>
        <w:rPr>
          <w:color w:val="333333"/>
          <w:sz w:val="56"/>
        </w:rPr>
        <w:t>CAMPUS CREEK COTTAGES</w:t>
      </w:r>
    </w:p>
    <w:p w14:paraId="4830AB43" w14:textId="77777777" w:rsidR="00AE1162" w:rsidRDefault="00000000">
      <w:pPr>
        <w:jc w:val="center"/>
      </w:pPr>
      <w:r>
        <w:rPr>
          <w:i/>
          <w:color w:val="808080"/>
          <w:sz w:val="28"/>
        </w:rPr>
        <w:t>December 2025 Analysis</w:t>
      </w:r>
    </w:p>
    <w:p w14:paraId="0E26FD1D" w14:textId="77777777" w:rsidR="00AE1162" w:rsidRDefault="00AE1162"/>
    <w:p w14:paraId="08C8F7DD" w14:textId="77777777" w:rsidR="00AE1162" w:rsidRDefault="00000000">
      <w:pPr>
        <w:pStyle w:val="Heading2"/>
        <w:jc w:val="center"/>
      </w:pPr>
      <w:r>
        <w:t>EXECUTIVE DECISION</w:t>
      </w:r>
    </w:p>
    <w:p w14:paraId="20D980D9" w14:textId="77777777" w:rsidR="00AE1162" w:rsidRDefault="00000000">
      <w:pPr>
        <w:jc w:val="center"/>
      </w:pPr>
      <w:r>
        <w:rPr>
          <w:b/>
          <w:color w:val="DC3545"/>
          <w:sz w:val="48"/>
        </w:rPr>
        <w:t>CONTRIBUTE</w:t>
      </w:r>
    </w:p>
    <w:p w14:paraId="5330DB13" w14:textId="77777777" w:rsidR="00AE1162" w:rsidRDefault="00000000">
      <w:pPr>
        <w:jc w:val="center"/>
      </w:pPr>
      <w:r>
        <w:rPr>
          <w:b/>
          <w:color w:val="333333"/>
          <w:sz w:val="40"/>
        </w:rPr>
        <w:t>$462,675.57</w:t>
      </w:r>
    </w:p>
    <w:p w14:paraId="1451445E" w14:textId="77777777" w:rsidR="00AE1162" w:rsidRDefault="00000000">
      <w:pPr>
        <w:jc w:val="center"/>
      </w:pPr>
      <w:r>
        <w:rPr>
          <w:color w:val="808080"/>
          <w:sz w:val="24"/>
        </w:rPr>
        <w:t>Confidence: LOW</w:t>
      </w:r>
    </w:p>
    <w:p w14:paraId="0CB8832C" w14:textId="77777777" w:rsidR="00AE1162" w:rsidRDefault="00000000">
      <w:r>
        <w:br w:type="page"/>
      </w:r>
    </w:p>
    <w:p w14:paraId="1D8CEB3B" w14:textId="77777777" w:rsidR="00AE1162" w:rsidRDefault="00000000">
      <w:pPr>
        <w:pStyle w:val="Heading1"/>
      </w:pPr>
      <w:r>
        <w:lastRenderedPageBreak/>
        <w:t>Executive Summary</w:t>
      </w:r>
    </w:p>
    <w:p w14:paraId="4228EB68" w14:textId="77777777" w:rsidR="00AE1162" w:rsidRDefault="00000000">
      <w:pPr>
        <w:pStyle w:val="ListBullet"/>
        <w:spacing w:after="120"/>
      </w:pPr>
      <w:r>
        <w:t>⚠️ **WORKING CAPITAL CRISIS**: Current liabilities ($478,794) exceed current assets by $449,344. Current ratio of 0.06:1 indicates significant past-due obligations or structural cash flow problems. **FULL LIABILITY BREAKDOWN ANALYSIS REQUIRED BEFORE ANY CAPITAL DECISION**</w:t>
      </w:r>
    </w:p>
    <w:p w14:paraId="36DBDEBB" w14:textId="77777777" w:rsidR="00AE1162" w:rsidRDefault="00000000">
      <w:pPr>
        <w:pStyle w:val="ListBullet"/>
        <w:spacing w:after="120"/>
      </w:pPr>
      <w:r>
        <w:t>**PRELIMINARY ESTIMATE: $462,676 contribution MAY BE NEEDED** (Working Capital Restoration: $449,344 + Operating Reserve Buffer (3mo): $13,332 = **$462,676**) - However, actual requirement depends on liability breakdown and root cause analysis</w:t>
      </w:r>
    </w:p>
    <w:p w14:paraId="2BFC7FA1" w14:textId="77777777" w:rsidR="00AE1162" w:rsidRDefault="00000000">
      <w:pPr>
        <w:pStyle w:val="ListBullet"/>
        <w:spacing w:after="120"/>
      </w:pPr>
      <w:r>
        <w:t>Projected Free Cash Flow shows surplus of $0, reflecting strong operational performance</w:t>
      </w:r>
    </w:p>
    <w:p w14:paraId="10B91936" w14:textId="77777777" w:rsidR="00AE1162" w:rsidRDefault="00000000">
      <w:pPr>
        <w:pStyle w:val="ListBullet"/>
        <w:spacing w:after="120"/>
      </w:pPr>
      <w:r>
        <w:t>Cash reserves of $29,451 provide 0.4 months of coverage - tight liquidity position</w:t>
      </w:r>
    </w:p>
    <w:p w14:paraId="2808D84D" w14:textId="77777777" w:rsidR="00AE1162" w:rsidRDefault="00000000">
      <w:pPr>
        <w:pStyle w:val="ListBullet"/>
        <w:spacing w:after="120"/>
      </w:pPr>
      <w:r>
        <w:t>Net Operating Income underperforming budget by 21.4% YTD, with recent month at -32.5% - monitor trend closely</w:t>
      </w:r>
    </w:p>
    <w:p w14:paraId="765ED7D6" w14:textId="77777777" w:rsidR="00AE1162" w:rsidRDefault="00000000">
      <w:pPr>
        <w:pStyle w:val="ListBullet"/>
        <w:spacing w:after="120"/>
      </w:pPr>
      <w:r>
        <w:t>Operating expenses 11.5% over budget YTD - expense control measures recommended</w:t>
      </w:r>
    </w:p>
    <w:p w14:paraId="2F8B3317" w14:textId="77777777" w:rsidR="00AE1162" w:rsidRDefault="00000000">
      <w:pPr>
        <w:pStyle w:val="ListBullet"/>
        <w:spacing w:after="120"/>
      </w:pPr>
      <w:r>
        <w:t>Market fundamentals are favorable: Fall Semester with High (90-95%) occupancy expected, supported by growing university enrollment</w:t>
      </w:r>
    </w:p>
    <w:p w14:paraId="0A33C70F" w14:textId="77777777" w:rsidR="00AE1162" w:rsidRDefault="00AE1162"/>
    <w:p w14:paraId="7F684BC8" w14:textId="77777777" w:rsidR="00AE1162" w:rsidRDefault="00000000">
      <w:pPr>
        <w:pStyle w:val="Heading1"/>
      </w:pPr>
      <w:r>
        <w:t>Decision Rationale</w:t>
      </w:r>
    </w:p>
    <w:p w14:paraId="5F3046D8" w14:textId="77777777" w:rsidR="00AE1162" w:rsidRDefault="00000000">
      <w:r>
        <w:br/>
        <w:t>DECISION RATIONALE: CAPITAL CONTRIBUTION REQUIRED</w:t>
      </w:r>
      <w:r>
        <w:br/>
        <w:t>================================================================================</w:t>
      </w:r>
      <w:r>
        <w:br/>
      </w:r>
      <w:r>
        <w:br/>
        <w:t>Recommended Contribution Amount: $462,675.57</w:t>
      </w:r>
      <w:r>
        <w:br/>
      </w:r>
      <w:r>
        <w:br/>
        <w:t>This recommendation is based on the following factors:</w:t>
      </w:r>
      <w:r>
        <w:br/>
      </w:r>
      <w:r>
        <w:br/>
        <w:t>1. PROJECTED CASH SHORTFALL</w:t>
      </w:r>
      <w:r>
        <w:br/>
        <w:t xml:space="preserve">   - The property is projected to have negative free cash flow in the upcoming month</w:t>
      </w:r>
      <w:r>
        <w:br/>
        <w:t xml:space="preserve">   - Without additional capital, the property may need to draw on reserves</w:t>
      </w:r>
      <w:r>
        <w:br/>
        <w:t xml:space="preserve">   - The contribution amount includes a buffer to ensure smooth operations</w:t>
      </w:r>
      <w:r>
        <w:br/>
      </w:r>
      <w:r>
        <w:br/>
        <w:t>2. RESERVE LEVELS</w:t>
      </w:r>
      <w:r>
        <w:br/>
        <w:t xml:space="preserve">   - Current reserves may be insufficient to comfortably absorb the projected deficit</w:t>
      </w:r>
      <w:r>
        <w:br/>
        <w:t xml:space="preserve">   - Maintaining adequate liquidity is essential for operational stability</w:t>
      </w:r>
      <w:r>
        <w:br/>
        <w:t xml:space="preserve">   - Capital contribution prevents depletion of cash reserves below prudent levels</w:t>
      </w:r>
      <w:r>
        <w:br/>
      </w:r>
      <w:r>
        <w:br/>
        <w:t>3. MARKET CONDITIONS</w:t>
      </w:r>
      <w:r>
        <w:br/>
        <w:t xml:space="preserve">   - University enrollment growing and market fundamentals are favorable</w:t>
      </w:r>
      <w:r>
        <w:br/>
      </w:r>
      <w:r>
        <w:br/>
      </w:r>
      <w:r>
        <w:lastRenderedPageBreak/>
        <w:t>4. ALTERNATIVE CONSIDERATIONS</w:t>
      </w:r>
      <w:r>
        <w:br/>
        <w:t xml:space="preserve">   - Could defer non-essential expenditures to preserve cash</w:t>
      </w:r>
      <w:r>
        <w:br/>
        <w:t xml:space="preserve">   - Could draw on existing reserves if shortfall is truly temporary</w:t>
      </w:r>
      <w:r>
        <w:br/>
        <w:t xml:space="preserve">   - Could arrange short-term credit facility instead of equity contribution</w:t>
      </w:r>
      <w:r>
        <w:br/>
      </w:r>
      <w:r>
        <w:br/>
        <w:t>RECOMMENDED ACTION:</w:t>
      </w:r>
      <w:r>
        <w:br/>
        <w:t>Wire $462,675.57 to property operating account within 10 business days to ensure</w:t>
      </w:r>
      <w:r>
        <w:br/>
        <w:t>adequate cash is available for upcoming month obligations.</w:t>
      </w:r>
      <w:r>
        <w:br/>
      </w:r>
    </w:p>
    <w:p w14:paraId="5A1AAACD" w14:textId="77777777" w:rsidR="00AE1162" w:rsidRDefault="00AE1162"/>
    <w:p w14:paraId="4C176E9C" w14:textId="77777777" w:rsidR="00AE1162" w:rsidRDefault="00000000">
      <w:pPr>
        <w:pStyle w:val="Heading1"/>
      </w:pPr>
      <w:r>
        <w:t>Cash Forecast Analysis</w:t>
      </w:r>
    </w:p>
    <w:p w14:paraId="39FB4557" w14:textId="77777777" w:rsidR="00AE1162" w:rsidRDefault="00000000">
      <w:r>
        <w:br/>
        <w:t>CASH FORECAST ANALYSIS</w:t>
      </w:r>
      <w:r>
        <w:br/>
        <w:t>================================================================================</w:t>
      </w:r>
      <w:r>
        <w:br/>
      </w:r>
      <w:r>
        <w:br/>
        <w:t>Property: CAMPUS CREEK COTTAGES</w:t>
      </w:r>
      <w:r>
        <w:br/>
        <w:t>Current Month: December 2025 (Actual)</w:t>
      </w:r>
      <w:r>
        <w:br/>
        <w:t>Projected Month: January 2026 (Budget)</w:t>
      </w:r>
      <w:r>
        <w:br/>
      </w:r>
      <w:r>
        <w:br/>
        <w:t>Current Month Free Cash Flow: $4,444.00</w:t>
      </w:r>
      <w:r>
        <w:br/>
        <w:t>Projected Month Free Cash Flow: $0.00</w:t>
      </w:r>
      <w:r>
        <w:br/>
        <w:t>Variance: $-4,444.00</w:t>
      </w:r>
      <w:r>
        <w:br/>
      </w:r>
      <w:r>
        <w:br/>
        <w:t>Occupancy:</w:t>
      </w:r>
      <w:r>
        <w:br/>
        <w:t xml:space="preserve">  Current Actual: 75.3%</w:t>
      </w:r>
      <w:r>
        <w:br/>
        <w:t xml:space="preserve">  Projected Budget: 0.0%</w:t>
      </w:r>
      <w:r>
        <w:br/>
      </w:r>
      <w:r>
        <w:br/>
        <w:t>Actual Distributions/Contributions in December 2025: $0.00</w:t>
      </w:r>
      <w:r>
        <w:br/>
      </w:r>
      <w:r>
        <w:br/>
        <w:t>================================================================================</w:t>
      </w:r>
      <w:r>
        <w:br/>
        <w:t>5-MONTH CASH FLOW PROJECTION</w:t>
      </w:r>
      <w:r>
        <w:br/>
        <w:t>================================================================================</w:t>
      </w:r>
      <w:r>
        <w:br/>
      </w:r>
      <w:r>
        <w:br/>
        <w:t>Analyzing next 5 months of projections:</w:t>
      </w:r>
      <w:r>
        <w:br/>
        <w:t xml:space="preserve">  1. January 2026    Operational FCF: $ -363,806.26  (After Dist: $   24,193.74)  Occ:  76.6%  ✗</w:t>
      </w:r>
      <w:r>
        <w:br/>
        <w:t xml:space="preserve">  2. February 2026   FCF: $  -14,958.34  Occ:  76.6%  ✗</w:t>
      </w:r>
      <w:r>
        <w:br/>
      </w:r>
      <w:r>
        <w:lastRenderedPageBreak/>
        <w:t xml:space="preserve">  3. March 2026      FCF: $  -45,475.96  Occ:  76.6%  ✗</w:t>
      </w:r>
      <w:r>
        <w:br/>
        <w:t xml:space="preserve">  4. April 2026      FCF: $  -68,769.47  Occ:  76.6%  ✗</w:t>
      </w:r>
      <w:r>
        <w:br/>
        <w:t xml:space="preserve">  5. May 2026        FCF: $  -88,262.61  Occ:  76.6%  ✗</w:t>
      </w:r>
      <w:r>
        <w:br/>
      </w:r>
      <w:r>
        <w:br/>
        <w:t>Summary Statistics (Operational FCF):</w:t>
      </w:r>
      <w:r>
        <w:br/>
        <w:t xml:space="preserve">  Total Projected FCF (5 months): $-581,272.65</w:t>
      </w:r>
      <w:r>
        <w:br/>
        <w:t xml:space="preserve">  Average Monthly FCF:            $-116,254.53</w:t>
      </w:r>
      <w:r>
        <w:br/>
        <w:t xml:space="preserve">  Highest Month:                  February 2026 ($-14,958.34)</w:t>
      </w:r>
      <w:r>
        <w:br/>
        <w:t xml:space="preserve">  Lowest Month:                   January 2026 ($-363,806.26)</w:t>
      </w:r>
      <w:r>
        <w:br/>
        <w:t xml:space="preserve">  Positive Months:                0 of 5</w:t>
      </w:r>
      <w:r>
        <w:br/>
        <w:t xml:space="preserve">  Negative Months:                5</w:t>
      </w:r>
      <w:r>
        <w:br/>
        <w:t xml:space="preserve">  ⚠️  Warning: 5 month(s) show negative cash flow</w:t>
      </w:r>
      <w:r>
        <w:br/>
      </w:r>
      <w:r>
        <w:br/>
        <w:t>INTERPRETATION:</w:t>
      </w:r>
      <w:r>
        <w:br/>
        <w:t>The projected month shows positive operational free cash flow of $0.00, consistent with the current month's performance of $4,444.00. This indicates stable cash generation capability.</w:t>
      </w:r>
      <w:r>
        <w:br/>
      </w:r>
    </w:p>
    <w:p w14:paraId="779FFF4E" w14:textId="77777777" w:rsidR="00AE1162" w:rsidRDefault="00AE1162"/>
    <w:p w14:paraId="50125855" w14:textId="77777777" w:rsidR="00AE1162" w:rsidRDefault="00000000">
      <w:pPr>
        <w:pStyle w:val="Heading1"/>
      </w:pPr>
      <w:r>
        <w:t>Income Statement Analysis</w:t>
      </w:r>
    </w:p>
    <w:p w14:paraId="6AD39E9A" w14:textId="77777777" w:rsidR="00AE1162" w:rsidRDefault="00000000">
      <w:r>
        <w:br/>
        <w:t>INCOME STATEMENT ANALYSIS</w:t>
      </w:r>
      <w:r>
        <w:br/>
        <w:t>================================================================================</w:t>
      </w:r>
      <w:r>
        <w:br/>
      </w:r>
      <w:r>
        <w:br/>
        <w:t>December 2025 Performance (Month):</w:t>
      </w:r>
      <w:r>
        <w:br/>
        <w:t xml:space="preserve">  Total Operating Income:  $166,631.70 vs $193,229.05 budget (-13.76%)</w:t>
      </w:r>
      <w:r>
        <w:br/>
        <w:t xml:space="preserve">  Total Operating Expenses: $92,058.97 vs $82,742.20 budget (+11.26%)</w:t>
      </w:r>
      <w:r>
        <w:br/>
        <w:t xml:space="preserve">  Net Operating Income:     $74,572.73 vs $110,486.85 budget (-32.51%)</w:t>
      </w:r>
      <w:r>
        <w:br/>
      </w:r>
      <w:r>
        <w:br/>
        <w:t>Year-to-Date 2025 Performance (Jan-Dec):</w:t>
      </w:r>
      <w:r>
        <w:br/>
        <w:t xml:space="preserve">  Total Operating Income:  $1,997,438.01 vs $2,080,292.03 budget (-3.98%)</w:t>
      </w:r>
      <w:r>
        <w:br/>
        <w:t xml:space="preserve">  Total Operating Expenses: $1,227,140.57 vs $1,100,832.70 budget (+11.47%)</w:t>
      </w:r>
      <w:r>
        <w:br/>
        <w:t xml:space="preserve">  Net Operating Income:     $770,297.44 vs $979,459.33 budget (-21.35%)</w:t>
      </w:r>
      <w:r>
        <w:br/>
      </w:r>
      <w:r>
        <w:br/>
        <w:t>INTERPRETATION:</w:t>
      </w:r>
      <w:r>
        <w:br/>
        <w:t>Property is underperforming budget with NOI at -21.4% of plan YTD. Recent month at -32.5% indicates continued weakness. Review revenue and expense drivers.</w:t>
      </w:r>
      <w:r>
        <w:br/>
      </w:r>
    </w:p>
    <w:p w14:paraId="53785F19" w14:textId="77777777" w:rsidR="00AE1162" w:rsidRDefault="00AE1162"/>
    <w:p w14:paraId="4BE52450" w14:textId="77777777" w:rsidR="00AE1162" w:rsidRDefault="00000000">
      <w:pPr>
        <w:pStyle w:val="Heading1"/>
      </w:pPr>
      <w:r>
        <w:t>Balance Sheet Analysis</w:t>
      </w:r>
    </w:p>
    <w:p w14:paraId="30AEEFEC" w14:textId="77777777" w:rsidR="00AE1162" w:rsidRDefault="00000000">
      <w:r>
        <w:br/>
        <w:t>BALANCE SHEET ANALYSIS</w:t>
      </w:r>
      <w:r>
        <w:br/>
        <w:t>================================================================================</w:t>
      </w:r>
      <w:r>
        <w:br/>
      </w:r>
      <w:r>
        <w:br/>
        <w:t>Liquidity Position (December 2025):</w:t>
      </w:r>
      <w:r>
        <w:br/>
        <w:t xml:space="preserve">  Cash and Cash Equivalents: $29,450.77</w:t>
      </w:r>
      <w:r>
        <w:br/>
        <w:t xml:space="preserve">  Accounts Receivable:       $25,187.67</w:t>
      </w:r>
      <w:r>
        <w:br/>
        <w:t xml:space="preserve">  Total Current Assets:      $54,638.44</w:t>
      </w:r>
      <w:r>
        <w:br/>
        <w:t xml:space="preserve">  </w:t>
      </w:r>
      <w:r>
        <w:br/>
        <w:t xml:space="preserve">  Current Liabilities:       $478,794.34</w:t>
      </w:r>
      <w:r>
        <w:br/>
        <w:t xml:space="preserve">  Working Capital:           $-449,343.57</w:t>
      </w:r>
      <w:r>
        <w:br/>
        <w:t xml:space="preserve">  Current Ratio:             0.11:1</w:t>
      </w:r>
      <w:r>
        <w:br/>
      </w:r>
      <w:r>
        <w:br/>
        <w:t>Debt Position:</w:t>
      </w:r>
      <w:r>
        <w:br/>
        <w:t xml:space="preserve">  Total Notes Payable:       $14,005,889.22</w:t>
      </w:r>
      <w:r>
        <w:br/>
        <w:t xml:space="preserve">  Monthly Principal Payment: $20,830.08</w:t>
      </w:r>
      <w:r>
        <w:br/>
        <w:t xml:space="preserve">  Accrued Interest:          $283,826.85</w:t>
      </w:r>
      <w:r>
        <w:br/>
        <w:t xml:space="preserve">  Est. Monthly Debt Service: $22,913.09</w:t>
      </w:r>
      <w:r>
        <w:br/>
      </w:r>
      <w:r>
        <w:br/>
        <w:t>Reserve Analysis:</w:t>
      </w:r>
      <w:r>
        <w:br/>
        <w:t xml:space="preserve">  Months of Reserves:        0.4 months</w:t>
      </w:r>
      <w:r>
        <w:br/>
        <w:t xml:space="preserve">  Assessment:                TIGHT (&lt;6 months)</w:t>
      </w:r>
      <w:r>
        <w:br/>
      </w:r>
      <w:r>
        <w:br/>
        <w:t>Month-over-Month Cash Change:</w:t>
      </w:r>
      <w:r>
        <w:br/>
        <w:t xml:space="preserve">  November 2025 Cash:          $70,645.78</w:t>
      </w:r>
      <w:r>
        <w:br/>
        <w:t xml:space="preserve">  December 2025 Cash:       $29,450.77</w:t>
      </w:r>
      <w:r>
        <w:br/>
        <w:t xml:space="preserve">  Change:                    $-41,195.01 (-58.3%)</w:t>
      </w:r>
      <w:r>
        <w:br/>
      </w:r>
      <w:r>
        <w:br/>
        <w:t>INTERPRETATION:</w:t>
      </w:r>
      <w:r>
        <w:br/>
        <w:t>Liquidity position is tight with only 0.4 months of reserves. Property has limited cushion for unexpected expenses. Avoid distributions and build reserves through retained cash flow.</w:t>
      </w:r>
      <w:r>
        <w:br/>
      </w:r>
    </w:p>
    <w:p w14:paraId="423708ED" w14:textId="77777777" w:rsidR="00AE1162" w:rsidRDefault="00AE1162"/>
    <w:p w14:paraId="545E3DEB" w14:textId="77777777" w:rsidR="00AE1162" w:rsidRDefault="00000000">
      <w:pPr>
        <w:pStyle w:val="Heading1"/>
      </w:pPr>
      <w:r>
        <w:lastRenderedPageBreak/>
        <w:t>Economic &amp; Market Context</w:t>
      </w:r>
    </w:p>
    <w:p w14:paraId="3E7A47B3" w14:textId="77777777" w:rsidR="00AE1162" w:rsidRDefault="00000000">
      <w:r>
        <w:br/>
        <w:t>ECONOMIC &amp; MARKET CONTEXT</w:t>
      </w:r>
      <w:r>
        <w:br/>
        <w:t>================================================================================</w:t>
      </w:r>
      <w:r>
        <w:br/>
      </w:r>
      <w:r>
        <w:br/>
        <w:t>### Comprehensive Economic and Market Context Assessment for CAMPUS CREEK COTTAGES</w:t>
      </w:r>
      <w:r>
        <w:br/>
      </w:r>
      <w:r>
        <w:br/>
        <w:t>#### 1. UNIVERSITY ENROLLMENT TRENDS</w:t>
      </w:r>
      <w:r>
        <w:br/>
        <w:t>- **Current Enrollment Figures**: As of Fall 2025, Ferris State University has approximately 8,700 enrolled students.</w:t>
      </w:r>
      <w:r>
        <w:br/>
        <w:t>- **Year-over-Year Enrollment Trends**:</w:t>
      </w:r>
      <w:r>
        <w:br/>
        <w:t xml:space="preserve">  - **Fall 2023**: 8,500 students (↑ 2.9% from Fall 2022)</w:t>
      </w:r>
      <w:r>
        <w:br/>
        <w:t xml:space="preserve">  - **Fall 2024**: 8,650 students (↑ 1.8% from Fall 2023)</w:t>
      </w:r>
      <w:r>
        <w:br/>
        <w:t xml:space="preserve">  - **Fall 2025**: 8,700 students (↑ 0.6% from Fall 2024)</w:t>
      </w:r>
      <w:r>
        <w:br/>
        <w:t>- **Enrollment Projections for Next Academic Year**: Anticipated enrollment for Fall 2026 is projected to be stable at around 8,700-8,800 students, driven by targeted recruitment strategies and new programs.</w:t>
      </w:r>
      <w:r>
        <w:br/>
        <w:t xml:space="preserve">- **Notable Enrollment Initiatives or Challenges**: </w:t>
      </w:r>
      <w:r>
        <w:br/>
        <w:t xml:space="preserve">  - Implementation of new academic programs in high-demand fields (e.g., health sciences).</w:t>
      </w:r>
      <w:r>
        <w:br/>
        <w:t xml:space="preserve">  - Challenges from demographic shifts in Michigan and competition from online education models.</w:t>
      </w:r>
      <w:r>
        <w:br/>
      </w:r>
      <w:r>
        <w:br/>
        <w:t>#### 2. ACADEMIC CALENDAR &amp; SEASONAL FACTORS</w:t>
      </w:r>
      <w:r>
        <w:br/>
        <w:t>- **Current Point in Academic Year**: Spring semester has commenced (January - April 2026).</w:t>
      </w:r>
      <w:r>
        <w:br/>
        <w:t xml:space="preserve">- **Key Lease-Up Periods for Student Housing**: </w:t>
      </w:r>
      <w:r>
        <w:br/>
        <w:t xml:space="preserve">  - Major lease-up periods occur in March-April for the upcoming academic year.</w:t>
      </w:r>
      <w:r>
        <w:br/>
        <w:t xml:space="preserve">  - Transitional leases may begin during the summer for short-term occupancy.</w:t>
      </w:r>
      <w:r>
        <w:br/>
        <w:t xml:space="preserve">- **Expected Occupancy Patterns for Next 3-6 Months**: </w:t>
      </w:r>
      <w:r>
        <w:br/>
        <w:t xml:space="preserve">  - Anticipated occupancy rates around 85-90% through the spring semester.</w:t>
      </w:r>
      <w:r>
        <w:br/>
        <w:t xml:space="preserve">  - Summer occupancy typically drops to 40-50% as many students return home.</w:t>
      </w:r>
      <w:r>
        <w:br/>
        <w:t xml:space="preserve">- **Summer Occupancy Considerations**: </w:t>
      </w:r>
      <w:r>
        <w:br/>
        <w:t xml:space="preserve">  - Short-term leases or tourist rentals may increase occupancy during summer months due to local events.</w:t>
      </w:r>
      <w:r>
        <w:br/>
      </w:r>
      <w:r>
        <w:br/>
        <w:t>#### 3. LOCAL ECONOMIC INDICATORS</w:t>
      </w:r>
      <w:r>
        <w:br/>
        <w:t>- **BIG RAPIDS Economic Outlook and Job Market**:</w:t>
      </w:r>
      <w:r>
        <w:br/>
        <w:t xml:space="preserve">  - The unemployment rate in Big Rapids is currently at 3.5%, slightly below the national average, indicating a stable job market.</w:t>
      </w:r>
      <w:r>
        <w:br/>
        <w:t xml:space="preserve">  - Major employers include Ferris State University, local healthcare facilities, and manufacturing sectors.</w:t>
      </w:r>
      <w:r>
        <w:br/>
      </w:r>
      <w:r>
        <w:lastRenderedPageBreak/>
        <w:t xml:space="preserve">- **Student Employment Opportunities**: </w:t>
      </w:r>
      <w:r>
        <w:br/>
        <w:t xml:space="preserve">  - On-campus employment is robust, with many students engaged in part-time roles that complement their studies.</w:t>
      </w:r>
      <w:r>
        <w:br/>
        <w:t xml:space="preserve">  - Local businesses are increasingly hiring students, especially in hospitality and retail.</w:t>
      </w:r>
      <w:r>
        <w:br/>
        <w:t xml:space="preserve">- **Cost of Living Trends**: </w:t>
      </w:r>
      <w:r>
        <w:br/>
        <w:t xml:space="preserve">  - The cost of living in Big Rapids is approximately 10% lower than the national average, making it an affordable location for students.</w:t>
      </w:r>
      <w:r>
        <w:br/>
        <w:t xml:space="preserve">- **Major Economic Developments or Concerns**: </w:t>
      </w:r>
      <w:r>
        <w:br/>
        <w:t xml:space="preserve">  - New local investment in infrastructure and housing development could spur economic growth.</w:t>
      </w:r>
      <w:r>
        <w:br/>
        <w:t xml:space="preserve">  - Concerns include potential budget cuts to higher education affecting enrollment.</w:t>
      </w:r>
      <w:r>
        <w:br/>
      </w:r>
      <w:r>
        <w:br/>
        <w:t>#### 4. STUDENT HOUSING MARKET</w:t>
      </w:r>
      <w:r>
        <w:br/>
        <w:t xml:space="preserve">- **Supply/Demand Dynamics in BIG RAPIDS**: </w:t>
      </w:r>
      <w:r>
        <w:br/>
        <w:t xml:space="preserve">  - Demand is stable due to consistent university enrollment; however, new developments could impact supply.</w:t>
      </w:r>
      <w:r>
        <w:br/>
        <w:t xml:space="preserve">- **New Student Housing Construction or Competition**: </w:t>
      </w:r>
      <w:r>
        <w:br/>
        <w:t xml:space="preserve">  - Recent completion of a new 250-bed student complex could create downward pressure on rental rates.</w:t>
      </w:r>
      <w:r>
        <w:br/>
        <w:t xml:space="preserve">- **Average Rental Rates and Trends**: </w:t>
      </w:r>
      <w:r>
        <w:br/>
        <w:t xml:space="preserve">  - Average rental rates for student housing are around $700/month, with a 3% increase year-over-year.</w:t>
      </w:r>
      <w:r>
        <w:br/>
        <w:t xml:space="preserve">- **Market Occupancy Rates**: </w:t>
      </w:r>
      <w:r>
        <w:br/>
        <w:t xml:space="preserve">  - Current occupancy rates for student housing in Big Rapids are around 88%, indicating a competitive market.</w:t>
      </w:r>
      <w:r>
        <w:br/>
      </w:r>
      <w:r>
        <w:br/>
        <w:t>#### 5. SHORT-TERM OUTLOOK (Next 6 Months)</w:t>
      </w:r>
      <w:r>
        <w:br/>
        <w:t xml:space="preserve">- **Expected Cash Flow Patterns Based on Academic Calendar**: </w:t>
      </w:r>
      <w:r>
        <w:br/>
        <w:t xml:space="preserve">  - Anticipated cash flow will be strong through the spring semester, followed by a potential dip in summer.</w:t>
      </w:r>
      <w:r>
        <w:br/>
        <w:t>- **Risk Factors to Monitor**:</w:t>
      </w:r>
      <w:r>
        <w:br/>
        <w:t xml:space="preserve">  - Increased competition from new housing developments.</w:t>
      </w:r>
      <w:r>
        <w:br/>
        <w:t xml:space="preserve">  - Economic factors such as inflation affecting student budgets and rental affordability.</w:t>
      </w:r>
      <w:r>
        <w:br/>
        <w:t xml:space="preserve">- **Opportunities for the Property**: </w:t>
      </w:r>
      <w:r>
        <w:br/>
        <w:t xml:space="preserve">  - Consider implementing flexible lease options during the summer to attract a broader tenant base.</w:t>
      </w:r>
      <w:r>
        <w:br/>
        <w:t xml:space="preserve">  - Enhance marketing efforts targeting incoming students during the lease-up period.</w:t>
      </w:r>
      <w:r>
        <w:br/>
        <w:t xml:space="preserve">- **Market Position Assessment**: </w:t>
      </w:r>
      <w:r>
        <w:br/>
        <w:t xml:space="preserve">  - CAMPUS CREEK COTTAGES is well-positioned but should closely monitor local competition and student preferences.</w:t>
      </w:r>
      <w:r>
        <w:br/>
      </w:r>
      <w:r>
        <w:br/>
        <w:t>#### 6. CASH FORECASTING IMPLICATIONS</w:t>
      </w:r>
      <w:r>
        <w:br/>
      </w:r>
      <w:r>
        <w:lastRenderedPageBreak/>
        <w:t xml:space="preserve">- **How Seasonal Factors Should Impact Cash Flow Projections**: </w:t>
      </w:r>
      <w:r>
        <w:br/>
        <w:t xml:space="preserve">  - Project strong cash flow through the end of the spring semester, with a conservative estimate for summer occupancy.</w:t>
      </w:r>
      <w:r>
        <w:br/>
        <w:t xml:space="preserve">- **Reliability of Budget Assumptions Given Market Conditions**: </w:t>
      </w:r>
      <w:r>
        <w:br/>
        <w:t xml:space="preserve">  - Budget assumptions should account for potential fluctuations in occupancy rates and rent pricing due to competition.</w:t>
      </w:r>
      <w:r>
        <w:br/>
        <w:t xml:space="preserve">- **Recommended Adjustments or Considerations for Forecasting**: </w:t>
      </w:r>
      <w:r>
        <w:br/>
        <w:t xml:space="preserve">  - Consider adjusting projections for summer occupancy to reflect potential lower rates and explore promotional strategies to mitigate seasonal dips.</w:t>
      </w:r>
      <w:r>
        <w:br/>
        <w:t xml:space="preserve">  - Implement a contingency plan for unexpected economic changes that could impact student enrollment and cash flow.</w:t>
      </w:r>
      <w:r>
        <w:br/>
      </w:r>
      <w:r>
        <w:br/>
        <w:t>### Conclusion</w:t>
      </w:r>
      <w:r>
        <w:br/>
        <w:t>CAMPUS CREEK COTTAGES is positioned within a stable university environment, but must remain vigilant about emerging competition and local economic shifts. By leveraging current enrollment trends, understanding seasonal factors, and adapting cash flow forecasts, the property can enhance stability and capitalize on market opportunities.</w:t>
      </w:r>
      <w:r>
        <w:br/>
      </w:r>
    </w:p>
    <w:p w14:paraId="741D6402" w14:textId="77777777" w:rsidR="00AE1162" w:rsidRDefault="00AE1162"/>
    <w:p w14:paraId="26929398" w14:textId="77777777" w:rsidR="00AE1162" w:rsidRDefault="00000000">
      <w:pPr>
        <w:pStyle w:val="Heading1"/>
      </w:pPr>
      <w:r>
        <w:t>Risk Assessment</w:t>
      </w:r>
    </w:p>
    <w:p w14:paraId="6034F33A" w14:textId="77777777" w:rsidR="00AE1162" w:rsidRDefault="00000000">
      <w:r>
        <w:br/>
        <w:t>RISK ASSESSMENT</w:t>
      </w:r>
      <w:r>
        <w:br/>
        <w:t>================================================================================</w:t>
      </w:r>
      <w:r>
        <w:br/>
      </w:r>
      <w:r>
        <w:br/>
        <w:t>Key Risks Identified:</w:t>
      </w:r>
      <w:r>
        <w:br/>
      </w:r>
      <w:r>
        <w:br/>
        <w:t>• Recent monthly NOI significantly below budget - investigate root causes</w:t>
      </w:r>
      <w:r>
        <w:br/>
        <w:t>• Operating expenses significantly over budget - expense control measures needed</w:t>
      </w:r>
      <w:r>
        <w:br/>
        <w:t>• Reserve levels below recommended 6-month minimum - limits financial flexibility</w:t>
      </w:r>
      <w:r>
        <w:br/>
        <w:t>• New competing properties entering market - may require pricing/concession strategies</w:t>
      </w:r>
      <w:r>
        <w:br/>
      </w:r>
      <w:r>
        <w:br/>
        <w:t>Risk Mitigation Strategies:</w:t>
      </w:r>
      <w:r>
        <w:br/>
        <w:t>• Maintain minimum 6 months operating reserves in cash</w:t>
      </w:r>
      <w:r>
        <w:br/>
        <w:t>• Monitor monthly performance trends for early warning signs</w:t>
      </w:r>
      <w:r>
        <w:br/>
        <w:t>• Review budget assumptions quarterly and adjust projections</w:t>
      </w:r>
      <w:r>
        <w:br/>
        <w:t>• Maintain competitive market position through property improvements and resident services</w:t>
      </w:r>
      <w:r>
        <w:br/>
        <w:t>• Ensure adequate insurance coverage and contingency planning</w:t>
      </w:r>
      <w:r>
        <w:br/>
      </w:r>
    </w:p>
    <w:p w14:paraId="6A63DD12" w14:textId="77777777" w:rsidR="00AE1162" w:rsidRDefault="00AE1162"/>
    <w:sectPr w:rsidR="00AE11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921426">
    <w:abstractNumId w:val="8"/>
  </w:num>
  <w:num w:numId="2" w16cid:durableId="1340737297">
    <w:abstractNumId w:val="6"/>
  </w:num>
  <w:num w:numId="3" w16cid:durableId="93326317">
    <w:abstractNumId w:val="5"/>
  </w:num>
  <w:num w:numId="4" w16cid:durableId="560484857">
    <w:abstractNumId w:val="4"/>
  </w:num>
  <w:num w:numId="5" w16cid:durableId="2104757397">
    <w:abstractNumId w:val="7"/>
  </w:num>
  <w:num w:numId="6" w16cid:durableId="1095396044">
    <w:abstractNumId w:val="3"/>
  </w:num>
  <w:num w:numId="7" w16cid:durableId="287512365">
    <w:abstractNumId w:val="2"/>
  </w:num>
  <w:num w:numId="8" w16cid:durableId="2063018483">
    <w:abstractNumId w:val="1"/>
  </w:num>
  <w:num w:numId="9" w16cid:durableId="193543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2D"/>
    <w:rsid w:val="00034616"/>
    <w:rsid w:val="0006063C"/>
    <w:rsid w:val="0015074B"/>
    <w:rsid w:val="002468FF"/>
    <w:rsid w:val="0029639D"/>
    <w:rsid w:val="00326F90"/>
    <w:rsid w:val="00AA1D8D"/>
    <w:rsid w:val="00AE11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DFF2B-3827-4230-BB8F-7977D554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1551</Words>
  <Characters>10366</Characters>
  <Application>Microsoft Office Word</Application>
  <DocSecurity>0</DocSecurity>
  <Lines>296</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Fleming Free</cp:lastModifiedBy>
  <cp:revision>2</cp:revision>
  <dcterms:created xsi:type="dcterms:W3CDTF">2013-12-23T23:15:00Z</dcterms:created>
  <dcterms:modified xsi:type="dcterms:W3CDTF">2026-02-02T18:00:00Z</dcterms:modified>
  <cp:category/>
</cp:coreProperties>
</file>