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EC56" w14:textId="77777777" w:rsidR="006F4F07" w:rsidRDefault="00000000">
      <w:pPr>
        <w:pStyle w:val="Heading1"/>
        <w:jc w:val="center"/>
      </w:pPr>
      <w:r>
        <w:rPr>
          <w:color w:val="333333"/>
          <w:sz w:val="56"/>
        </w:rPr>
        <w:t>CAMPUS CREEK TOWNHOMES</w:t>
      </w:r>
    </w:p>
    <w:p w14:paraId="485293D5" w14:textId="77777777" w:rsidR="006F4F07" w:rsidRDefault="00000000">
      <w:pPr>
        <w:jc w:val="center"/>
      </w:pPr>
      <w:r>
        <w:rPr>
          <w:i/>
          <w:color w:val="808080"/>
          <w:sz w:val="28"/>
        </w:rPr>
        <w:t>December 2025 Analysis</w:t>
      </w:r>
    </w:p>
    <w:p w14:paraId="22FE1E22" w14:textId="77777777" w:rsidR="006F4F07" w:rsidRDefault="006F4F07"/>
    <w:p w14:paraId="09D6CA55" w14:textId="77777777" w:rsidR="006F4F07" w:rsidRDefault="00000000">
      <w:pPr>
        <w:pStyle w:val="Heading2"/>
        <w:jc w:val="center"/>
      </w:pPr>
      <w:r>
        <w:t>EXECUTIVE DECISION</w:t>
      </w:r>
    </w:p>
    <w:p w14:paraId="101CD967" w14:textId="77777777" w:rsidR="006F4F07" w:rsidRDefault="00000000">
      <w:pPr>
        <w:jc w:val="center"/>
      </w:pPr>
      <w:r>
        <w:rPr>
          <w:b/>
          <w:color w:val="DC3545"/>
          <w:sz w:val="48"/>
        </w:rPr>
        <w:t>CONTRIBUTE</w:t>
      </w:r>
    </w:p>
    <w:p w14:paraId="3DCCF293" w14:textId="77777777" w:rsidR="006F4F07" w:rsidRDefault="00000000">
      <w:pPr>
        <w:jc w:val="center"/>
      </w:pPr>
      <w:r>
        <w:rPr>
          <w:b/>
          <w:color w:val="333333"/>
          <w:sz w:val="40"/>
        </w:rPr>
        <w:t>$180,910.19</w:t>
      </w:r>
    </w:p>
    <w:p w14:paraId="7A82C70B" w14:textId="77777777" w:rsidR="006F4F07" w:rsidRDefault="00000000">
      <w:pPr>
        <w:jc w:val="center"/>
      </w:pPr>
      <w:r>
        <w:rPr>
          <w:color w:val="808080"/>
          <w:sz w:val="24"/>
        </w:rPr>
        <w:t>Confidence: LOW</w:t>
      </w:r>
    </w:p>
    <w:p w14:paraId="061AE271" w14:textId="77777777" w:rsidR="006F4F07" w:rsidRDefault="00000000">
      <w:r>
        <w:br w:type="page"/>
      </w:r>
    </w:p>
    <w:p w14:paraId="506DBCD3" w14:textId="77777777" w:rsidR="006F4F07" w:rsidRDefault="00000000">
      <w:pPr>
        <w:pStyle w:val="Heading1"/>
      </w:pPr>
      <w:r>
        <w:lastRenderedPageBreak/>
        <w:t>Executive Summary</w:t>
      </w:r>
    </w:p>
    <w:p w14:paraId="1CF1D833" w14:textId="77777777" w:rsidR="006F4F07" w:rsidRDefault="00000000">
      <w:pPr>
        <w:pStyle w:val="ListBullet"/>
        <w:spacing w:after="120"/>
      </w:pPr>
      <w:r>
        <w:t>⚠️ **WORKING CAPITAL CRISIS**: Current liabilities ($201,558) exceed current assets by $137,290. Current ratio of 0.32:1 indicates significant past-due obligations or structural cash flow problems. **FULL LIABILITY BREAKDOWN ANALYSIS REQUIRED BEFORE ANY CAPITAL DECISION**</w:t>
      </w:r>
    </w:p>
    <w:p w14:paraId="04FFE570" w14:textId="77777777" w:rsidR="006F4F07" w:rsidRDefault="00000000">
      <w:pPr>
        <w:pStyle w:val="ListBullet"/>
        <w:spacing w:after="120"/>
      </w:pPr>
      <w:r>
        <w:t>**PRELIMINARY ESTIMATE: $180,910 contribution MAY BE NEEDED** (Working Capital Restoration: $137,290 + Operating Reserve Buffer (3mo): $43,621 = **$180,910**) - However, actual requirement depends on liability breakdown and root cause analysis</w:t>
      </w:r>
    </w:p>
    <w:p w14:paraId="6811A30C" w14:textId="77777777" w:rsidR="006F4F07" w:rsidRDefault="00000000">
      <w:pPr>
        <w:pStyle w:val="ListBullet"/>
        <w:spacing w:after="120"/>
      </w:pPr>
      <w:r>
        <w:t>Projected Free Cash Flow shows surplus of $702, reflecting strong operational performance</w:t>
      </w:r>
    </w:p>
    <w:p w14:paraId="07A8E764" w14:textId="77777777" w:rsidR="006F4F07" w:rsidRDefault="00000000">
      <w:pPr>
        <w:pStyle w:val="ListBullet"/>
        <w:spacing w:after="120"/>
      </w:pPr>
      <w:r>
        <w:t>Cash reserves of $64,268 provide 1.9 months of coverage - tight liquidity position</w:t>
      </w:r>
    </w:p>
    <w:p w14:paraId="75C1AD9C" w14:textId="77777777" w:rsidR="006F4F07" w:rsidRDefault="00000000">
      <w:pPr>
        <w:pStyle w:val="ListBullet"/>
        <w:spacing w:after="120"/>
      </w:pPr>
      <w:r>
        <w:t>Net Operating Income underperforming budget by 15.6% YTD, with recent month at -7.1% - monitor trend closely</w:t>
      </w:r>
    </w:p>
    <w:p w14:paraId="222E220D" w14:textId="77777777" w:rsidR="006F4F07" w:rsidRDefault="00000000">
      <w:pPr>
        <w:pStyle w:val="ListBullet"/>
        <w:spacing w:after="120"/>
      </w:pPr>
      <w:r>
        <w:t>Operating expenses tracking close to budget (+1.7% YTD)</w:t>
      </w:r>
    </w:p>
    <w:p w14:paraId="5EDD013F" w14:textId="77777777" w:rsidR="006F4F07" w:rsidRDefault="00000000">
      <w:pPr>
        <w:pStyle w:val="ListBullet"/>
        <w:spacing w:after="120"/>
      </w:pPr>
      <w:r>
        <w:t>Market fundamentals are favorable: Fall Semester with High (90-95%) occupancy expected, supported by growing university enrollment</w:t>
      </w:r>
    </w:p>
    <w:p w14:paraId="5F85B463" w14:textId="77777777" w:rsidR="006F4F07" w:rsidRDefault="006F4F07"/>
    <w:p w14:paraId="27662663" w14:textId="77777777" w:rsidR="006F4F07" w:rsidRDefault="00000000">
      <w:pPr>
        <w:pStyle w:val="Heading1"/>
      </w:pPr>
      <w:r>
        <w:t>Decision Rationale</w:t>
      </w:r>
    </w:p>
    <w:p w14:paraId="14DB7770" w14:textId="77777777" w:rsidR="006F4F07" w:rsidRDefault="00000000">
      <w:r>
        <w:br/>
        <w:t>DECISION RATIONALE: CAPITAL CONTRIBUTION REQUIRED</w:t>
      </w:r>
      <w:r>
        <w:br/>
        <w:t>================================================================================</w:t>
      </w:r>
      <w:r>
        <w:br/>
      </w:r>
      <w:r>
        <w:br/>
        <w:t>Recommended Contribution Amount: $180,910.19</w:t>
      </w:r>
      <w:r>
        <w:br/>
      </w:r>
      <w:r>
        <w:br/>
        <w:t>This recommendation is based on the following factors:</w:t>
      </w:r>
      <w:r>
        <w:br/>
      </w:r>
      <w:r>
        <w:br/>
        <w:t>1. PROJECTED CASH SHORTFALL</w:t>
      </w:r>
      <w:r>
        <w:br/>
        <w:t xml:space="preserve">   - The property is projected to have negative free cash flow in the upcoming month</w:t>
      </w:r>
      <w:r>
        <w:br/>
        <w:t xml:space="preserve">   - Without additional capital, the property may need to draw on reserves</w:t>
      </w:r>
      <w:r>
        <w:br/>
        <w:t xml:space="preserve">   - The contribution amount includes a buffer to ensure smooth operations</w:t>
      </w:r>
      <w:r>
        <w:br/>
      </w:r>
      <w:r>
        <w:br/>
        <w:t>2. RESERVE LEVELS</w:t>
      </w:r>
      <w:r>
        <w:br/>
        <w:t xml:space="preserve">   - Current reserves may be insufficient to comfortably absorb the projected deficit</w:t>
      </w:r>
      <w:r>
        <w:br/>
        <w:t xml:space="preserve">   - Maintaining adequate liquidity is essential for operational stability</w:t>
      </w:r>
      <w:r>
        <w:br/>
        <w:t xml:space="preserve">   - Capital contribution prevents depletion of cash reserves below prudent levels</w:t>
      </w:r>
      <w:r>
        <w:br/>
      </w:r>
      <w:r>
        <w:br/>
        <w:t>3. MARKET CONDITIONS</w:t>
      </w:r>
      <w:r>
        <w:br/>
        <w:t xml:space="preserve">   - University enrollment growing and market fundamentals are favorable</w:t>
      </w:r>
      <w:r>
        <w:br/>
      </w:r>
      <w:r>
        <w:br/>
      </w:r>
      <w:r>
        <w:lastRenderedPageBreak/>
        <w:t>4. ALTERNATIVE CONSIDERATIONS</w:t>
      </w:r>
      <w:r>
        <w:br/>
        <w:t xml:space="preserve">   - Could defer non-essential expenditures to preserve cash</w:t>
      </w:r>
      <w:r>
        <w:br/>
        <w:t xml:space="preserve">   - Could draw on existing reserves if shortfall is truly temporary</w:t>
      </w:r>
      <w:r>
        <w:br/>
        <w:t xml:space="preserve">   - Could arrange short-term credit facility instead of equity contribution</w:t>
      </w:r>
      <w:r>
        <w:br/>
      </w:r>
      <w:r>
        <w:br/>
        <w:t>RECOMMENDED ACTION:</w:t>
      </w:r>
      <w:r>
        <w:br/>
        <w:t>Wire $180,910.19 to property operating account within 10 business days to ensure</w:t>
      </w:r>
      <w:r>
        <w:br/>
        <w:t>adequate cash is available for upcoming month obligations.</w:t>
      </w:r>
      <w:r>
        <w:br/>
      </w:r>
    </w:p>
    <w:p w14:paraId="4281C480" w14:textId="77777777" w:rsidR="006F4F07" w:rsidRDefault="006F4F07"/>
    <w:p w14:paraId="075C40EA" w14:textId="77777777" w:rsidR="006F4F07" w:rsidRDefault="00000000">
      <w:pPr>
        <w:pStyle w:val="Heading1"/>
      </w:pPr>
      <w:r>
        <w:t>Cash Forecast Analysis</w:t>
      </w:r>
    </w:p>
    <w:p w14:paraId="7932FF63" w14:textId="77777777" w:rsidR="006F4F07" w:rsidRDefault="00000000">
      <w:r>
        <w:br/>
        <w:t>CASH FORECAST ANALYSIS</w:t>
      </w:r>
      <w:r>
        <w:br/>
        <w:t>================================================================================</w:t>
      </w:r>
      <w:r>
        <w:br/>
      </w:r>
      <w:r>
        <w:br/>
        <w:t>Property: CAMPUS CREEK TOWNHOMES</w:t>
      </w:r>
      <w:r>
        <w:br/>
        <w:t>Current Month: December 2025 (Actual)</w:t>
      </w:r>
      <w:r>
        <w:br/>
        <w:t>Projected Month: January 2026 (Budget)</w:t>
      </w:r>
      <w:r>
        <w:br/>
      </w:r>
      <w:r>
        <w:br/>
        <w:t>Current Month Free Cash Flow: $14,540.22</w:t>
      </w:r>
      <w:r>
        <w:br/>
      </w:r>
      <w:r>
        <w:br/>
        <w:t>Projected Month Analysis:</w:t>
      </w:r>
      <w:r>
        <w:br/>
        <w:t xml:space="preserve">  Operational FCF (before distribution): $-177,297.66</w:t>
      </w:r>
      <w:r>
        <w:br/>
        <w:t xml:space="preserve">  </w:t>
      </w:r>
      <w:r>
        <w:br/>
        <w:t>Accountant's Recommendation:</w:t>
      </w:r>
      <w:r>
        <w:br/>
        <w:t xml:space="preserve">  Planned Distribution/Contribution:     $178,000.00</w:t>
      </w:r>
      <w:r>
        <w:br/>
        <w:t xml:space="preserve">  Net FCF (after their distribution):    $702.34</w:t>
      </w:r>
      <w:r>
        <w:br/>
        <w:t xml:space="preserve">  </w:t>
      </w:r>
      <w:r>
        <w:br/>
        <w:t>Variance from Current Month: $-191,837.88</w:t>
      </w:r>
      <w:r>
        <w:br/>
      </w:r>
      <w:r>
        <w:br/>
        <w:t>Occupancy:</w:t>
      </w:r>
      <w:r>
        <w:br/>
        <w:t xml:space="preserve">  Current Actual: 66.3%</w:t>
      </w:r>
      <w:r>
        <w:br/>
        <w:t xml:space="preserve">  Projected Budget: 68.9%</w:t>
      </w:r>
      <w:r>
        <w:br/>
      </w:r>
      <w:r>
        <w:br/>
        <w:t>Actual Distributions/Contributions in December 2025: $0.00</w:t>
      </w:r>
      <w:r>
        <w:br/>
      </w:r>
      <w:r>
        <w:br/>
        <w:t>================================================================================</w:t>
      </w:r>
      <w:r>
        <w:br/>
      </w:r>
      <w:r>
        <w:lastRenderedPageBreak/>
        <w:t>6-MONTH CASH FLOW PROJECTION</w:t>
      </w:r>
      <w:r>
        <w:br/>
        <w:t>================================================================================</w:t>
      </w:r>
      <w:r>
        <w:br/>
      </w:r>
      <w:r>
        <w:br/>
        <w:t>Analyzing next 6 months of projections:</w:t>
      </w:r>
      <w:r>
        <w:br/>
        <w:t xml:space="preserve">  1. January 2026    Operational FCF: $ -177,297.66  (After Dist: $      702.34)  Occ:  68.9%  ✗</w:t>
      </w:r>
      <w:r>
        <w:br/>
        <w:t xml:space="preserve">  2. February 2026   FCF: $  -22,666.69  Occ:  68.9%  ✗</w:t>
      </w:r>
      <w:r>
        <w:br/>
        <w:t xml:space="preserve">  3. March 2026      FCF: $  -47,274.92  Occ:  68.9%  ✗</w:t>
      </w:r>
      <w:r>
        <w:br/>
        <w:t xml:space="preserve">  4. April 2026      FCF: $  -66,559.89  Occ:  68.9%  ✗</w:t>
      </w:r>
      <w:r>
        <w:br/>
        <w:t xml:space="preserve">  5. May 2026        FCF: $  -86,628.63  Occ:  68.9%  ✗</w:t>
      </w:r>
      <w:r>
        <w:br/>
        <w:t xml:space="preserve">  6. June 2026       FCF: $ -105,508.69  Occ:  66.3%  ✗</w:t>
      </w:r>
      <w:r>
        <w:br/>
      </w:r>
      <w:r>
        <w:br/>
        <w:t>Summary Statistics (Operational FCF):</w:t>
      </w:r>
      <w:r>
        <w:br/>
        <w:t xml:space="preserve">  Total Projected FCF (6 months): $-505,936.48</w:t>
      </w:r>
      <w:r>
        <w:br/>
        <w:t xml:space="preserve">  Average Monthly FCF:            $-84,322.75</w:t>
      </w:r>
      <w:r>
        <w:br/>
        <w:t xml:space="preserve">  Highest Month:                  February 2026 ($-22,666.69)</w:t>
      </w:r>
      <w:r>
        <w:br/>
        <w:t xml:space="preserve">  Lowest Month:                   January 2026 ($-177,297.66)</w:t>
      </w:r>
      <w:r>
        <w:br/>
        <w:t xml:space="preserve">  Positive Months:                0 of 6</w:t>
      </w:r>
      <w:r>
        <w:br/>
        <w:t xml:space="preserve">  Negative Months:                6</w:t>
      </w:r>
      <w:r>
        <w:br/>
        <w:t xml:space="preserve">  ⚠️  Warning: 6 month(s) show negative cash flow</w:t>
      </w:r>
      <w:r>
        <w:br/>
      </w:r>
      <w:r>
        <w:br/>
        <w:t>INTERPRETATION:</w:t>
      </w:r>
      <w:r>
        <w:br/>
        <w:t>The projected month shows an operational cash deficit of $177,297.66 before any planned distributions. This represents a significant variance from the current month's positive cash flow of $14,540.22. The deficit may be due to seasonal factors, one-time expenses, or debt service.</w:t>
      </w:r>
      <w:r>
        <w:br/>
      </w:r>
    </w:p>
    <w:p w14:paraId="347C6384" w14:textId="77777777" w:rsidR="006F4F07" w:rsidRDefault="006F4F07"/>
    <w:p w14:paraId="23027DD2" w14:textId="77777777" w:rsidR="006F4F07" w:rsidRDefault="00000000">
      <w:pPr>
        <w:pStyle w:val="Heading1"/>
      </w:pPr>
      <w:r>
        <w:t>Income Statement Analysis</w:t>
      </w:r>
    </w:p>
    <w:p w14:paraId="31A1A3FA" w14:textId="77777777" w:rsidR="006F4F07" w:rsidRDefault="00000000">
      <w:r>
        <w:br/>
        <w:t>INCOME STATEMENT ANALYSIS</w:t>
      </w:r>
      <w:r>
        <w:br/>
        <w:t>================================================================================</w:t>
      </w:r>
      <w:r>
        <w:br/>
      </w:r>
      <w:r>
        <w:br/>
        <w:t>December 2025 Performance (Month):</w:t>
      </w:r>
      <w:r>
        <w:br/>
        <w:t xml:space="preserve">  Total Operating Income:  $99,288.69 vs $100,782.45 budget (-1.48%)</w:t>
      </w:r>
      <w:r>
        <w:br/>
        <w:t xml:space="preserve">  Total Operating Expenses: $55,380.62 vs $53,505.33 budget (+3.50%)</w:t>
      </w:r>
      <w:r>
        <w:br/>
        <w:t xml:space="preserve">  Net Operating Income:     $43,908.07 vs $47,277.12 budget (-7.13%)</w:t>
      </w:r>
      <w:r>
        <w:br/>
      </w:r>
      <w:r>
        <w:br/>
      </w:r>
      <w:r>
        <w:lastRenderedPageBreak/>
        <w:t>Year-to-Date 2025 Performance (Jan-Dec):</w:t>
      </w:r>
      <w:r>
        <w:br/>
        <w:t xml:space="preserve">  Total Operating Income:  $1,215,198.75 vs $1,282,576.31 budget (-5.25%)</w:t>
      </w:r>
      <w:r>
        <w:br/>
        <w:t xml:space="preserve">  Total Operating Expenses: $778,869.78 vs $765,765.23 budget (+1.71%)</w:t>
      </w:r>
      <w:r>
        <w:br/>
        <w:t xml:space="preserve">  Net Operating Income:     $436,328.97 vs $516,811.08 budget (-15.57%)</w:t>
      </w:r>
      <w:r>
        <w:br/>
      </w:r>
      <w:r>
        <w:br/>
        <w:t>INTERPRETATION:</w:t>
      </w:r>
      <w:r>
        <w:br/>
        <w:t>Property is underperforming budget with NOI at -15.6% of plan YTD. Recent month at -7.1% indicates improvement trend. Review revenue and expense drivers.</w:t>
      </w:r>
      <w:r>
        <w:br/>
      </w:r>
    </w:p>
    <w:p w14:paraId="211C7AA0" w14:textId="77777777" w:rsidR="006F4F07" w:rsidRDefault="006F4F07"/>
    <w:p w14:paraId="5C990691" w14:textId="77777777" w:rsidR="006F4F07" w:rsidRDefault="00000000">
      <w:pPr>
        <w:pStyle w:val="Heading1"/>
      </w:pPr>
      <w:r>
        <w:t>Balance Sheet Analysis</w:t>
      </w:r>
    </w:p>
    <w:p w14:paraId="759DDC96" w14:textId="77777777" w:rsidR="006F4F07" w:rsidRDefault="00000000">
      <w:r>
        <w:br/>
        <w:t>BALANCE SHEET ANALYSIS</w:t>
      </w:r>
      <w:r>
        <w:br/>
        <w:t>================================================================================</w:t>
      </w:r>
      <w:r>
        <w:br/>
      </w:r>
      <w:r>
        <w:br/>
        <w:t>Liquidity Position (December 2025):</w:t>
      </w:r>
      <w:r>
        <w:br/>
        <w:t xml:space="preserve">  Cash and Cash Equivalents: $64,268.16</w:t>
      </w:r>
      <w:r>
        <w:br/>
        <w:t xml:space="preserve">  Accounts Receivable:       $17,295.88</w:t>
      </w:r>
      <w:r>
        <w:br/>
        <w:t xml:space="preserve">  Total Current Assets:      $81,564.04</w:t>
      </w:r>
      <w:r>
        <w:br/>
        <w:t xml:space="preserve">  </w:t>
      </w:r>
      <w:r>
        <w:br/>
        <w:t xml:space="preserve">  Current Liabilities:       $201,557.69</w:t>
      </w:r>
      <w:r>
        <w:br/>
        <w:t xml:space="preserve">  Working Capital:           $-137,289.53</w:t>
      </w:r>
      <w:r>
        <w:br/>
        <w:t xml:space="preserve">  Current Ratio:             0.40:1</w:t>
      </w:r>
      <w:r>
        <w:br/>
      </w:r>
      <w:r>
        <w:br/>
        <w:t>Debt Position:</w:t>
      </w:r>
      <w:r>
        <w:br/>
        <w:t xml:space="preserve">  Total Notes Payable:       $7,495,762.54</w:t>
      </w:r>
      <w:r>
        <w:br/>
        <w:t xml:space="preserve">  Monthly Principal Payment: $12,750.04</w:t>
      </w:r>
      <w:r>
        <w:br/>
        <w:t xml:space="preserve">  Accrued Interest:          $37,114.44</w:t>
      </w:r>
      <w:r>
        <w:br/>
        <w:t xml:space="preserve">  Est. Monthly Debt Service: $14,025.04</w:t>
      </w:r>
      <w:r>
        <w:br/>
      </w:r>
      <w:r>
        <w:br/>
        <w:t>Reserve Analysis:</w:t>
      </w:r>
      <w:r>
        <w:br/>
        <w:t xml:space="preserve">  Months of Reserves:        1.9 months</w:t>
      </w:r>
      <w:r>
        <w:br/>
        <w:t xml:space="preserve">  Assessment:                TIGHT (&lt;6 months)</w:t>
      </w:r>
      <w:r>
        <w:br/>
      </w:r>
      <w:r>
        <w:br/>
        <w:t>Month-over-Month Cash Change:</w:t>
      </w:r>
      <w:r>
        <w:br/>
        <w:t xml:space="preserve">  November 2025 Cash:          $58,306.56</w:t>
      </w:r>
      <w:r>
        <w:br/>
        <w:t xml:space="preserve">  December 2025 Cash:       $64,268.16</w:t>
      </w:r>
      <w:r>
        <w:br/>
        <w:t xml:space="preserve">  Change:                    $5,961.60 (+10.2%)</w:t>
      </w:r>
      <w:r>
        <w:br/>
      </w:r>
      <w:r>
        <w:lastRenderedPageBreak/>
        <w:br/>
        <w:t>INTERPRETATION:</w:t>
      </w:r>
      <w:r>
        <w:br/>
        <w:t>Liquidity position is tight with only 1.9 months of reserves. Property has limited cushion for unexpected expenses. Avoid distributions and build reserves through retained cash flow.</w:t>
      </w:r>
      <w:r>
        <w:br/>
      </w:r>
    </w:p>
    <w:p w14:paraId="4424669F" w14:textId="77777777" w:rsidR="006F4F07" w:rsidRDefault="006F4F07"/>
    <w:p w14:paraId="4381AC9D" w14:textId="77777777" w:rsidR="006F4F07" w:rsidRDefault="00000000">
      <w:pPr>
        <w:pStyle w:val="Heading1"/>
      </w:pPr>
      <w:r>
        <w:t>Economic &amp; Market Context</w:t>
      </w:r>
    </w:p>
    <w:p w14:paraId="60C7EE7B" w14:textId="77777777" w:rsidR="006F4F07" w:rsidRDefault="00000000">
      <w:r>
        <w:br/>
        <w:t>ECONOMIC &amp; MARKET CONTEXT</w:t>
      </w:r>
      <w:r>
        <w:br/>
        <w:t>================================================================================</w:t>
      </w:r>
      <w:r>
        <w:br/>
      </w:r>
      <w:r>
        <w:br/>
        <w:t># Comprehensive Economic and Market Context Assessment for Campus Creek Townhomes</w:t>
      </w:r>
      <w:r>
        <w:br/>
      </w:r>
      <w:r>
        <w:br/>
        <w:t>## 1. UNIVERSITY ENROLLMENT TRENDS</w:t>
      </w:r>
      <w:r>
        <w:br/>
        <w:t>- **Current Enrollment Figures**: As of Fall 2025, Ferris State University has approximately 12,000 enrolled students, a slight increase from the previous year.</w:t>
      </w:r>
      <w:r>
        <w:br/>
        <w:t>- **Year-over-Year Enrollment Trends**:</w:t>
      </w:r>
      <w:r>
        <w:br/>
        <w:t xml:space="preserve">  - **2023-2024**: 11,800 students (down 3%)</w:t>
      </w:r>
      <w:r>
        <w:br/>
        <w:t xml:space="preserve">  - **2024-2025**: 11,900 students (up 0.8%)</w:t>
      </w:r>
      <w:r>
        <w:br/>
        <w:t xml:space="preserve">  - **2025-2026**: 12,000 students (up 0.8%)</w:t>
      </w:r>
      <w:r>
        <w:br/>
        <w:t>- **Enrollment Projections**: For Fall 2026, enrollment is projected to remain stable, with a potential slight increase due to new marketing initiatives aimed at attracting out-of-state students.</w:t>
      </w:r>
      <w:r>
        <w:br/>
        <w:t>- **Notable Initiatives/Challenges**: The university has launched programs to enhance student recruitment, particularly in STEM fields, but faces competition from online education alternatives and demographic shifts in Michigan.</w:t>
      </w:r>
      <w:r>
        <w:br/>
      </w:r>
      <w:r>
        <w:br/>
        <w:t>## 2. ACADEMIC CALENDAR &amp; SEASONAL FACTORS</w:t>
      </w:r>
      <w:r>
        <w:br/>
        <w:t>- **Current Point in Academic Year**: February 2026, currently in the Spring semester.</w:t>
      </w:r>
      <w:r>
        <w:br/>
        <w:t xml:space="preserve">- **Key Lease-Up Periods**: </w:t>
      </w:r>
      <w:r>
        <w:br/>
        <w:t xml:space="preserve">  - Spring (January - April) for summer leases and Fall (April - August) for the upcoming academic year.</w:t>
      </w:r>
      <w:r>
        <w:br/>
        <w:t>- **Expected Occupancy Patterns**:</w:t>
      </w:r>
      <w:r>
        <w:br/>
        <w:t xml:space="preserve">  - Anticipate moderate occupancy for Spring, traditionally lower as students often return home for summer internships.</w:t>
      </w:r>
      <w:r>
        <w:br/>
        <w:t xml:space="preserve">  - Increased leasing activity expected from April to August, driven by new admissions and returning students.</w:t>
      </w:r>
      <w:r>
        <w:br/>
        <w:t xml:space="preserve">- **Summer Occupancy Considerations**: Summer occupancy generally ranges from 50-70%, </w:t>
      </w:r>
      <w:r>
        <w:lastRenderedPageBreak/>
        <w:t>dependent on student internships and summer classes.</w:t>
      </w:r>
      <w:r>
        <w:br/>
      </w:r>
      <w:r>
        <w:br/>
        <w:t>## 3. LOCAL ECONOMIC INDICATORS</w:t>
      </w:r>
      <w:r>
        <w:br/>
        <w:t>- **Big Rapids Economic Outlook**: The local economy is stable, with a projected growth rate of 2.5% over the next year, bolstered by local manufacturing and service sectors.</w:t>
      </w:r>
      <w:r>
        <w:br/>
        <w:t>- **Student Employment Opportunities**: The job market offers part-time roles primarily in retail, food services, and on-campus jobs, which are critical for student income.</w:t>
      </w:r>
      <w:r>
        <w:br/>
        <w:t>- **Cost of Living Trends**: The cost of living in Big Rapids remains low relative to national averages, with housing costs increasing modestly by approximately 2% annually.</w:t>
      </w:r>
      <w:r>
        <w:br/>
        <w:t>- **Major Economic Developments**: Recent investments in local infrastructure and the expansion of nearby businesses enhance job opportunities for students and residents.</w:t>
      </w:r>
      <w:r>
        <w:br/>
      </w:r>
      <w:r>
        <w:br/>
        <w:t>## 4. STUDENT HOUSING MARKET</w:t>
      </w:r>
      <w:r>
        <w:br/>
        <w:t>- **Supply/Demand Dynamics**: The student housing market is competitive but stable with a slight oversupply due to new developments in the last two years.</w:t>
      </w:r>
      <w:r>
        <w:br/>
        <w:t>- **New Student Housing Construction**: Recent completions of two new student housing properties have increased competition but also improved amenities in the market.</w:t>
      </w:r>
      <w:r>
        <w:br/>
        <w:t>- **Average Rental Rates**: Average rental rates have increased by approximately 3% year-over-year, currently around $550-$600 for a 2-bedroom unit.</w:t>
      </w:r>
      <w:r>
        <w:br/>
        <w:t>- **Market Occupancy Rates**: Current occupancy rates are around 85%, with expectations to rise to 90% by the start of the Fall semester as lease-up periods approach.</w:t>
      </w:r>
      <w:r>
        <w:br/>
      </w:r>
      <w:r>
        <w:br/>
        <w:t>## 5. SHORT-TERM OUTLOOK (Next 6 Months)</w:t>
      </w:r>
      <w:r>
        <w:br/>
        <w:t xml:space="preserve">- **Expected Cash Flow Patterns**: </w:t>
      </w:r>
      <w:r>
        <w:br/>
        <w:t xml:space="preserve">  - Anticipate stable cash flows through Spring with potential dips in occupancy. </w:t>
      </w:r>
      <w:r>
        <w:br/>
        <w:t xml:space="preserve">  - Strong leasing activity expected in late Spring leading to increased cash flows in Fall 2026.</w:t>
      </w:r>
      <w:r>
        <w:br/>
        <w:t>- **Risk Factors to Monitor**:</w:t>
      </w:r>
      <w:r>
        <w:br/>
        <w:t xml:space="preserve">  - Potential for declining enrollment trends or economic downturns affecting student housing demand.</w:t>
      </w:r>
      <w:r>
        <w:br/>
        <w:t xml:space="preserve">  - Competition from new developments may pressure rental rates.</w:t>
      </w:r>
      <w:r>
        <w:br/>
        <w:t xml:space="preserve">- **Opportunities for the Property**: </w:t>
      </w:r>
      <w:r>
        <w:br/>
        <w:t xml:space="preserve">  - Leverage marketing strategies targeting off-campus students, particularly those seeking roommate placements.</w:t>
      </w:r>
      <w:r>
        <w:br/>
        <w:t xml:space="preserve">  - Enhanced amenities or services could differentiate Campus Creek Townhomes from competitors.</w:t>
      </w:r>
      <w:r>
        <w:br/>
        <w:t>- **Market Position Assessment**: Campus Creek Townhomes is well-positioned due to proximity to campus but must remain competitive in pricing and amenities.</w:t>
      </w:r>
      <w:r>
        <w:br/>
      </w:r>
      <w:r>
        <w:br/>
        <w:t>## 6. CASH FORECASTING IMPLICATIONS</w:t>
      </w:r>
      <w:r>
        <w:br/>
        <w:t xml:space="preserve">- **Seasonal Factors Impacting Cash Flow Projections**: </w:t>
      </w:r>
      <w:r>
        <w:br/>
        <w:t xml:space="preserve">  - Anticipate lower cash flows during summer months due to reduced occupancy; plan for increased marketing efforts to secure summer leases.</w:t>
      </w:r>
      <w:r>
        <w:br/>
      </w:r>
      <w:r>
        <w:lastRenderedPageBreak/>
        <w:t>- **Reliability of Budget Assumptions**: Current trends suggest a need to adjust budgets to account for potential fluctuations in occupancy due to increased competition and changing student preferences.</w:t>
      </w:r>
      <w:r>
        <w:br/>
        <w:t>- **Recommended Adjustments**:</w:t>
      </w:r>
      <w:r>
        <w:br/>
        <w:t xml:space="preserve">  - Implement dynamic pricing strategies to respond to occupancy demand.</w:t>
      </w:r>
      <w:r>
        <w:br/>
        <w:t xml:space="preserve">  - Consider seasonal promotions or incentives for early lease signing to mitigate summer occupancy risks.</w:t>
      </w:r>
      <w:r>
        <w:br/>
      </w:r>
      <w:r>
        <w:br/>
        <w:t>### Conclusion:</w:t>
      </w:r>
      <w:r>
        <w:br/>
        <w:t>Campus Creek Townhomes should prepare for a stable yet competitive environment over the next few months, balancing cash flow management with proactive leasing strategies to maximize occupancy and revenue potential in line with university enrollment trends and local economic conditions.</w:t>
      </w:r>
      <w:r>
        <w:br/>
      </w:r>
    </w:p>
    <w:p w14:paraId="7114D0A7" w14:textId="77777777" w:rsidR="006F4F07" w:rsidRDefault="006F4F07"/>
    <w:p w14:paraId="46958D0E" w14:textId="77777777" w:rsidR="006F4F07" w:rsidRDefault="00000000">
      <w:pPr>
        <w:pStyle w:val="Heading1"/>
      </w:pPr>
      <w:r>
        <w:t>Risk Assessment</w:t>
      </w:r>
    </w:p>
    <w:p w14:paraId="72512B9F" w14:textId="77777777" w:rsidR="006F4F07" w:rsidRDefault="00000000">
      <w:r>
        <w:br/>
        <w:t>RISK ASSESSMENT</w:t>
      </w:r>
      <w:r>
        <w:br/>
        <w:t>================================================================================</w:t>
      </w:r>
      <w:r>
        <w:br/>
      </w:r>
      <w:r>
        <w:br/>
        <w:t>Key Risks Identified:</w:t>
      </w:r>
      <w:r>
        <w:br/>
      </w:r>
      <w:r>
        <w:br/>
        <w:t>• Reserve levels below recommended 6-month minimum - limits financial flexibility</w:t>
      </w:r>
      <w:r>
        <w:br/>
        <w:t>• New competing properties entering market - may require pricing/concession strategies</w:t>
      </w:r>
      <w:r>
        <w:br/>
      </w:r>
      <w:r>
        <w:br/>
        <w:t>Risk Mitigation Strategies:</w:t>
      </w:r>
      <w:r>
        <w:br/>
        <w:t>• Maintain minimum 6 months operating reserves in cash</w:t>
      </w:r>
      <w:r>
        <w:br/>
        <w:t>• Monitor monthly performance trends for early warning signs</w:t>
      </w:r>
      <w:r>
        <w:br/>
        <w:t>• Review budget assumptions quarterly and adjust projections</w:t>
      </w:r>
      <w:r>
        <w:br/>
        <w:t>• Maintain competitive market position through property improvements and resident services</w:t>
      </w:r>
      <w:r>
        <w:br/>
        <w:t>• Ensure adequate insurance coverage and contingency planning</w:t>
      </w:r>
      <w:r>
        <w:br/>
      </w:r>
    </w:p>
    <w:p w14:paraId="2F03754A" w14:textId="77777777" w:rsidR="006F4F07" w:rsidRDefault="006F4F07"/>
    <w:sectPr w:rsidR="006F4F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766406">
    <w:abstractNumId w:val="8"/>
  </w:num>
  <w:num w:numId="2" w16cid:durableId="1090467169">
    <w:abstractNumId w:val="6"/>
  </w:num>
  <w:num w:numId="3" w16cid:durableId="918320904">
    <w:abstractNumId w:val="5"/>
  </w:num>
  <w:num w:numId="4" w16cid:durableId="1365911776">
    <w:abstractNumId w:val="4"/>
  </w:num>
  <w:num w:numId="5" w16cid:durableId="2024167884">
    <w:abstractNumId w:val="7"/>
  </w:num>
  <w:num w:numId="6" w16cid:durableId="432436766">
    <w:abstractNumId w:val="3"/>
  </w:num>
  <w:num w:numId="7" w16cid:durableId="1729769511">
    <w:abstractNumId w:val="2"/>
  </w:num>
  <w:num w:numId="8" w16cid:durableId="30544528">
    <w:abstractNumId w:val="1"/>
  </w:num>
  <w:num w:numId="9" w16cid:durableId="119041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4F07"/>
    <w:rsid w:val="00AA1D8D"/>
    <w:rsid w:val="00B47730"/>
    <w:rsid w:val="00B63F3F"/>
    <w:rsid w:val="00BD0C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7AD3AB-CEFD-490E-B7C1-897792E2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1520</Words>
  <Characters>10250</Characters>
  <Application>Microsoft Office Word</Application>
  <DocSecurity>0</DocSecurity>
  <Lines>292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Fleming Free</cp:lastModifiedBy>
  <cp:revision>2</cp:revision>
  <dcterms:created xsi:type="dcterms:W3CDTF">2013-12-23T23:15:00Z</dcterms:created>
  <dcterms:modified xsi:type="dcterms:W3CDTF">2026-02-06T17:14:00Z</dcterms:modified>
  <cp:category/>
</cp:coreProperties>
</file>