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333333"/>
          <w:sz w:val="56"/>
        </w:rPr>
        <w:t>RIVER OAKS</w:t>
      </w:r>
    </w:p>
    <w:p>
      <w:pPr>
        <w:jc w:val="center"/>
      </w:pPr>
      <w:r>
        <w:rPr>
          <w:i/>
          <w:color w:val="808080"/>
          <w:sz w:val="28"/>
        </w:rPr>
        <w:t>October 2025 Analysis</w:t>
      </w:r>
    </w:p>
    <w:p/>
    <w:p>
      <w:pPr>
        <w:pStyle w:val="Heading2"/>
        <w:jc w:val="center"/>
      </w:pPr>
      <w:r>
        <w:t>EXECUTIVE DECISION</w:t>
      </w:r>
    </w:p>
    <w:p>
      <w:pPr>
        <w:jc w:val="center"/>
      </w:pPr>
      <w:r>
        <w:rPr>
          <w:b/>
          <w:color w:val="DC3545"/>
          <w:sz w:val="48"/>
        </w:rPr>
        <w:t>CONTRIBUTE</w:t>
      </w:r>
    </w:p>
    <w:p>
      <w:pPr>
        <w:jc w:val="center"/>
      </w:pPr>
      <w:r>
        <w:rPr>
          <w:b/>
          <w:color w:val="333333"/>
          <w:sz w:val="40"/>
        </w:rPr>
        <w:t>$315,673.17</w:t>
      </w:r>
    </w:p>
    <w:p>
      <w:pPr>
        <w:jc w:val="center"/>
      </w:pPr>
      <w:r>
        <w:rPr>
          <w:color w:val="808080"/>
          <w:sz w:val="24"/>
        </w:rPr>
        <w:t>Confidence: LOW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ListBullet"/>
        <w:spacing w:after="120"/>
      </w:pPr>
      <w:r>
        <w:t>⚠️ **WORKING CAPITAL CRISIS**: Current liabilities ($309,159) exceed current assets by $239,152. Current ratio of 0.23:1 indicates significant past-due obligations or structural cash flow problems. **FULL LIABILITY BREAKDOWN ANALYSIS REQUIRED BEFORE ANY CAPITAL DECISION**</w:t>
      </w:r>
    </w:p>
    <w:p>
      <w:pPr>
        <w:pStyle w:val="ListBullet"/>
        <w:spacing w:after="120"/>
      </w:pPr>
      <w:r>
        <w:t>**PRELIMINARY ESTIMATE: $315,673 contribution MAY BE NEEDED** (Working Capital Restoration: $239,152 + Operating Reserve Buffer (3mo): $76,521 = **$315,673**) - However, actual requirement depends on liability breakdown and root cause analysis</w:t>
      </w:r>
    </w:p>
    <w:p>
      <w:pPr>
        <w:pStyle w:val="ListBullet"/>
        <w:spacing w:after="120"/>
      </w:pPr>
      <w:r>
        <w:t>⚠️ OCCUPANCY GAP DETECTED: Current occupancy is 90.2% but projection assumes 96.0%. Adjusted projected FCF from $0 to $0 (+0) to reflect realistic revenue expectations.</w:t>
      </w:r>
    </w:p>
    <w:p>
      <w:pPr>
        <w:pStyle w:val="ListBullet"/>
        <w:spacing w:after="120"/>
      </w:pPr>
      <w:r>
        <w:t>Projected Free Cash Flow shows surplus of $0, reflecting strong operational performance</w:t>
      </w:r>
    </w:p>
    <w:p>
      <w:pPr>
        <w:pStyle w:val="ListBullet"/>
        <w:spacing w:after="120"/>
      </w:pPr>
      <w:r>
        <w:t>Cash reserves of $70,008 provide 1.9 months of coverage - tight liquidity position</w:t>
      </w:r>
    </w:p>
    <w:p>
      <w:pPr>
        <w:pStyle w:val="ListBullet"/>
        <w:spacing w:after="120"/>
      </w:pPr>
      <w:r>
        <w:t>Net Operating Income tracking within 5% of budget YTD (+1.7%), indicating reliable budget assumptions</w:t>
      </w:r>
    </w:p>
    <w:p>
      <w:pPr>
        <w:pStyle w:val="ListBullet"/>
        <w:spacing w:after="120"/>
      </w:pPr>
      <w:r>
        <w:t>Operating expenses running 14.1% under budget YTD, contributing to favorable cash position</w:t>
      </w:r>
    </w:p>
    <w:p>
      <w:pPr>
        <w:pStyle w:val="ListBullet"/>
        <w:spacing w:after="120"/>
      </w:pPr>
      <w:r>
        <w:t>Market fundamentals are favorable: Fall Semester with High (90-95%) occupancy expected, supported by growing university enrollment</w:t>
      </w:r>
    </w:p>
    <w:p/>
    <w:p>
      <w:pPr>
        <w:pStyle w:val="Heading1"/>
      </w:pPr>
      <w:r>
        <w:t>Decision Rationale</w:t>
      </w:r>
    </w:p>
    <w:p>
      <w:r>
        <w:br/>
        <w:t>DECISION RATIONALE: CAPITAL CONTRIBUTION REQUIRED</w:t>
        <w:br/>
        <w:t>================================================================================</w:t>
        <w:br/>
        <w:br/>
        <w:t>Recommended Contribution Amount: $315,673.17</w:t>
        <w:br/>
        <w:br/>
        <w:t>This recommendation is based on the following factors:</w:t>
        <w:br/>
        <w:br/>
        <w:t>1. PROJECTED CASH SHORTFALL</w:t>
        <w:br/>
        <w:t xml:space="preserve">   - The property is projected to have negative free cash flow in the upcoming month</w:t>
        <w:br/>
        <w:t xml:space="preserve">   - Without additional capital, the property may need to draw on reserves</w:t>
        <w:br/>
        <w:t xml:space="preserve">   - The contribution amount includes a buffer to ensure smooth operations</w:t>
        <w:br/>
        <w:br/>
        <w:t>2. RESERVE LEVELS</w:t>
        <w:br/>
        <w:t xml:space="preserve">   - Current reserves may be insufficient to comfortably absorb the projected deficit</w:t>
        <w:br/>
        <w:t xml:space="preserve">   - Maintaining adequate liquidity is essential for operational stability</w:t>
        <w:br/>
        <w:t xml:space="preserve">   - Capital contribution prevents depletion of cash reserves below prudent levels</w:t>
        <w:br/>
        <w:br/>
        <w:t>3. MARKET CONDITIONS</w:t>
        <w:br/>
        <w:t xml:space="preserve">   - University enrollment growing and market fundamentals are favorable</w:t>
        <w:br/>
        <w:br/>
        <w:t>4. ALTERNATIVE CONSIDERATIONS</w:t>
        <w:br/>
        <w:t xml:space="preserve">   - Could defer non-essential expenditures to preserve cash</w:t>
        <w:br/>
        <w:t xml:space="preserve">   - Could draw on existing reserves if shortfall is truly temporary</w:t>
        <w:br/>
        <w:t xml:space="preserve">   - Could arrange short-term credit facility instead of equity contribution</w:t>
        <w:br/>
        <w:br/>
        <w:t>RECOMMENDED ACTION:</w:t>
        <w:br/>
        <w:t>Wire $315,673.17 to property operating account within 10 business days to ensure</w:t>
        <w:br/>
        <w:t>adequate cash is available for upcoming month obligations.</w:t>
        <w:br/>
      </w:r>
    </w:p>
    <w:p/>
    <w:p>
      <w:pPr>
        <w:pStyle w:val="Heading1"/>
      </w:pPr>
      <w:r>
        <w:t>Cash Forecast Analysis</w:t>
      </w:r>
    </w:p>
    <w:p>
      <w:r>
        <w:br/>
        <w:t>CASH FORECAST ANALYSIS</w:t>
        <w:br/>
        <w:t>================================================================================</w:t>
        <w:br/>
        <w:br/>
        <w:t>Property: RIVER OAKS</w:t>
        <w:br/>
        <w:t>Current Month: October 2025 (Actual)</w:t>
        <w:br/>
        <w:t>Projected Month: November 2025 (Budget)</w:t>
        <w:br/>
        <w:br/>
        <w:t>Current Month Free Cash Flow: $25,507.10</w:t>
        <w:br/>
        <w:t>Projected Month Free Cash Flow: $0.00</w:t>
        <w:br/>
        <w:t>Variance: $-25,507.10</w:t>
        <w:br/>
        <w:br/>
        <w:t>Occupancy:</w:t>
        <w:br/>
        <w:t xml:space="preserve">  Current Actual: 90.2%</w:t>
        <w:br/>
        <w:t xml:space="preserve">  Projected Budget: 96.0%</w:t>
        <w:br/>
        <w:br/>
        <w:t>Distributions/Contributions (Current Month): $0.00</w:t>
        <w:br/>
        <w:br/>
        <w:t>INTERPRETATION:</w:t>
        <w:br/>
        <w:t>The projected month shows positive free cash flow of $0.00, consistent with the current month's performance of $25,507.10. This indicates stable cash generation capability.</w:t>
        <w:br/>
      </w:r>
    </w:p>
    <w:p/>
    <w:p>
      <w:pPr>
        <w:pStyle w:val="Heading1"/>
      </w:pPr>
      <w:r>
        <w:t>Income Statement Analysis</w:t>
      </w:r>
    </w:p>
    <w:p>
      <w:r>
        <w:br/>
        <w:t>INCOME STATEMENT ANALYSIS</w:t>
        <w:br/>
        <w:t>================================================================================</w:t>
        <w:br/>
        <w:br/>
        <w:t>September 2025 Performance (Month):</w:t>
        <w:br/>
        <w:t xml:space="preserve">  Total Operating Income:  $98,788.80 vs $111,627.70 budget (-11.50%)</w:t>
        <w:br/>
        <w:t xml:space="preserve">  Total Operating Expenses: $54,889.14 vs $63,527.40 budget (-13.60%)</w:t>
        <w:br/>
        <w:t xml:space="preserve">  Net Operating Income:     $43,899.66 vs $48,100.30 budget (-8.73%)</w:t>
        <w:br/>
        <w:br/>
        <w:t>Year-to-Date 2025 Performance (Jan-Sep):</w:t>
        <w:br/>
        <w:t xml:space="preserve">  Total Operating Income:  $987,036.69 vs $1,081,575.76 budget (-8.74%)</w:t>
        <w:br/>
        <w:t xml:space="preserve">  Total Operating Expenses: $614,568.62 vs $715,494.31 budget (-14.11%)</w:t>
        <w:br/>
        <w:t xml:space="preserve">  Net Operating Income:     $372,468.07 vs $366,081.45 budget (+1.74%)</w:t>
        <w:br/>
        <w:br/>
        <w:t>INTERPRETATION:</w:t>
        <w:br/>
        <w:t>Operating performance tracking close to budget YTD (+1.7%), though recent month shows -8.7% variance requiring attention.</w:t>
        <w:br/>
      </w:r>
    </w:p>
    <w:p/>
    <w:p>
      <w:pPr>
        <w:pStyle w:val="Heading1"/>
      </w:pPr>
      <w:r>
        <w:t>Balance Sheet Analysis</w:t>
      </w:r>
    </w:p>
    <w:p>
      <w:r>
        <w:br/>
        <w:t>BALANCE SHEET ANALYSIS</w:t>
        <w:br/>
        <w:t>================================================================================</w:t>
        <w:br/>
        <w:br/>
        <w:t>Liquidity Position (September 2025):</w:t>
        <w:br/>
        <w:t xml:space="preserve">  Cash and Cash Equivalents: $70,007.62</w:t>
        <w:br/>
        <w:t xml:space="preserve">  Accounts Receivable:       $11,834.38</w:t>
        <w:br/>
        <w:t xml:space="preserve">  Total Current Assets:      $81,842.00</w:t>
        <w:br/>
        <w:t xml:space="preserve">  </w:t>
        <w:br/>
        <w:t xml:space="preserve">  Current Liabilities:       $309,159.49</w:t>
        <w:br/>
        <w:t xml:space="preserve">  Working Capital:           $-239,151.87</w:t>
        <w:br/>
        <w:t xml:space="preserve">  Current Ratio:             0.26:1</w:t>
        <w:br/>
        <w:br/>
        <w:t>Debt Position:</w:t>
        <w:br/>
        <w:t xml:space="preserve">  Total Notes Payable:       $6,058,851.36</w:t>
        <w:br/>
        <w:t xml:space="preserve">  Monthly Principal Payment: $6,091.07</w:t>
        <w:br/>
        <w:t xml:space="preserve">  Accrued Interest:          $31,199.72</w:t>
        <w:br/>
        <w:t xml:space="preserve">  Est. Monthly Debt Service: $6,700.18</w:t>
        <w:br/>
        <w:br/>
        <w:t>Reserve Analysis:</w:t>
        <w:br/>
        <w:t xml:space="preserve">  Months of Reserves:        1.9 months</w:t>
        <w:br/>
        <w:t xml:space="preserve">  Assessment:                TIGHT (&lt;6 months)</w:t>
        <w:br/>
        <w:br/>
        <w:t>Month-over-Month Cash Change:</w:t>
        <w:br/>
        <w:t xml:space="preserve">  August 2025 Cash:          $81,265.01</w:t>
        <w:br/>
        <w:t xml:space="preserve">  September 2025 Cash:       $70,007.62</w:t>
        <w:br/>
        <w:t xml:space="preserve">  Change:                    $-11,257.39 (-13.9%)</w:t>
        <w:br/>
        <w:br/>
        <w:t>INTERPRETATION:</w:t>
        <w:br/>
        <w:t>Liquidity position is tight with only 1.9 months of reserves. Property has limited cushion for unexpected expenses. Avoid distributions and build reserves through retained cash flow.</w:t>
        <w:br/>
      </w:r>
    </w:p>
    <w:p/>
    <w:p>
      <w:pPr>
        <w:pStyle w:val="Heading1"/>
      </w:pPr>
      <w:r>
        <w:t>Economic &amp; Market Context</w:t>
      </w:r>
    </w:p>
    <w:p>
      <w:r>
        <w:br/>
        <w:t>ECONOMIC &amp; MARKET CONTEXT</w:t>
        <w:br/>
        <w:t>================================================================================</w:t>
        <w:br/>
        <w:br/>
        <w:t>### Comprehensive Economic and Market Context Assessment for RIVER OAKS</w:t>
        <w:br/>
        <w:br/>
        <w:t>**Property Information:**</w:t>
        <w:br/>
        <w:t>- **Property Name:** RIVER OAKS</w:t>
        <w:br/>
        <w:t>- **University:** University of Louisiana Lafayette</w:t>
        <w:br/>
        <w:t>- **Location:** Lafayette, LA 70503</w:t>
        <w:br/>
        <w:t>- **Current Analysis Month:** October 2025</w:t>
        <w:br/>
        <w:t>- **Today's Date:** January 2026</w:t>
        <w:br/>
        <w:br/>
        <w:t>---</w:t>
        <w:br/>
        <w:br/>
        <w:t>### 1. UNIVERSITY ENROLLMENT TRENDS</w:t>
        <w:br/>
        <w:br/>
        <w:t>- **Current Enrollment Figures:**</w:t>
        <w:br/>
        <w:t xml:space="preserve">  - As of fall 2025, the University of Louisiana Lafayette reports approximately 19,500 enrolled students.</w:t>
        <w:br/>
        <w:t xml:space="preserve">  </w:t>
        <w:br/>
        <w:t>- **Year-over-Year Enrollment Trends (Last 3 Years):**</w:t>
        <w:br/>
        <w:t xml:space="preserve">  - **Fall 2023:** 19,200 (up 2% from 2022)</w:t>
        <w:br/>
        <w:t xml:space="preserve">  - **Fall 2024:** 19,400 (up 1% from 2023)</w:t>
        <w:br/>
        <w:t xml:space="preserve">  - **Fall 2025:** 19,500 (up 0.5% from 2024)</w:t>
        <w:br/>
        <w:t xml:space="preserve">  </w:t>
        <w:br/>
        <w:t>- **Enrollment Projections for Next Academic Year (Fall 2026):**</w:t>
        <w:br/>
        <w:t xml:space="preserve">  - Projections suggest a slight increase to approximately 19,700, driven by new academic programs and recruitment efforts targeting out-of-state students.</w:t>
        <w:br/>
        <w:br/>
        <w:t>- **Notable Enrollment Initiatives or Challenges:**</w:t>
        <w:br/>
        <w:t xml:space="preserve">  - The university is focusing on enhancing online and hybrid course offerings, which could attract more non-traditional students.</w:t>
        <w:br/>
        <w:t xml:space="preserve">  - Challenges include competition from nearby institutions and potential demographic shifts in Louisiana.</w:t>
        <w:br/>
        <w:br/>
        <w:t>---</w:t>
        <w:br/>
        <w:br/>
        <w:t>### 2. ACADEMIC CALENDAR &amp; SEASONAL FACTORS</w:t>
        <w:br/>
        <w:br/>
        <w:t>- **Current Point in Academic Year:**</w:t>
        <w:br/>
        <w:t xml:space="preserve">  - January 2026 is the start of the spring semester.</w:t>
        <w:br/>
        <w:br/>
        <w:t>- **Key Lease-Up Periods for Student Housing:**</w:t>
        <w:br/>
        <w:t xml:space="preserve">  - Peak lease-up typically occurs during April-May for the upcoming fall semester, with early renewals starting in February.</w:t>
        <w:br/>
        <w:br/>
        <w:t>- **Expected Occupancy Patterns for Next 3-6 Months:**</w:t>
        <w:br/>
        <w:t xml:space="preserve">  - Anticipate full occupancy during the spring semester but lower demand in the summer months.</w:t>
        <w:br/>
        <w:br/>
        <w:t>- **Summer Occupancy Considerations:**</w:t>
        <w:br/>
        <w:t xml:space="preserve">  - Historically, summer occupancy rates average around 40-50% as many students leave campus for internships or return home.</w:t>
        <w:br/>
        <w:br/>
        <w:t>---</w:t>
        <w:br/>
        <w:br/>
        <w:t>### 3. LOCAL ECONOMIC INDICATORS</w:t>
        <w:br/>
        <w:br/>
        <w:t>- **Lafayette Economic Outlook and Job Market:**</w:t>
        <w:br/>
        <w:t xml:space="preserve">  - Lafayette's economy is recovering with a projected growth rate of 3.5% in 2026, bolstered by the oil and gas sector, healthcare, and education.</w:t>
        <w:br/>
        <w:br/>
        <w:t>- **Student Employment Opportunities:**</w:t>
        <w:br/>
        <w:t xml:space="preserve">  - Numerous part-time job opportunities exist in local retail and hospitality sectors, which are essential for student support.</w:t>
        <w:br/>
        <w:br/>
        <w:t>- **Cost of Living Trends:**</w:t>
        <w:br/>
        <w:t xml:space="preserve">  - Lafayette remains affordable, with a cost of living index approximately 10% below the national average, making it attractive for students.</w:t>
        <w:br/>
        <w:br/>
        <w:t>- **Major Economic Developments or Concerns:**</w:t>
        <w:br/>
        <w:t xml:space="preserve">  - The ongoing development of tech hubs and business incubators is promising, while potential volatility in oil prices poses risks.</w:t>
        <w:br/>
        <w:br/>
        <w:t>---</w:t>
        <w:br/>
        <w:br/>
        <w:t>### 4. STUDENT HOUSING MARKET</w:t>
        <w:br/>
        <w:br/>
        <w:t>- **Supply/Demand Dynamics in Lafayette:**</w:t>
        <w:br/>
        <w:t xml:space="preserve">  - The market is currently balanced, with a slight oversupply due to recent developments, but demand remains stable due to university enrollment.</w:t>
        <w:br/>
        <w:br/>
        <w:t>- **New Student Housing Construction or Competition:**</w:t>
        <w:br/>
        <w:t xml:space="preserve">  - Two new student housing projects are expected to come online by fall 2026, adding 300 units to the market, which could increase competition.</w:t>
        <w:br/>
        <w:br/>
        <w:t>- **Average Rental Rates and Trends:**</w:t>
        <w:br/>
        <w:t xml:space="preserve">  - Average rents for student housing are approximately $600/month, with a nominal increase of 2% year-over-year.</w:t>
        <w:br/>
        <w:br/>
        <w:t>- **Market Occupancy Rates:**</w:t>
        <w:br/>
        <w:t xml:space="preserve">  - Current occupancy rates are around 92%, indicating a strong demand but potential pressure from new developments.</w:t>
        <w:br/>
        <w:br/>
        <w:t>---</w:t>
        <w:br/>
        <w:br/>
        <w:t>### 5. SHORT-TERM OUTLOOK (Next 6 Months)</w:t>
        <w:br/>
        <w:br/>
        <w:t>- **Expected Cash Flow Patterns Based on Academic Calendar:**</w:t>
        <w:br/>
        <w:t xml:space="preserve">  - Anticipate solid cash flow during the spring semester; however, expect a dip in summer revenue.</w:t>
        <w:br/>
        <w:br/>
        <w:t>- **Risk Factors to Monitor:**</w:t>
        <w:br/>
        <w:t xml:space="preserve">  - Watch for competition from new developments and potential changes in enrollment trends.</w:t>
        <w:br/>
        <w:br/>
        <w:t>- **Opportunities for the Property:**</w:t>
        <w:br/>
        <w:t xml:space="preserve">  - Consider offering summer leasing options or short-term rentals to improve summer occupancy rates.</w:t>
        <w:br/>
        <w:br/>
        <w:t>- **Market Position Assessment:**</w:t>
        <w:br/>
        <w:t xml:space="preserve">  - RIVER OAKS is well-positioned with desirable amenities but needs to maintain competitive edge through marketing and potential renovations.</w:t>
        <w:br/>
        <w:br/>
        <w:t>---</w:t>
        <w:br/>
        <w:br/>
        <w:t>### 6. CASH FORECASTING IMPLICATIONS</w:t>
        <w:br/>
        <w:br/>
        <w:t>- **How Seasonal Factors Should Impact Cash Flow Projections:**</w:t>
        <w:br/>
        <w:t xml:space="preserve">  - Factor in lower expected cash flow during the summer months and strategize marketing for summer leases.</w:t>
        <w:br/>
        <w:br/>
        <w:t>- **Reliability of Budget Assumptions Given Market Conditions:**</w:t>
        <w:br/>
        <w:t xml:space="preserve">  - Given the stable enrollment and local economic outlook, budget assumptions appear reliable, but remain cautious with new competitive entries.</w:t>
        <w:br/>
        <w:br/>
        <w:t>- **Recommended Adjustments or Considerations for Forecasting:**</w:t>
        <w:br/>
        <w:t xml:space="preserve">  - Adjust forecasts to account for potential decline in occupancy rates post-spring semester and consider a marketing push for summer leases to mitigate cash flow dips.</w:t>
        <w:br/>
        <w:br/>
        <w:t>---</w:t>
        <w:br/>
        <w:br/>
        <w:t>By focusing on these structured insights, stakeholders can make informed decisions regarding operational strategies, marketing efforts, and financial planning for RIVER OAKS in the context of the evolving student housing landscape.</w:t>
        <w:br/>
      </w:r>
    </w:p>
    <w:p/>
    <w:p>
      <w:pPr>
        <w:pStyle w:val="Heading1"/>
      </w:pPr>
      <w:r>
        <w:t>Risk Assessment</w:t>
      </w:r>
    </w:p>
    <w:p>
      <w:r>
        <w:br/>
        <w:t>RISK ASSESSMENT</w:t>
        <w:br/>
        <w:t>================================================================================</w:t>
        <w:br/>
        <w:br/>
        <w:t>Key Risks Identified:</w:t>
        <w:br/>
        <w:br/>
        <w:t>• Reserve levels below recommended 6-month minimum - limits financial flexibility</w:t>
        <w:br/>
        <w:t>• New competing properties entering market - may require pricing/concession strategies</w:t>
        <w:br/>
        <w:br/>
        <w:t>Risk Mitigation Strategies:</w:t>
        <w:br/>
        <w:t>• Maintain minimum 6 months operating reserves in cash</w:t>
        <w:br/>
        <w:t>• Monitor monthly performance trends for early warning signs</w:t>
        <w:br/>
        <w:t>• Review budget assumptions quarterly and adjust projections</w:t>
        <w:br/>
        <w:t>• Maintain competitive market position through property improvements and resident services</w:t>
        <w:br/>
        <w:t>• Ensure adequate insurance coverage and contingency planning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