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03BD" w14:textId="77777777" w:rsidR="006A6FE3" w:rsidRDefault="00000000">
      <w:pPr>
        <w:pStyle w:val="Heading1"/>
        <w:jc w:val="center"/>
      </w:pPr>
      <w:r>
        <w:rPr>
          <w:color w:val="333333"/>
          <w:sz w:val="56"/>
        </w:rPr>
        <w:t>CAMPUS CREEK COTTAGES</w:t>
      </w:r>
    </w:p>
    <w:p w14:paraId="20463B1C" w14:textId="77777777" w:rsidR="006A6FE3" w:rsidRDefault="00000000">
      <w:pPr>
        <w:jc w:val="center"/>
      </w:pPr>
      <w:r>
        <w:rPr>
          <w:i/>
          <w:color w:val="808080"/>
          <w:sz w:val="28"/>
        </w:rPr>
        <w:t>December 2025 Analysis</w:t>
      </w:r>
    </w:p>
    <w:p w14:paraId="415665A8" w14:textId="77777777" w:rsidR="006A6FE3" w:rsidRDefault="006A6FE3"/>
    <w:p w14:paraId="2A86B89F" w14:textId="77777777" w:rsidR="006A6FE3" w:rsidRDefault="00000000">
      <w:pPr>
        <w:pStyle w:val="Heading2"/>
        <w:jc w:val="center"/>
      </w:pPr>
      <w:r>
        <w:t>EXECUTIVE DECISION</w:t>
      </w:r>
    </w:p>
    <w:p w14:paraId="0D657665" w14:textId="77777777" w:rsidR="006A6FE3" w:rsidRDefault="00000000">
      <w:pPr>
        <w:jc w:val="center"/>
      </w:pPr>
      <w:r>
        <w:rPr>
          <w:b/>
          <w:color w:val="DC3545"/>
          <w:sz w:val="48"/>
        </w:rPr>
        <w:t>CONTRIBUTE</w:t>
      </w:r>
    </w:p>
    <w:p w14:paraId="087BB0E0" w14:textId="77777777" w:rsidR="006A6FE3" w:rsidRDefault="00000000">
      <w:pPr>
        <w:jc w:val="center"/>
      </w:pPr>
      <w:r>
        <w:rPr>
          <w:b/>
          <w:color w:val="333333"/>
          <w:sz w:val="40"/>
        </w:rPr>
        <w:t>$470,000</w:t>
      </w:r>
    </w:p>
    <w:p w14:paraId="0C3D2CFD" w14:textId="77777777" w:rsidR="006A6FE3" w:rsidRDefault="00000000">
      <w:r>
        <w:br w:type="page"/>
      </w:r>
    </w:p>
    <w:p w14:paraId="21F38E73" w14:textId="77777777" w:rsidR="006A6FE3" w:rsidRDefault="00000000">
      <w:pPr>
        <w:pStyle w:val="Heading1"/>
      </w:pPr>
      <w:r>
        <w:lastRenderedPageBreak/>
        <w:t>Executive Summary</w:t>
      </w:r>
    </w:p>
    <w:p w14:paraId="17AC8F85" w14:textId="77777777" w:rsidR="006A6FE3" w:rsidRDefault="00000000">
      <w:pPr>
        <w:pStyle w:val="ListBullet"/>
        <w:spacing w:after="120"/>
      </w:pPr>
      <w:r>
        <w:t>⚠️ **WORKING CAPITAL CRISIS**: Current liabilities ($478,794) exceed current assets by $449,344. Current ratio of 0.06:1 indicates significant past-due obligations or structural cash flow problems. **FULL LIABILITY BREAKDOWN ANALYSIS REQUIRED BEFORE ANY CAPITAL DECISION**</w:t>
      </w:r>
    </w:p>
    <w:p w14:paraId="520AAE91" w14:textId="77777777" w:rsidR="006A6FE3" w:rsidRDefault="00000000">
      <w:pPr>
        <w:pStyle w:val="ListBullet"/>
        <w:spacing w:after="120"/>
      </w:pPr>
      <w:r>
        <w:t>**PRELIMINARY ESTIMATE: $470,000 contribution MAY BE NEEDED** (Working Capital Restoration: $449,344 + Operating Reserve Buffer (3mo): $13,332 ~ **$470,000**) - However, actual requirement depends on liability breakdown and root cause analysis</w:t>
      </w:r>
    </w:p>
    <w:p w14:paraId="7ED7D4ED" w14:textId="77777777" w:rsidR="006A6FE3" w:rsidRDefault="00000000">
      <w:pPr>
        <w:pStyle w:val="ListBullet"/>
        <w:spacing w:after="120"/>
      </w:pPr>
      <w:r>
        <w:t>Projected Free Cash Flow shows surplus of $0, reflecting strong operational performance</w:t>
      </w:r>
    </w:p>
    <w:p w14:paraId="391089A6" w14:textId="77777777" w:rsidR="006A6FE3" w:rsidRDefault="00000000">
      <w:pPr>
        <w:pStyle w:val="ListBullet"/>
        <w:spacing w:after="120"/>
      </w:pPr>
      <w:r>
        <w:t>Cash reserves of $29,451 provide 0.4 months of coverage - tight liquidity position</w:t>
      </w:r>
    </w:p>
    <w:p w14:paraId="4A7D8164" w14:textId="77777777" w:rsidR="006A6FE3" w:rsidRDefault="00000000">
      <w:pPr>
        <w:pStyle w:val="ListBullet"/>
        <w:spacing w:after="120"/>
      </w:pPr>
      <w:r>
        <w:t>Net Operating Income underperforming budget by 21.4% YTD, with recent month at -32.5% - monitor trend closely</w:t>
      </w:r>
    </w:p>
    <w:p w14:paraId="4BD9BC3C" w14:textId="77777777" w:rsidR="006A6FE3" w:rsidRDefault="00000000">
      <w:pPr>
        <w:pStyle w:val="ListBullet"/>
        <w:spacing w:after="120"/>
      </w:pPr>
      <w:r>
        <w:t>Operating expenses 11.5% over budget YTD - expense control measures recommended</w:t>
      </w:r>
    </w:p>
    <w:p w14:paraId="7B171AA4" w14:textId="77777777" w:rsidR="006A6FE3" w:rsidRDefault="00000000">
      <w:pPr>
        <w:pStyle w:val="ListBullet"/>
        <w:spacing w:after="120"/>
      </w:pPr>
      <w:r>
        <w:t>Market headwinds present: Fall Semester period with enrollment declining - conservative cash management warranted</w:t>
      </w:r>
    </w:p>
    <w:p w14:paraId="40660568" w14:textId="77777777" w:rsidR="006A6FE3" w:rsidRDefault="006A6FE3"/>
    <w:p w14:paraId="24EA3C20" w14:textId="77777777" w:rsidR="006A6FE3" w:rsidRDefault="00000000">
      <w:pPr>
        <w:pStyle w:val="Heading1"/>
      </w:pPr>
      <w:r>
        <w:t>Decision Rationale</w:t>
      </w:r>
    </w:p>
    <w:p w14:paraId="49116D31" w14:textId="77777777" w:rsidR="006A6FE3" w:rsidRDefault="00000000">
      <w:r>
        <w:br/>
        <w:t>DECISION RATIONALE: CAPITAL CONTRIBUTION REQUIRED</w:t>
      </w:r>
      <w:r>
        <w:br/>
        <w:t>==============================================================================</w:t>
      </w:r>
      <w:r>
        <w:br/>
      </w:r>
      <w:r>
        <w:br/>
        <w:t>Recommended Contribution Amount: $470,000.00</w:t>
      </w:r>
      <w:r>
        <w:br/>
      </w:r>
      <w:r>
        <w:br/>
        <w:t>This recommendation is based on the following factors:</w:t>
      </w:r>
      <w:r>
        <w:br/>
      </w:r>
      <w:r>
        <w:br/>
        <w:t>1. PROJECTED CASH SHORTFALL</w:t>
      </w:r>
      <w:r>
        <w:br/>
        <w:t xml:space="preserve">   - The property is projected to have negative free cash flow in the upcoming month</w:t>
      </w:r>
      <w:r>
        <w:br/>
        <w:t xml:space="preserve">   - Without additional capital, the property may need to draw on reserves</w:t>
      </w:r>
      <w:r>
        <w:br/>
        <w:t xml:space="preserve">   - The contribution amount includes a buffer to ensure smooth operations</w:t>
      </w:r>
      <w:r>
        <w:br/>
      </w:r>
      <w:r>
        <w:br/>
        <w:t>2. RESERVE LEVELS</w:t>
      </w:r>
      <w:r>
        <w:br/>
        <w:t xml:space="preserve">   - Current reserves may be insufficient to comfortably absorb the projected deficit</w:t>
      </w:r>
      <w:r>
        <w:br/>
        <w:t xml:space="preserve">   - Maintaining adequate liquidity is essential for operational stability</w:t>
      </w:r>
      <w:r>
        <w:br/>
        <w:t xml:space="preserve">   - Capital contribution prevents depletion of cash reserves below prudent levels</w:t>
      </w:r>
      <w:r>
        <w:br/>
      </w:r>
      <w:r>
        <w:br/>
        <w:t>3. MARKET CONDITIONS</w:t>
      </w:r>
      <w:r>
        <w:br/>
        <w:t xml:space="preserve">   - University enrollment declining - conservative cash management prudent</w:t>
      </w:r>
      <w:r>
        <w:br/>
      </w:r>
      <w:r>
        <w:br/>
        <w:t>4. ALTERNATIVE CONSIDERATIONS</w:t>
      </w:r>
      <w:r>
        <w:br/>
      </w:r>
      <w:r>
        <w:lastRenderedPageBreak/>
        <w:t xml:space="preserve">   - Could defer non-essential expenditures to preserve cash</w:t>
      </w:r>
      <w:r>
        <w:br/>
        <w:t xml:space="preserve">   - Could draw on existing reserves if shortfall is truly temporary</w:t>
      </w:r>
      <w:r>
        <w:br/>
        <w:t xml:space="preserve">   - Could arrange short-term credit facility instead of equity contribution</w:t>
      </w:r>
      <w:r>
        <w:br/>
      </w:r>
      <w:r>
        <w:br/>
        <w:t>RECOMMENDED ACTION:</w:t>
      </w:r>
      <w:r>
        <w:br/>
        <w:t>Wire $470,000.00 to property operating account within 10 business days to ensure</w:t>
      </w:r>
      <w:r>
        <w:br/>
        <w:t>adequate cash is available for upcoming month obligations.</w:t>
      </w:r>
      <w:r>
        <w:br/>
      </w:r>
    </w:p>
    <w:p w14:paraId="3C96DB46" w14:textId="77777777" w:rsidR="006A6FE3" w:rsidRDefault="006A6FE3"/>
    <w:p w14:paraId="0266EA8B" w14:textId="77777777" w:rsidR="006A6FE3" w:rsidRDefault="00000000">
      <w:pPr>
        <w:pStyle w:val="Heading1"/>
      </w:pPr>
      <w:r>
        <w:t>Cash Forecast Analysis</w:t>
      </w:r>
    </w:p>
    <w:p w14:paraId="41408F5E" w14:textId="77777777" w:rsidR="006A6FE3" w:rsidRDefault="00000000">
      <w:r>
        <w:br/>
        <w:t>CASH FORECAST ANALYSIS</w:t>
      </w:r>
      <w:r>
        <w:br/>
        <w:t>==============================================================================</w:t>
      </w:r>
      <w:r>
        <w:br/>
      </w:r>
      <w:r>
        <w:br/>
        <w:t>Property: CAMPUS CREEK COTTAGES</w:t>
      </w:r>
      <w:r>
        <w:br/>
        <w:t>Current Month: December 2025 (Actual)</w:t>
      </w:r>
      <w:r>
        <w:br/>
        <w:t>Projected Month: January 2026 (Budget)</w:t>
      </w:r>
      <w:r>
        <w:br/>
      </w:r>
      <w:r>
        <w:br/>
        <w:t>Current Month Free Cash Flow: $4,444.00</w:t>
      </w:r>
      <w:r>
        <w:br/>
        <w:t>Projected Month Free Cash Flow: $0.00</w:t>
      </w:r>
      <w:r>
        <w:br/>
        <w:t>Variance: $-4,444.00</w:t>
      </w:r>
      <w:r>
        <w:br/>
      </w:r>
      <w:r>
        <w:br/>
        <w:t>Occupancy:</w:t>
      </w:r>
      <w:r>
        <w:br/>
        <w:t xml:space="preserve">  Current Actual: 75.3%</w:t>
      </w:r>
      <w:r>
        <w:br/>
        <w:t xml:space="preserve">  Projected Budget: 0.0%</w:t>
      </w:r>
      <w:r>
        <w:br/>
      </w:r>
      <w:r>
        <w:br/>
        <w:t>Actual Distributions/Contributions in December 2025: $0.00</w:t>
      </w:r>
      <w:r>
        <w:br/>
      </w:r>
      <w:r>
        <w:br/>
        <w:t>==============================================================================</w:t>
      </w:r>
      <w:r>
        <w:br/>
        <w:t>5-MONTH CASH FLOW PROJECTION</w:t>
      </w:r>
      <w:r>
        <w:br/>
        <w:t>==============================================================================</w:t>
      </w:r>
      <w:r>
        <w:br/>
      </w:r>
      <w:r>
        <w:br/>
        <w:t>Analyzing next 5 months of projections:</w:t>
      </w:r>
      <w:r>
        <w:br/>
        <w:t xml:space="preserve">  1. January 2026    Operational FCF: $ -363,806.26  (After Dist: $   24,193.74)  Occ:  76.6%  ✗</w:t>
      </w:r>
      <w:r>
        <w:br/>
        <w:t xml:space="preserve">  2. February 2026   FCF: $  -14,958.34  Occ:  76.6%  ✗</w:t>
      </w:r>
      <w:r>
        <w:br/>
        <w:t xml:space="preserve">  3. March 2026      FCF: $  -45,475.96  Occ:  76.6%  ✗</w:t>
      </w:r>
      <w:r>
        <w:br/>
        <w:t xml:space="preserve">  4. April 2026      FCF: $  -68,769.47  Occ:  76.6%  ✗</w:t>
      </w:r>
      <w:r>
        <w:br/>
        <w:t xml:space="preserve">  5. May 2026        FCF: $  -88,262.61  Occ:  76.6%  ✗</w:t>
      </w:r>
      <w:r>
        <w:br/>
      </w:r>
      <w:r>
        <w:br/>
      </w:r>
      <w:r>
        <w:lastRenderedPageBreak/>
        <w:t>Summary Statistics (Operational FCF):</w:t>
      </w:r>
      <w:r>
        <w:br/>
        <w:t xml:space="preserve">  Total Projected FCF (5 months): $-581,272.65</w:t>
      </w:r>
      <w:r>
        <w:br/>
        <w:t xml:space="preserve">  Average Monthly FCF:            $-116,254.53</w:t>
      </w:r>
      <w:r>
        <w:br/>
        <w:t xml:space="preserve">  Highest Month:                  February 2026 ($-14,958.34)</w:t>
      </w:r>
      <w:r>
        <w:br/>
        <w:t xml:space="preserve">  Lowest Month:                   January 2026 ($-363,806.26)</w:t>
      </w:r>
      <w:r>
        <w:br/>
        <w:t xml:space="preserve">  Positive Months:                0 of 5</w:t>
      </w:r>
      <w:r>
        <w:br/>
        <w:t xml:space="preserve">  Negative Months:                5</w:t>
      </w:r>
      <w:r>
        <w:br/>
        <w:t xml:space="preserve">  ⚠️  Warning: 5 month(s) show negative cash flow</w:t>
      </w:r>
      <w:r>
        <w:br/>
      </w:r>
      <w:r>
        <w:br/>
        <w:t>INTERPRETATION:</w:t>
      </w:r>
      <w:r>
        <w:br/>
        <w:t>The projected month shows positive operational free cash flow of $0.00, consistent with the current month's performance of $4,444.00. This indicates stable cash generation capability.</w:t>
      </w:r>
      <w:r>
        <w:br/>
      </w:r>
    </w:p>
    <w:p w14:paraId="64C8DDD1" w14:textId="77777777" w:rsidR="006A6FE3" w:rsidRDefault="006A6FE3"/>
    <w:p w14:paraId="08F29583" w14:textId="77777777" w:rsidR="006A6FE3" w:rsidRDefault="00000000">
      <w:pPr>
        <w:pStyle w:val="Heading1"/>
      </w:pPr>
      <w:r>
        <w:t>Income Statement Analysis</w:t>
      </w:r>
    </w:p>
    <w:p w14:paraId="5D5E7C5C" w14:textId="77777777" w:rsidR="006A6FE3" w:rsidRDefault="00000000">
      <w:r>
        <w:br/>
        <w:t>INCOME STATEMENT ANALYSIS</w:t>
      </w:r>
      <w:r>
        <w:br/>
        <w:t>==============================================================================</w:t>
      </w:r>
      <w:r>
        <w:br/>
      </w:r>
      <w:r>
        <w:br/>
        <w:t>December 2025 Performance (Month):</w:t>
      </w:r>
      <w:r>
        <w:br/>
        <w:t xml:space="preserve">  Total Operating Income:  $166,631.70 vs $193,229.05 budget (-13.76%)</w:t>
      </w:r>
      <w:r>
        <w:br/>
        <w:t xml:space="preserve">  Total Operating Expenses: $92,058.97 vs $82,742.20 budget (+11.26%)</w:t>
      </w:r>
      <w:r>
        <w:br/>
        <w:t xml:space="preserve">  Net Operating Income:     $74,572.73 vs $110,486.85 budget (-32.51%)</w:t>
      </w:r>
      <w:r>
        <w:br/>
      </w:r>
      <w:r>
        <w:br/>
        <w:t>Year-to-Date 2025 Performance (Jan-Dec):</w:t>
      </w:r>
      <w:r>
        <w:br/>
        <w:t xml:space="preserve">  Total Operating Income:  $1,997,438.01 vs $2,080,292.03 budget (-3.98%)</w:t>
      </w:r>
      <w:r>
        <w:br/>
        <w:t xml:space="preserve">  Total Operating Expenses: $1,227,140.57 vs $1,100,832.70 budget (+11.47%)</w:t>
      </w:r>
      <w:r>
        <w:br/>
        <w:t xml:space="preserve">  Net Operating Income:     $770,297.44 vs $979,459.33 budget (-21.35%)</w:t>
      </w:r>
      <w:r>
        <w:br/>
      </w:r>
      <w:r>
        <w:br/>
        <w:t>INTERPRETATION:</w:t>
      </w:r>
      <w:r>
        <w:br/>
        <w:t>Property is underperforming budget with NOI at -21.4% of plan YTD. Recent month at -32.5% indicates continued weakness. Review revenue and expense drivers.</w:t>
      </w:r>
      <w:r>
        <w:br/>
      </w:r>
    </w:p>
    <w:p w14:paraId="0CD5B0FD" w14:textId="77777777" w:rsidR="006A6FE3" w:rsidRDefault="006A6FE3"/>
    <w:p w14:paraId="7CF38C09" w14:textId="77777777" w:rsidR="006A6FE3" w:rsidRDefault="00000000">
      <w:pPr>
        <w:pStyle w:val="Heading1"/>
      </w:pPr>
      <w:r>
        <w:t>Balance Sheet Analysis</w:t>
      </w:r>
    </w:p>
    <w:p w14:paraId="265022F7" w14:textId="77777777" w:rsidR="006A6FE3" w:rsidRDefault="00000000">
      <w:r>
        <w:br/>
        <w:t>BALANCE SHEET ANALYSIS</w:t>
      </w:r>
      <w:r>
        <w:br/>
      </w:r>
      <w:r>
        <w:lastRenderedPageBreak/>
        <w:t>==============================================================================</w:t>
      </w:r>
      <w:r>
        <w:br/>
      </w:r>
      <w:r>
        <w:br/>
        <w:t>Liquidity Position (December 2025):</w:t>
      </w:r>
      <w:r>
        <w:br/>
        <w:t xml:space="preserve">  Cash and Cash Equivalents: $29,450.77</w:t>
      </w:r>
      <w:r>
        <w:br/>
        <w:t xml:space="preserve">  Accounts Receivable:       $25,187.67</w:t>
      </w:r>
      <w:r>
        <w:br/>
        <w:t xml:space="preserve">  Total Current Assets:      $54,638.44</w:t>
      </w:r>
      <w:r>
        <w:br/>
        <w:t xml:space="preserve">  </w:t>
      </w:r>
      <w:r>
        <w:br/>
        <w:t xml:space="preserve">  Current Liabilities:       $478,794.34</w:t>
      </w:r>
      <w:r>
        <w:br/>
        <w:t xml:space="preserve">  Working Capital:           $-449,343.57</w:t>
      </w:r>
      <w:r>
        <w:br/>
        <w:t xml:space="preserve">  Current Ratio:             0.11:1</w:t>
      </w:r>
      <w:r>
        <w:br/>
      </w:r>
      <w:r>
        <w:br/>
        <w:t>Debt Position:</w:t>
      </w:r>
      <w:r>
        <w:br/>
        <w:t xml:space="preserve">  Total Notes Payable:       $14,005,889.22</w:t>
      </w:r>
      <w:r>
        <w:br/>
        <w:t xml:space="preserve">  Monthly Principal Payment: $20,830.08</w:t>
      </w:r>
      <w:r>
        <w:br/>
        <w:t xml:space="preserve">  Accrued Interest:          $283,826.85</w:t>
      </w:r>
      <w:r>
        <w:br/>
        <w:t xml:space="preserve">  Est. Monthly Debt Service: $22,913.09</w:t>
      </w:r>
      <w:r>
        <w:br/>
      </w:r>
      <w:r>
        <w:br/>
        <w:t>Reserve Analysis:</w:t>
      </w:r>
      <w:r>
        <w:br/>
        <w:t xml:space="preserve">  Months of Reserves:        0.4 months</w:t>
      </w:r>
      <w:r>
        <w:br/>
        <w:t xml:space="preserve">  Assessment:                TIGHT (&lt;6 months)</w:t>
      </w:r>
      <w:r>
        <w:br/>
      </w:r>
      <w:r>
        <w:br/>
        <w:t>Month-over-Month Cash Change:</w:t>
      </w:r>
      <w:r>
        <w:br/>
        <w:t xml:space="preserve">  November 2025 Cash:          $70,645.78</w:t>
      </w:r>
      <w:r>
        <w:br/>
        <w:t xml:space="preserve">  December 2025 Cash:       $29,450.77</w:t>
      </w:r>
      <w:r>
        <w:br/>
        <w:t xml:space="preserve">  Change:                    $-41,195.01 (-58.3%)</w:t>
      </w:r>
      <w:r>
        <w:br/>
      </w:r>
      <w:r>
        <w:br/>
        <w:t>INTERPRETATION:</w:t>
      </w:r>
      <w:r>
        <w:br/>
        <w:t>Liquidity position is tight with only 0.4 months of reserves. Property has limited cushion for unexpected expenses. Avoid distributions and build reserves through retained cash flow.</w:t>
      </w:r>
      <w:r>
        <w:br/>
      </w:r>
    </w:p>
    <w:p w14:paraId="6B5A3492" w14:textId="77777777" w:rsidR="006A6FE3" w:rsidRDefault="006A6FE3"/>
    <w:p w14:paraId="7E9FB2E1" w14:textId="77777777" w:rsidR="006A6FE3" w:rsidRDefault="00000000">
      <w:pPr>
        <w:pStyle w:val="Heading1"/>
      </w:pPr>
      <w:r>
        <w:t>Economic &amp; Market Context</w:t>
      </w:r>
    </w:p>
    <w:p w14:paraId="4F9E6D08" w14:textId="77777777" w:rsidR="006A6FE3" w:rsidRDefault="00000000">
      <w:r>
        <w:br/>
        <w:t>ECONOMIC &amp; MARKET CONTEXT</w:t>
      </w:r>
      <w:r>
        <w:br/>
        <w:t>==============================================================================</w:t>
      </w:r>
      <w:r>
        <w:br/>
      </w:r>
      <w:r>
        <w:br/>
        <w:t># CAMPUS CREEK COTTAGES: Economic and Market Context Assessment</w:t>
      </w:r>
      <w:r>
        <w:br/>
      </w:r>
      <w:r>
        <w:br/>
        <w:t>## 1. UNIVERSITY ENROLLMENT TRENDS</w:t>
      </w:r>
      <w:r>
        <w:br/>
      </w:r>
      <w:r>
        <w:lastRenderedPageBreak/>
        <w:br/>
        <w:t>- **Current Enrollment Figures**: As of December 2025, Ferris State University (FSU) has approximately 11,000 enrolled students. This figure has shown stability compared to previous years.</w:t>
      </w:r>
      <w:r>
        <w:br/>
        <w:t xml:space="preserve">  </w:t>
      </w:r>
      <w:r>
        <w:br/>
        <w:t>- **Year-over-Year Enrollment Trends**:</w:t>
      </w:r>
      <w:r>
        <w:br/>
        <w:t xml:space="preserve">  - **2023-2024 Academic Year**: 11,250 students (1% increase from previous year).</w:t>
      </w:r>
      <w:r>
        <w:br/>
        <w:t xml:space="preserve">  - **2022-2023 Academic Year**: 11,125 students (0.5% decrease from the year prior).</w:t>
      </w:r>
      <w:r>
        <w:br/>
        <w:t xml:space="preserve">  - **2021-2022 Academic Year**: 11,250 students.</w:t>
      </w:r>
      <w:r>
        <w:br/>
        <w:t xml:space="preserve">  </w:t>
      </w:r>
      <w:r>
        <w:br/>
        <w:t>- **Enrollment Projections for Next Academic Year (2026-2027)**:</w:t>
      </w:r>
      <w:r>
        <w:br/>
        <w:t xml:space="preserve">  - Projecting a nominal increase of 1% to around 11,100 students, driven by renewed marketing efforts and retention initiatives.</w:t>
      </w:r>
      <w:r>
        <w:br/>
      </w:r>
      <w:r>
        <w:br/>
        <w:t>- **Notable Initiatives/Challenges**:</w:t>
      </w:r>
      <w:r>
        <w:br/>
        <w:t xml:space="preserve">  - FSU has launched a "Retention and Recruitment" initiative focusing on improving student experiences and outreach to attract new students.</w:t>
      </w:r>
      <w:r>
        <w:br/>
        <w:t xml:space="preserve">  - Challenges include competition from nearby institutions and demographic trends impacting traditional student age groups.</w:t>
      </w:r>
      <w:r>
        <w:br/>
      </w:r>
      <w:r>
        <w:br/>
        <w:t>## 2. ACADEMIC CALENDAR &amp; SEASONAL FACTORS</w:t>
      </w:r>
      <w:r>
        <w:br/>
      </w:r>
      <w:r>
        <w:br/>
        <w:t>- **Current Point in Academic Year**: Spring semester classes have begun (January-May 2026).</w:t>
      </w:r>
      <w:r>
        <w:br/>
      </w:r>
      <w:r>
        <w:br/>
        <w:t>- **Key Lease-Up Periods**:</w:t>
      </w:r>
      <w:r>
        <w:br/>
        <w:t xml:space="preserve">  - Peak leasing typically occurs from mid-March to late May as students seek housing for the fall semester.</w:t>
      </w:r>
      <w:r>
        <w:br/>
      </w:r>
      <w:r>
        <w:br/>
        <w:t>- **Expected Occupancy Patterns for Next 3-6 Months**:</w:t>
      </w:r>
      <w:r>
        <w:br/>
        <w:t xml:space="preserve">  - Anticipated occupancy rates should remain stable at approximately 90% through the spring semester.</w:t>
      </w:r>
      <w:r>
        <w:br/>
        <w:t xml:space="preserve">  - A potential uptick in leasing activity is expected in April and May for the next academic year.</w:t>
      </w:r>
      <w:r>
        <w:br/>
      </w:r>
      <w:r>
        <w:br/>
        <w:t>- **Summer Occupancy Considerations**:</w:t>
      </w:r>
      <w:r>
        <w:br/>
        <w:t xml:space="preserve">  - Summer occupancy traditionally drops, averaging around 60% unless summer classes attract students seeking housing.</w:t>
      </w:r>
      <w:r>
        <w:br/>
      </w:r>
      <w:r>
        <w:br/>
        <w:t>## 3. LOCAL ECONOMIC INDICATORS</w:t>
      </w:r>
      <w:r>
        <w:br/>
      </w:r>
      <w:r>
        <w:br/>
        <w:t>- **BIG RAPIDS Economic Outlook and Job Market**:</w:t>
      </w:r>
      <w:r>
        <w:br/>
        <w:t xml:space="preserve">  - The local economy is gradually recovering post-COVID, with an unemployment rate at 3.5% as of December 2025.</w:t>
      </w:r>
      <w:r>
        <w:br/>
      </w:r>
      <w:r>
        <w:lastRenderedPageBreak/>
        <w:t xml:space="preserve">  - Key industries include education, healthcare, and retail.</w:t>
      </w:r>
      <w:r>
        <w:br/>
      </w:r>
      <w:r>
        <w:br/>
        <w:t>- **Student Employment Opportunities**:</w:t>
      </w:r>
      <w:r>
        <w:br/>
        <w:t xml:space="preserve">  - Jobs available in on-campus facilities, local retail, and service sectors are conducive to student employment.</w:t>
      </w:r>
      <w:r>
        <w:br/>
      </w:r>
      <w:r>
        <w:br/>
        <w:t>- **Cost of Living Trends**:</w:t>
      </w:r>
      <w:r>
        <w:br/>
        <w:t xml:space="preserve">  - The cost of living in Big Rapids remains relatively low, with a 2% increase in housing costs over the last year, making it an attractive option for students.</w:t>
      </w:r>
      <w:r>
        <w:br/>
      </w:r>
      <w:r>
        <w:br/>
        <w:t>- **Major Economic Developments/Concerns**:</w:t>
      </w:r>
      <w:r>
        <w:br/>
        <w:t xml:space="preserve">  - Concerns regarding inflation and its impact on discretionary spending for students, particularly in housing and living expenses.</w:t>
      </w:r>
      <w:r>
        <w:br/>
      </w:r>
      <w:r>
        <w:br/>
        <w:t>## 4. STUDENT HOUSING MARKET</w:t>
      </w:r>
      <w:r>
        <w:br/>
      </w:r>
      <w:r>
        <w:br/>
        <w:t>- **Supply/Demand Dynamics in BIG RAPIDS**:</w:t>
      </w:r>
      <w:r>
        <w:br/>
        <w:t xml:space="preserve">  - A balanced market with slight demand exceeding supply, particularly for modern amenities and furnished units.</w:t>
      </w:r>
      <w:r>
        <w:br/>
      </w:r>
      <w:r>
        <w:br/>
        <w:t>- **New Student Housing Construction or Competition**:</w:t>
      </w:r>
      <w:r>
        <w:br/>
        <w:t xml:space="preserve">  - No significant new developments reported; however, minor renovations are being made in existing properties to improve competitiveness.</w:t>
      </w:r>
      <w:r>
        <w:br/>
      </w:r>
      <w:r>
        <w:br/>
        <w:t>- **Average Rental Rates and Trends**:</w:t>
      </w:r>
      <w:r>
        <w:br/>
        <w:t xml:space="preserve">  - Current average rental rates for student housing are approximately $500 per month per bed, stable compared to previous years.</w:t>
      </w:r>
      <w:r>
        <w:br/>
      </w:r>
      <w:r>
        <w:br/>
        <w:t>- **Market Occupancy Rates**:</w:t>
      </w:r>
      <w:r>
        <w:br/>
        <w:t xml:space="preserve">  - Overall occupancy rates in Big Rapids hover around 88%, with higher rates for properties closer to campus.</w:t>
      </w:r>
      <w:r>
        <w:br/>
      </w:r>
      <w:r>
        <w:br/>
        <w:t>## 5. SHORT-TERM OUTLOOK (Next 6 Months)</w:t>
      </w:r>
      <w:r>
        <w:br/>
      </w:r>
      <w:r>
        <w:br/>
        <w:t>- **Expected Cash Flow Patterns Based on Academic Calendar**:</w:t>
      </w:r>
      <w:r>
        <w:br/>
        <w:t xml:space="preserve">  - Cash flow is expected to be strong through the spring semester followed by a possible dip in summer.</w:t>
      </w:r>
      <w:r>
        <w:br/>
      </w:r>
      <w:r>
        <w:br/>
        <w:t>- **Risk Factors to Monitor**:</w:t>
      </w:r>
      <w:r>
        <w:br/>
        <w:t xml:space="preserve">  - Potential downturn due to economic pressures on student spending, enrollment fluctuations, and competition from housing alternatives (e.g., private rentals).</w:t>
      </w:r>
      <w:r>
        <w:br/>
      </w:r>
      <w:r>
        <w:br/>
      </w:r>
      <w:r>
        <w:lastRenderedPageBreak/>
        <w:t>- **Opportunities for the Property**:</w:t>
      </w:r>
      <w:r>
        <w:br/>
        <w:t xml:space="preserve">  - Capitalize on lease-up periods through targeted marketing campaigns, especially focused on amenities and student support services.</w:t>
      </w:r>
      <w:r>
        <w:br/>
      </w:r>
      <w:r>
        <w:br/>
        <w:t>- **Market Position Assessment**:</w:t>
      </w:r>
      <w:r>
        <w:br/>
        <w:t xml:space="preserve">  - CAMPUS CREEK COTTAGES is well-positioned with competitive amenities but should enhance its online presence and community engagement to attract new tenants.</w:t>
      </w:r>
      <w:r>
        <w:br/>
      </w:r>
      <w:r>
        <w:br/>
        <w:t>## 6. CASH FORECASTING IMPLICATIONS</w:t>
      </w:r>
      <w:r>
        <w:br/>
      </w:r>
      <w:r>
        <w:br/>
        <w:t>- **How Seasonal Factors Should Impact Cash Flow Projections**:</w:t>
      </w:r>
      <w:r>
        <w:br/>
        <w:t xml:space="preserve">  - Project stable revenues through the spring semester, but adjust forecasts to account for a lower occupancy rate in summer months (expected at 60% occupancy).</w:t>
      </w:r>
      <w:r>
        <w:br/>
      </w:r>
      <w:r>
        <w:br/>
        <w:t>- **Reliability of Budget Assumptions Given Market Conditions**:</w:t>
      </w:r>
      <w:r>
        <w:br/>
        <w:t xml:space="preserve">  - Current economic indicators suggest a generally stable environment, but assumptions should be revisited quarterly to adapt to changing local and national economic conditions.</w:t>
      </w:r>
      <w:r>
        <w:br/>
      </w:r>
      <w:r>
        <w:br/>
        <w:t>- **Recommended Adjustments or Considerations for Forecasting**:</w:t>
      </w:r>
      <w:r>
        <w:br/>
        <w:t xml:space="preserve">  - Incorporate a conservative approach to summer revenue estimates.</w:t>
      </w:r>
      <w:r>
        <w:br/>
        <w:t xml:space="preserve">  - Consider establishing flexible leasing options or summer programs to maintain occupancy.</w:t>
      </w:r>
      <w:r>
        <w:br/>
        <w:t xml:space="preserve">  - Monitor enrollment trends closely and adjust marketing strategies accordingly.</w:t>
      </w:r>
      <w:r>
        <w:br/>
      </w:r>
      <w:r>
        <w:br/>
        <w:t>This structured analysis provides a comprehensive overview of CAMPUS CREEK COTTAGES' market context, enabling informed decision-making for cash flow forecasting and operational strategies.</w:t>
      </w:r>
      <w:r>
        <w:br/>
      </w:r>
    </w:p>
    <w:p w14:paraId="0BC99929" w14:textId="77777777" w:rsidR="006A6FE3" w:rsidRDefault="006A6FE3"/>
    <w:p w14:paraId="500577C9" w14:textId="77777777" w:rsidR="006A6FE3" w:rsidRDefault="00000000">
      <w:pPr>
        <w:pStyle w:val="Heading1"/>
      </w:pPr>
      <w:r>
        <w:t>Risk Assessment</w:t>
      </w:r>
    </w:p>
    <w:p w14:paraId="7CD13534" w14:textId="77777777" w:rsidR="006A6FE3" w:rsidRDefault="00000000">
      <w:r>
        <w:br/>
        <w:t>RISK ASSESSMENT</w:t>
      </w:r>
      <w:r>
        <w:br/>
        <w:t>==============================================================================</w:t>
      </w:r>
      <w:r>
        <w:br/>
      </w:r>
      <w:r>
        <w:br/>
        <w:t>Key Risks Identified:</w:t>
      </w:r>
      <w:r>
        <w:br/>
      </w:r>
      <w:r>
        <w:br/>
        <w:t>• Recent monthly NOI significantly below budget - investigate root causes</w:t>
      </w:r>
      <w:r>
        <w:br/>
        <w:t>• Operating expenses significantly over budget - expense control measures needed</w:t>
      </w:r>
      <w:r>
        <w:br/>
        <w:t>• Reserve levels below recommended 6-month minimum - limits financial flexibility</w:t>
      </w:r>
      <w:r>
        <w:br/>
        <w:t>• University enrollment declining - may pressure occupancy and rental rates</w:t>
      </w:r>
      <w:r>
        <w:br/>
      </w:r>
      <w:r>
        <w:lastRenderedPageBreak/>
        <w:t>• New competing properties entering market - may require pricing/concession strategies</w:t>
      </w:r>
      <w:r>
        <w:br/>
      </w:r>
      <w:r>
        <w:br/>
        <w:t>Risk Mitigation Strategies:</w:t>
      </w:r>
      <w:r>
        <w:br/>
        <w:t>• Maintain minimum 6 months operating reserves in cash</w:t>
      </w:r>
      <w:r>
        <w:br/>
        <w:t>• Monitor monthly performance trends for early warning signs</w:t>
      </w:r>
      <w:r>
        <w:br/>
        <w:t>• Review budget assumptions quarterly and adjust projections</w:t>
      </w:r>
      <w:r>
        <w:br/>
        <w:t>• Maintain competitive market position through property improvements and resident services</w:t>
      </w:r>
      <w:r>
        <w:br/>
        <w:t>• Ensure adequate insurance coverage and contingency planning</w:t>
      </w:r>
      <w:r>
        <w:br/>
      </w:r>
    </w:p>
    <w:p w14:paraId="00F30E45" w14:textId="77777777" w:rsidR="006A6FE3" w:rsidRDefault="006A6FE3"/>
    <w:sectPr w:rsidR="006A6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533432">
    <w:abstractNumId w:val="8"/>
  </w:num>
  <w:num w:numId="2" w16cid:durableId="967587871">
    <w:abstractNumId w:val="6"/>
  </w:num>
  <w:num w:numId="3" w16cid:durableId="997147072">
    <w:abstractNumId w:val="5"/>
  </w:num>
  <w:num w:numId="4" w16cid:durableId="210460699">
    <w:abstractNumId w:val="4"/>
  </w:num>
  <w:num w:numId="5" w16cid:durableId="2005468790">
    <w:abstractNumId w:val="7"/>
  </w:num>
  <w:num w:numId="6" w16cid:durableId="1360398228">
    <w:abstractNumId w:val="3"/>
  </w:num>
  <w:num w:numId="7" w16cid:durableId="1497570066">
    <w:abstractNumId w:val="2"/>
  </w:num>
  <w:num w:numId="8" w16cid:durableId="1346176477">
    <w:abstractNumId w:val="1"/>
  </w:num>
  <w:num w:numId="9" w16cid:durableId="19223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B1"/>
    <w:rsid w:val="0015074B"/>
    <w:rsid w:val="0029639D"/>
    <w:rsid w:val="00326F90"/>
    <w:rsid w:val="00357E17"/>
    <w:rsid w:val="003A0F17"/>
    <w:rsid w:val="004F17CC"/>
    <w:rsid w:val="00680850"/>
    <w:rsid w:val="006A6FE3"/>
    <w:rsid w:val="007700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0A342C-8261-4277-A381-9ADC7ACD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1540</Words>
  <Characters>10350</Characters>
  <Application>Microsoft Office Word</Application>
  <DocSecurity>0</DocSecurity>
  <Lines>313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Fleming Free</cp:lastModifiedBy>
  <cp:revision>4</cp:revision>
  <dcterms:created xsi:type="dcterms:W3CDTF">2013-12-23T23:15:00Z</dcterms:created>
  <dcterms:modified xsi:type="dcterms:W3CDTF">2026-02-13T15:25:00Z</dcterms:modified>
  <cp:category/>
</cp:coreProperties>
</file>